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4D" w:rsidRDefault="008C7A68">
      <w:pPr>
        <w:pStyle w:val="a4"/>
        <w:tabs>
          <w:tab w:val="left" w:pos="3525"/>
          <w:tab w:val="left" w:pos="6600"/>
        </w:tabs>
        <w:spacing w:before="82"/>
        <w:ind w:left="220"/>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8"/>
        </w:rPr>
        <w:t>：</w:t>
      </w:r>
      <w:r>
        <w:rPr>
          <w:rFonts w:ascii="Times New Roman" w:hAnsi="Times New Roman" w:cs="Times New Roman"/>
          <w:spacing w:val="-8"/>
        </w:rPr>
        <w:t>603</w:t>
      </w:r>
      <w:r>
        <w:rPr>
          <w:rFonts w:ascii="Times New Roman" w:hAnsi="Times New Roman" w:cs="Times New Roman" w:hint="eastAsia"/>
          <w:spacing w:val="-8"/>
        </w:rPr>
        <w:t>8</w:t>
      </w:r>
      <w:r>
        <w:rPr>
          <w:rFonts w:ascii="Times New Roman" w:hAnsi="Times New Roman" w:cs="Times New Roman"/>
          <w:spacing w:val="-8"/>
        </w:rPr>
        <w:t>15</w:t>
      </w:r>
      <w:r>
        <w:rPr>
          <w:rFonts w:ascii="Times New Roman" w:hAnsi="Times New Roman" w:cs="Times New Roman"/>
          <w:spacing w:val="-8"/>
        </w:rPr>
        <w:tab/>
      </w:r>
      <w:r>
        <w:rPr>
          <w:rFonts w:ascii="Times New Roman" w:hAnsi="Times New Roman" w:cs="Times New Roman"/>
        </w:rPr>
        <w:t>证券简称</w:t>
      </w:r>
      <w:r>
        <w:rPr>
          <w:rFonts w:ascii="Times New Roman" w:hAnsi="Times New Roman" w:cs="Times New Roman"/>
          <w:spacing w:val="-51"/>
        </w:rPr>
        <w:t>：</w:t>
      </w:r>
      <w:proofErr w:type="gramStart"/>
      <w:r>
        <w:rPr>
          <w:rFonts w:ascii="Times New Roman" w:hAnsi="Times New Roman" w:cs="Times New Roman" w:hint="eastAsia"/>
        </w:rPr>
        <w:t>交建</w:t>
      </w:r>
      <w:r>
        <w:rPr>
          <w:rFonts w:ascii="Times New Roman" w:hAnsi="Times New Roman" w:cs="Times New Roman"/>
        </w:rPr>
        <w:t>股份</w:t>
      </w:r>
      <w:proofErr w:type="gramEnd"/>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51"/>
        </w:rPr>
        <w:t>：</w:t>
      </w:r>
      <w:r>
        <w:rPr>
          <w:rFonts w:ascii="Times New Roman" w:hAnsi="Times New Roman" w:cs="Times New Roman"/>
        </w:rPr>
        <w:t>20</w:t>
      </w:r>
      <w:r>
        <w:rPr>
          <w:rFonts w:ascii="Times New Roman" w:hAnsi="Times New Roman" w:cs="Times New Roman" w:hint="eastAsia"/>
        </w:rPr>
        <w:t>2</w:t>
      </w:r>
      <w:r>
        <w:rPr>
          <w:rFonts w:ascii="Times New Roman" w:hAnsi="Times New Roman" w:cs="Times New Roman" w:hint="eastAsia"/>
          <w:lang w:val="en-US"/>
        </w:rPr>
        <w:t>5</w:t>
      </w:r>
      <w:r>
        <w:rPr>
          <w:rFonts w:ascii="Times New Roman" w:hAnsi="Times New Roman" w:cs="Times New Roman"/>
        </w:rPr>
        <w:t>-</w:t>
      </w:r>
      <w:r w:rsidR="00053DB3">
        <w:rPr>
          <w:rFonts w:ascii="Times New Roman" w:hAnsi="Times New Roman" w:cs="Times New Roman" w:hint="eastAsia"/>
        </w:rPr>
        <w:t>021</w:t>
      </w:r>
    </w:p>
    <w:p w:rsidR="009F254D" w:rsidRDefault="009F254D">
      <w:pPr>
        <w:pStyle w:val="a4"/>
      </w:pPr>
    </w:p>
    <w:p w:rsidR="009F254D" w:rsidRDefault="008C7A68">
      <w:pPr>
        <w:autoSpaceDE/>
        <w:autoSpaceDN/>
        <w:snapToGrid w:val="0"/>
        <w:spacing w:line="360" w:lineRule="auto"/>
        <w:jc w:val="center"/>
        <w:rPr>
          <w:rFonts w:cs="Times New Roman"/>
          <w:b/>
          <w:bCs/>
          <w:kern w:val="2"/>
          <w:sz w:val="36"/>
          <w:szCs w:val="36"/>
          <w:lang w:val="en-US" w:bidi="ar-SA"/>
        </w:rPr>
      </w:pPr>
      <w:r>
        <w:rPr>
          <w:rFonts w:cs="Times New Roman" w:hint="eastAsia"/>
          <w:b/>
          <w:bCs/>
          <w:kern w:val="2"/>
          <w:sz w:val="36"/>
          <w:szCs w:val="36"/>
          <w:lang w:val="en-US" w:bidi="ar-SA"/>
        </w:rPr>
        <w:t>安徽省交通建设股份有限公司</w:t>
      </w:r>
    </w:p>
    <w:p w:rsidR="009F254D" w:rsidRDefault="008C7A68">
      <w:pPr>
        <w:autoSpaceDE/>
        <w:autoSpaceDN/>
        <w:snapToGrid w:val="0"/>
        <w:spacing w:line="360" w:lineRule="auto"/>
        <w:jc w:val="center"/>
        <w:rPr>
          <w:rFonts w:cs="Times New Roman"/>
          <w:b/>
          <w:bCs/>
          <w:kern w:val="2"/>
          <w:sz w:val="36"/>
          <w:szCs w:val="36"/>
          <w:lang w:val="en-US" w:bidi="ar-SA"/>
        </w:rPr>
      </w:pPr>
      <w:r>
        <w:rPr>
          <w:rFonts w:cs="Times New Roman" w:hint="eastAsia"/>
          <w:b/>
          <w:bCs/>
          <w:kern w:val="2"/>
          <w:sz w:val="36"/>
          <w:szCs w:val="36"/>
          <w:lang w:val="en-US" w:bidi="ar-SA"/>
        </w:rPr>
        <w:t>关于</w:t>
      </w:r>
      <w:r>
        <w:rPr>
          <w:rFonts w:cs="Times New Roman"/>
          <w:b/>
          <w:bCs/>
          <w:kern w:val="2"/>
          <w:sz w:val="36"/>
          <w:szCs w:val="36"/>
          <w:lang w:val="en-US" w:bidi="ar-SA"/>
        </w:rPr>
        <w:t>202</w:t>
      </w:r>
      <w:r>
        <w:rPr>
          <w:rFonts w:cs="Times New Roman" w:hint="eastAsia"/>
          <w:b/>
          <w:bCs/>
          <w:kern w:val="2"/>
          <w:sz w:val="36"/>
          <w:szCs w:val="36"/>
          <w:lang w:val="en-US" w:bidi="ar-SA"/>
        </w:rPr>
        <w:t>5</w:t>
      </w:r>
      <w:r>
        <w:rPr>
          <w:rFonts w:cs="Times New Roman"/>
          <w:b/>
          <w:bCs/>
          <w:kern w:val="2"/>
          <w:sz w:val="36"/>
          <w:szCs w:val="36"/>
          <w:lang w:val="en-US" w:bidi="ar-SA"/>
        </w:rPr>
        <w:t>年度综合授信额度的公告</w:t>
      </w:r>
    </w:p>
    <w:p w:rsidR="009F254D" w:rsidRDefault="009F254D">
      <w:pPr>
        <w:pStyle w:val="a4"/>
        <w:rPr>
          <w:b/>
          <w:sz w:val="20"/>
        </w:rPr>
      </w:pPr>
    </w:p>
    <w:p w:rsidR="009F254D" w:rsidRDefault="008C7A68">
      <w:pPr>
        <w:pStyle w:val="a4"/>
        <w:spacing w:before="9"/>
        <w:rPr>
          <w:b/>
          <w:sz w:val="20"/>
        </w:rPr>
      </w:pPr>
      <w:r>
        <w:rPr>
          <w:noProof/>
          <w:lang w:val="en-US" w:bidi="ar-SA"/>
        </w:rPr>
        <mc:AlternateContent>
          <mc:Choice Requires="wps">
            <w:drawing>
              <wp:anchor distT="0" distB="0" distL="0" distR="0" simplePos="0" relativeHeight="251659264" behindDoc="1" locked="0" layoutInCell="1" allowOverlap="1">
                <wp:simplePos x="0" y="0"/>
                <wp:positionH relativeFrom="page">
                  <wp:posOffset>1062990</wp:posOffset>
                </wp:positionH>
                <wp:positionV relativeFrom="paragraph">
                  <wp:posOffset>8890</wp:posOffset>
                </wp:positionV>
                <wp:extent cx="5419090" cy="882015"/>
                <wp:effectExtent l="4445" t="5080" r="5715" b="82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ln>
                        <a:effectLst/>
                      </wps:spPr>
                      <wps:txbx>
                        <w:txbxContent>
                          <w:p w:rsidR="009F254D" w:rsidRDefault="008C7A68">
                            <w:pPr>
                              <w:pStyle w:val="a4"/>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Pr>
                                <w:rFonts w:hint="eastAsia"/>
                              </w:rPr>
                              <w:t>法律</w:t>
                            </w:r>
                            <w:r>
                              <w:t>责任。</w:t>
                            </w:r>
                          </w:p>
                        </w:txbxContent>
                      </wps:txbx>
                      <wps:bodyPr rot="0" vert="horz" wrap="square" lIns="0" tIns="0" rIns="0" bIns="0" anchor="t" anchorCtr="0" upright="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83.7pt;margin-top:0.7pt;height:69.45pt;width:426.7pt;mso-position-horizontal-relative:page;mso-wrap-distance-bottom:0pt;mso-wrap-distance-top:0pt;z-index:-251657216;mso-width-relative:page;mso-height-relative:page;" filled="f" stroked="t" coordsize="21600,21600" o:gfxdata="UEsDBAoAAAAAAIdO4kAAAAAAAAAAAAAAAAAEAAAAZHJzL1BLAwQUAAAACACHTuJA4JgxzNQAAAAK&#10;AQAADwAAAGRycy9kb3ducmV2LnhtbE1PQU7DMBC8I/EHa5G4UbuFlCrE6QG1Fw5IKX2AGy9JIN6N&#10;Yrcpv2dzgtPu7IxmZ4rtNfTqgmPsmCwsFwYUUs2+o8bC8WP/sAEVkyPveia08IMRtuXtTeFyzxNV&#10;eDmkRokJxdxZaFMacq1j3WJwccEDknCfPAaXBI6N9qObxDz0emXMWgfXkXxo3YCvLdbfh3OwgNVX&#10;x7zfTNWQmuNb3GXZ7j2z9v5uaV5AJbymPzHM8SU6lJLpxGfyUfWC189PIpVFxsyblZEup/lgHkGX&#10;hf5fofwFUEsDBBQAAAAIAIdO4kAMWINXKAIAAFsEAAAOAAAAZHJzL2Uyb0RvYy54bWytVMFu2zAM&#10;vQ/YPwi6L06CNUiNOEWXoMOAbivQ7gMUWY6FSaJGKbGzrx8lO1nQXXqYDwIlUo+Pj5RXd7017Kgw&#10;aHAVn02mnCknodZuX/EfLw8flpyFKFwtDDhV8ZMK/G79/t2q86WaQwumVsgIxIWy8xVvY/RlUQTZ&#10;KivCBLxy5GwArYi0xX1Ro+gI3ZpiPp0uig6w9ghShUCn28HJR0R8CyA0jZZqC/JglYsDKiojIpUU&#10;Wu0DX2e2TaNk/N40QUVmKk6VxrxSErJ3aS3WK1HuUfhWy5GCeAuFVzVZoR0lvUBtRRTsgPofKKsl&#10;QoAmTiTYYigkK0JVzKavtHluhVe5FpI6+Ivo4f/Bym/HJ2S6rvicMycsNfxF9ZF9gp7NkzqdDyUF&#10;PXsKiz0d08zkSoN/BPkzMAebVri9ukeErlWiJnazdLO4ujrghASy675CTWnEIUIG6hu0SToSgxE6&#10;deZ06UyiIunw5uPsdnpLLkm+5ZK0uskpRHm+7THEzwosS0bFkTqf0cXxMcTERpTnkJTMwYM2Jnff&#10;ONZVfDG9XQx1gdF1cqawgPvdxiA7ijQ/+RvzhuswqyO9CaMtkbsOMi6BqDyHI40kStJhUCT2u34U&#10;eQf1ieRBGGaUXigZLeBvzjqaz4qHXweBijPzxZHEaZjPBp6N3dkQTtLVikfOBnMTh6E/eNT7lpCH&#10;Jjq4pzY0OiuUqA0sxubRzGXhxveRhvp6n6P+/hP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mDHM1AAAAAoBAAAPAAAAAAAAAAEAIAAAACIAAABkcnMvZG93bnJldi54bWxQSwECFAAUAAAACACH&#10;TuJADFiDVygCAABbBAAADgAAAAAAAAABACAAAAAjAQAAZHJzL2Uyb0RvYy54bWxQSwUGAAAAAAYA&#10;BgBZAQAAvQUAAAAA&#10;">
                <v:fill on="f" focussize="0,0"/>
                <v:stroke weight="0.48pt" color="#000000" miterlimit="8" joinstyle="miter"/>
                <v:imagedata o:title=""/>
                <o:lock v:ext="edit" aspectratio="f"/>
                <v:textbox inset="0mm,0mm,0mm,0mm">
                  <w:txbxContent>
                    <w:p w14:paraId="2D7E8665">
                      <w:pPr>
                        <w:pStyle w:val="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Pr>
                          <w:rFonts w:hint="eastAsia"/>
                        </w:rPr>
                        <w:t>法律</w:t>
                      </w:r>
                      <w:r>
                        <w:t>责任。</w:t>
                      </w:r>
                    </w:p>
                  </w:txbxContent>
                </v:textbox>
                <w10:wrap type="topAndBottom"/>
              </v:shape>
            </w:pict>
          </mc:Fallback>
        </mc:AlternateContent>
      </w:r>
    </w:p>
    <w:p w:rsidR="009F254D" w:rsidRDefault="008C7A68">
      <w:pPr>
        <w:pStyle w:val="a4"/>
        <w:spacing w:line="360" w:lineRule="auto"/>
        <w:ind w:left="221" w:right="238" w:firstLine="476"/>
        <w:jc w:val="both"/>
        <w:rPr>
          <w:rFonts w:asciiTheme="minorEastAsia" w:eastAsiaTheme="minorEastAsia" w:hAnsiTheme="minorEastAsia"/>
        </w:rPr>
      </w:pPr>
      <w:r>
        <w:rPr>
          <w:rFonts w:hint="eastAsia"/>
          <w:lang w:val="en-US"/>
        </w:rPr>
        <w:t>●本次授信额度：公司及子公司预计202</w:t>
      </w:r>
      <w:r w:rsidR="00D05820">
        <w:rPr>
          <w:rFonts w:hint="eastAsia"/>
          <w:lang w:val="en-US"/>
        </w:rPr>
        <w:t>5</w:t>
      </w:r>
      <w:r>
        <w:rPr>
          <w:rFonts w:hint="eastAsia"/>
          <w:lang w:val="en-US"/>
        </w:rPr>
        <w:t>年度</w:t>
      </w:r>
      <w:r>
        <w:rPr>
          <w:rFonts w:asciiTheme="minorEastAsia" w:eastAsiaTheme="minorEastAsia" w:hAnsiTheme="minorEastAsia" w:hint="eastAsia"/>
        </w:rPr>
        <w:t>向银行申请总额不超过人民币100亿元综合授信额度。</w:t>
      </w:r>
    </w:p>
    <w:p w:rsidR="009F254D" w:rsidRDefault="008C7A68" w:rsidP="000E7D54">
      <w:pPr>
        <w:pStyle w:val="a4"/>
        <w:spacing w:line="360" w:lineRule="auto"/>
        <w:ind w:left="221" w:right="238" w:firstLine="476"/>
        <w:jc w:val="both"/>
      </w:pPr>
      <w:r>
        <w:rPr>
          <w:rFonts w:hint="eastAsia"/>
          <w:lang w:val="en-US"/>
        </w:rPr>
        <w:t>●审议情况：公司第三届董事会第</w:t>
      </w:r>
      <w:r w:rsidR="0030235C">
        <w:rPr>
          <w:rFonts w:hint="eastAsia"/>
          <w:lang w:val="en-US"/>
        </w:rPr>
        <w:t>二十</w:t>
      </w:r>
      <w:r>
        <w:rPr>
          <w:rFonts w:hint="eastAsia"/>
          <w:lang w:val="en-US"/>
        </w:rPr>
        <w:t>次会议、</w:t>
      </w:r>
      <w:r>
        <w:t>第</w:t>
      </w:r>
      <w:r>
        <w:rPr>
          <w:rFonts w:hint="eastAsia"/>
        </w:rPr>
        <w:t>三</w:t>
      </w:r>
      <w:r>
        <w:t>届</w:t>
      </w:r>
      <w:r>
        <w:rPr>
          <w:rFonts w:hint="eastAsia"/>
        </w:rPr>
        <w:t>监事会</w:t>
      </w:r>
      <w:r>
        <w:t>第</w:t>
      </w:r>
      <w:r>
        <w:rPr>
          <w:rFonts w:hint="eastAsia"/>
        </w:rPr>
        <w:t>十</w:t>
      </w:r>
      <w:r w:rsidR="00D05820">
        <w:rPr>
          <w:rFonts w:hint="eastAsia"/>
        </w:rPr>
        <w:t>七</w:t>
      </w:r>
      <w:r>
        <w:rPr>
          <w:rFonts w:hint="eastAsia"/>
        </w:rPr>
        <w:t>次</w:t>
      </w:r>
      <w:r>
        <w:t>会议</w:t>
      </w:r>
      <w:r>
        <w:rPr>
          <w:rFonts w:hint="eastAsia"/>
        </w:rPr>
        <w:t>分别</w:t>
      </w:r>
      <w:r>
        <w:rPr>
          <w:rFonts w:hint="eastAsia"/>
          <w:lang w:val="en-US"/>
        </w:rPr>
        <w:t>审议通过了《关于公司2025年度综合授信额度的议案》，该议案尚需提交公司2024年年度股东大会审议。</w:t>
      </w:r>
    </w:p>
    <w:p w:rsidR="009F254D" w:rsidRDefault="008C7A68">
      <w:pPr>
        <w:pStyle w:val="a4"/>
        <w:spacing w:line="360" w:lineRule="auto"/>
        <w:ind w:left="221" w:right="238" w:firstLine="476"/>
        <w:jc w:val="both"/>
      </w:pPr>
      <w:r>
        <w:rPr>
          <w:rFonts w:hint="eastAsia"/>
        </w:rPr>
        <w:t>安徽省交通建设股份有限公司</w:t>
      </w:r>
      <w:r>
        <w:t>（以下简称“公司”）于202</w:t>
      </w:r>
      <w:r>
        <w:rPr>
          <w:rFonts w:hint="eastAsia"/>
          <w:lang w:val="en-US"/>
        </w:rPr>
        <w:t>5</w:t>
      </w:r>
      <w:r>
        <w:rPr>
          <w:rFonts w:hint="eastAsia"/>
        </w:rPr>
        <w:t>年4月</w:t>
      </w:r>
      <w:r w:rsidR="000E7D54">
        <w:rPr>
          <w:rFonts w:hint="eastAsia"/>
          <w:lang w:val="en-US"/>
        </w:rPr>
        <w:t>2</w:t>
      </w:r>
      <w:r w:rsidR="0030235C">
        <w:rPr>
          <w:rFonts w:hint="eastAsia"/>
          <w:lang w:val="en-US"/>
        </w:rPr>
        <w:t>7</w:t>
      </w:r>
      <w:r>
        <w:rPr>
          <w:rFonts w:hint="eastAsia"/>
        </w:rPr>
        <w:t>日分别</w:t>
      </w:r>
      <w:r>
        <w:t>召开了第</w:t>
      </w:r>
      <w:r>
        <w:rPr>
          <w:rFonts w:hint="eastAsia"/>
        </w:rPr>
        <w:t>三</w:t>
      </w:r>
      <w:r>
        <w:t>届董事会第</w:t>
      </w:r>
      <w:r w:rsidR="0030235C">
        <w:rPr>
          <w:rFonts w:hint="eastAsia"/>
          <w:lang w:val="en-US"/>
        </w:rPr>
        <w:t>二十</w:t>
      </w:r>
      <w:r w:rsidR="000E7D54">
        <w:rPr>
          <w:rFonts w:hint="eastAsia"/>
          <w:lang w:val="en-US"/>
        </w:rPr>
        <w:t>次</w:t>
      </w:r>
      <w:r>
        <w:t>会议</w:t>
      </w:r>
      <w:r>
        <w:rPr>
          <w:rFonts w:hint="eastAsia"/>
        </w:rPr>
        <w:t>、</w:t>
      </w:r>
      <w:r>
        <w:t>第</w:t>
      </w:r>
      <w:r>
        <w:rPr>
          <w:rFonts w:hint="eastAsia"/>
        </w:rPr>
        <w:t>三</w:t>
      </w:r>
      <w:r>
        <w:t>届</w:t>
      </w:r>
      <w:r>
        <w:rPr>
          <w:rFonts w:hint="eastAsia"/>
        </w:rPr>
        <w:t>监事会</w:t>
      </w:r>
      <w:r>
        <w:t>第</w:t>
      </w:r>
      <w:r>
        <w:rPr>
          <w:rFonts w:hint="eastAsia"/>
        </w:rPr>
        <w:t>十</w:t>
      </w:r>
      <w:r w:rsidR="000E7D54">
        <w:rPr>
          <w:rFonts w:hint="eastAsia"/>
        </w:rPr>
        <w:t>七</w:t>
      </w:r>
      <w:r>
        <w:rPr>
          <w:rFonts w:hint="eastAsia"/>
        </w:rPr>
        <w:t>次</w:t>
      </w:r>
      <w:r>
        <w:t>会议，审议通过了</w:t>
      </w:r>
      <w:r>
        <w:rPr>
          <w:rFonts w:hint="eastAsia"/>
        </w:rPr>
        <w:t>《关于公司2025年度综合授信额度的议案》，该事项尚需提交公司2024年年度股东大会审议。现就公司2025年度综合授信额度事宜公告如下：</w:t>
      </w:r>
    </w:p>
    <w:p w:rsidR="009F254D" w:rsidRDefault="008C7A68">
      <w:pPr>
        <w:adjustRightInd w:val="0"/>
        <w:snapToGrid w:val="0"/>
        <w:spacing w:line="360" w:lineRule="auto"/>
        <w:ind w:firstLineChars="200" w:firstLine="482"/>
        <w:rPr>
          <w:rFonts w:asciiTheme="minorEastAsia" w:eastAsiaTheme="minorEastAsia" w:hAnsiTheme="minorEastAsia"/>
          <w:b/>
          <w:bCs/>
          <w:sz w:val="24"/>
          <w:szCs w:val="24"/>
        </w:rPr>
      </w:pPr>
      <w:bookmarkStart w:id="0" w:name="a0"/>
      <w:r>
        <w:rPr>
          <w:rFonts w:asciiTheme="minorEastAsia" w:eastAsiaTheme="minorEastAsia" w:hAnsiTheme="minorEastAsia" w:hint="eastAsia"/>
          <w:b/>
          <w:bCs/>
          <w:sz w:val="24"/>
          <w:szCs w:val="24"/>
        </w:rPr>
        <w:t>一、申请综合授信额度的基本情况</w:t>
      </w:r>
      <w:bookmarkEnd w:id="0"/>
    </w:p>
    <w:p w:rsidR="009F254D" w:rsidRDefault="008C7A68">
      <w:pPr>
        <w:adjustRightInd w:val="0"/>
        <w:snapToGrid w:val="0"/>
        <w:spacing w:line="360" w:lineRule="auto"/>
        <w:ind w:firstLineChars="200" w:firstLine="480"/>
        <w:rPr>
          <w:sz w:val="24"/>
          <w:szCs w:val="24"/>
        </w:rPr>
      </w:pPr>
      <w:r>
        <w:rPr>
          <w:rFonts w:hint="eastAsia"/>
          <w:sz w:val="24"/>
          <w:szCs w:val="24"/>
        </w:rPr>
        <w:t>（一）综合授信额度</w:t>
      </w:r>
    </w:p>
    <w:p w:rsidR="009F254D" w:rsidRDefault="008C7A68">
      <w:pPr>
        <w:adjustRightInd w:val="0"/>
        <w:snapToGrid w:val="0"/>
        <w:spacing w:line="360" w:lineRule="auto"/>
        <w:ind w:firstLineChars="200" w:firstLine="480"/>
        <w:rPr>
          <w:sz w:val="24"/>
          <w:szCs w:val="24"/>
        </w:rPr>
      </w:pPr>
      <w:r>
        <w:rPr>
          <w:rFonts w:hint="eastAsia"/>
          <w:sz w:val="24"/>
          <w:szCs w:val="24"/>
        </w:rPr>
        <w:t>公司及其下属子公司2</w:t>
      </w:r>
      <w:r>
        <w:rPr>
          <w:sz w:val="24"/>
          <w:szCs w:val="24"/>
        </w:rPr>
        <w:t>02</w:t>
      </w:r>
      <w:r>
        <w:rPr>
          <w:rFonts w:hint="eastAsia"/>
          <w:sz w:val="24"/>
          <w:szCs w:val="24"/>
          <w:lang w:val="en-US"/>
        </w:rPr>
        <w:t>5</w:t>
      </w:r>
      <w:r>
        <w:rPr>
          <w:rFonts w:hint="eastAsia"/>
          <w:sz w:val="24"/>
          <w:szCs w:val="24"/>
        </w:rPr>
        <w:t>年度拟向银行及类金融企业申请总额不超过人民币100亿元综合授信，以随时满足公司未来经营发展的融资要求。</w:t>
      </w:r>
    </w:p>
    <w:p w:rsidR="009F254D" w:rsidRDefault="008C7A68">
      <w:pPr>
        <w:adjustRightInd w:val="0"/>
        <w:snapToGrid w:val="0"/>
        <w:spacing w:line="360" w:lineRule="auto"/>
        <w:ind w:firstLineChars="200" w:firstLine="480"/>
        <w:rPr>
          <w:sz w:val="24"/>
          <w:szCs w:val="24"/>
        </w:rPr>
      </w:pPr>
      <w:r>
        <w:rPr>
          <w:rFonts w:hint="eastAsia"/>
          <w:sz w:val="24"/>
          <w:szCs w:val="24"/>
        </w:rPr>
        <w:t>（二）授信品种</w:t>
      </w:r>
    </w:p>
    <w:p w:rsidR="009F254D" w:rsidRDefault="008C7A68">
      <w:pPr>
        <w:adjustRightInd w:val="0"/>
        <w:snapToGrid w:val="0"/>
        <w:spacing w:line="360" w:lineRule="auto"/>
        <w:ind w:firstLineChars="200" w:firstLine="480"/>
        <w:rPr>
          <w:sz w:val="24"/>
          <w:szCs w:val="24"/>
        </w:rPr>
      </w:pPr>
      <w:r>
        <w:rPr>
          <w:rFonts w:hint="eastAsia"/>
          <w:sz w:val="24"/>
          <w:szCs w:val="24"/>
        </w:rPr>
        <w:t>综合授</w:t>
      </w:r>
      <w:proofErr w:type="gramStart"/>
      <w:r>
        <w:rPr>
          <w:rFonts w:hint="eastAsia"/>
          <w:sz w:val="24"/>
          <w:szCs w:val="24"/>
        </w:rPr>
        <w:t>信品种</w:t>
      </w:r>
      <w:proofErr w:type="gramEnd"/>
      <w:r>
        <w:rPr>
          <w:rFonts w:hint="eastAsia"/>
          <w:sz w:val="24"/>
          <w:szCs w:val="24"/>
        </w:rPr>
        <w:t>包括但不限于：贷款、承兑汇票、贴现、信用证、押汇、保函、代付、保理、融资租赁等</w:t>
      </w:r>
      <w:r>
        <w:rPr>
          <w:rFonts w:hint="eastAsia"/>
          <w:sz w:val="24"/>
          <w:szCs w:val="24"/>
          <w:lang w:val="en-US"/>
        </w:rPr>
        <w:t>其他债务</w:t>
      </w:r>
      <w:r>
        <w:rPr>
          <w:rFonts w:hint="eastAsia"/>
          <w:sz w:val="24"/>
          <w:szCs w:val="24"/>
        </w:rPr>
        <w:t>。</w:t>
      </w:r>
      <w:bookmarkStart w:id="1" w:name="_Hlk163651901"/>
      <w:r>
        <w:rPr>
          <w:rFonts w:hint="eastAsia"/>
          <w:sz w:val="24"/>
          <w:szCs w:val="24"/>
        </w:rPr>
        <w:t>授信额度将根据实际情况各银行共同使用</w:t>
      </w:r>
      <w:bookmarkEnd w:id="1"/>
      <w:r>
        <w:rPr>
          <w:rFonts w:hint="eastAsia"/>
          <w:sz w:val="24"/>
          <w:szCs w:val="24"/>
        </w:rPr>
        <w:t>；授信期限内，授信额度由公司及合并报表范围内的子公司共同循环使用。</w:t>
      </w:r>
    </w:p>
    <w:p w:rsidR="009F254D" w:rsidRDefault="008C7A68">
      <w:pPr>
        <w:adjustRightInd w:val="0"/>
        <w:snapToGrid w:val="0"/>
        <w:spacing w:line="360" w:lineRule="auto"/>
        <w:ind w:firstLineChars="200" w:firstLine="480"/>
        <w:rPr>
          <w:sz w:val="24"/>
          <w:szCs w:val="24"/>
        </w:rPr>
      </w:pPr>
      <w:r>
        <w:rPr>
          <w:rFonts w:hint="eastAsia"/>
          <w:sz w:val="24"/>
          <w:szCs w:val="24"/>
        </w:rPr>
        <w:t>（三）授信期限</w:t>
      </w:r>
    </w:p>
    <w:p w:rsidR="009F254D" w:rsidRDefault="008C7A68">
      <w:pPr>
        <w:adjustRightInd w:val="0"/>
        <w:snapToGrid w:val="0"/>
        <w:spacing w:line="360" w:lineRule="auto"/>
        <w:ind w:firstLineChars="200" w:firstLine="480"/>
        <w:rPr>
          <w:sz w:val="24"/>
          <w:szCs w:val="24"/>
        </w:rPr>
      </w:pPr>
      <w:r>
        <w:rPr>
          <w:rFonts w:hint="eastAsia"/>
          <w:sz w:val="24"/>
          <w:szCs w:val="24"/>
        </w:rPr>
        <w:t>综合授信</w:t>
      </w:r>
      <w:r>
        <w:rPr>
          <w:sz w:val="24"/>
          <w:szCs w:val="24"/>
        </w:rPr>
        <w:t>额度有效期自202</w:t>
      </w:r>
      <w:r>
        <w:rPr>
          <w:rFonts w:hint="eastAsia"/>
          <w:sz w:val="24"/>
          <w:szCs w:val="24"/>
          <w:lang w:val="en-US"/>
        </w:rPr>
        <w:t>4</w:t>
      </w:r>
      <w:r w:rsidR="0030235C">
        <w:rPr>
          <w:rFonts w:hint="eastAsia"/>
          <w:sz w:val="24"/>
          <w:szCs w:val="24"/>
          <w:lang w:val="en-US"/>
        </w:rPr>
        <w:t>年</w:t>
      </w:r>
      <w:r>
        <w:rPr>
          <w:sz w:val="24"/>
          <w:szCs w:val="24"/>
        </w:rPr>
        <w:t>年度股东大会审议批准之日起至下一年度股东大会召开之日止；在额度有效期内，授信额度可循环使用。</w:t>
      </w:r>
    </w:p>
    <w:p w:rsidR="009F254D" w:rsidRDefault="008C7A68">
      <w:pPr>
        <w:adjustRightInd w:val="0"/>
        <w:snapToGrid w:val="0"/>
        <w:spacing w:line="360" w:lineRule="auto"/>
        <w:ind w:firstLineChars="200" w:firstLine="482"/>
        <w:rPr>
          <w:b/>
          <w:bCs/>
          <w:sz w:val="24"/>
          <w:szCs w:val="24"/>
        </w:rPr>
      </w:pPr>
      <w:r>
        <w:rPr>
          <w:rFonts w:hint="eastAsia"/>
          <w:b/>
          <w:bCs/>
          <w:sz w:val="24"/>
          <w:szCs w:val="24"/>
        </w:rPr>
        <w:t>二、其他说明</w:t>
      </w:r>
    </w:p>
    <w:p w:rsidR="009F254D" w:rsidRDefault="008C7A68">
      <w:pPr>
        <w:adjustRightInd w:val="0"/>
        <w:snapToGrid w:val="0"/>
        <w:spacing w:line="360" w:lineRule="auto"/>
        <w:ind w:firstLineChars="200" w:firstLine="480"/>
        <w:rPr>
          <w:sz w:val="24"/>
          <w:szCs w:val="24"/>
        </w:rPr>
      </w:pPr>
      <w:r>
        <w:rPr>
          <w:rFonts w:hint="eastAsia"/>
          <w:sz w:val="24"/>
          <w:szCs w:val="24"/>
        </w:rPr>
        <w:lastRenderedPageBreak/>
        <w:t>本次授信额度不等于公司的实际融资金额，实际融资金额将根据公司运营资金的实际需求确定，在授信额度内以向银行及类金融企业与公司实际发生的融资金额为准。考虑到不断变化的金融市场环境，董事会在股东大会审核通过后将授权公司法定代表人根据公司实际经营情况在报经批准的上述授信额度内，签署相关融资法律文件。</w:t>
      </w:r>
    </w:p>
    <w:p w:rsidR="009F254D" w:rsidRDefault="009F254D">
      <w:pPr>
        <w:adjustRightInd w:val="0"/>
        <w:snapToGrid w:val="0"/>
        <w:spacing w:line="360" w:lineRule="auto"/>
        <w:ind w:firstLineChars="180" w:firstLine="396"/>
        <w:rPr>
          <w:rFonts w:asciiTheme="minorEastAsia" w:eastAsiaTheme="minorEastAsia" w:hAnsiTheme="minorEastAsia"/>
        </w:rPr>
      </w:pPr>
    </w:p>
    <w:p w:rsidR="009F254D" w:rsidRDefault="008C7A68">
      <w:pPr>
        <w:pStyle w:val="a4"/>
        <w:spacing w:before="2" w:line="468" w:lineRule="auto"/>
        <w:ind w:left="220" w:right="238" w:firstLine="479"/>
        <w:jc w:val="both"/>
        <w:rPr>
          <w:rFonts w:asciiTheme="minorEastAsia" w:eastAsiaTheme="minorEastAsia" w:hAnsiTheme="minorEastAsia"/>
        </w:rPr>
      </w:pPr>
      <w:r>
        <w:rPr>
          <w:rFonts w:asciiTheme="minorEastAsia" w:eastAsiaTheme="minorEastAsia" w:hAnsiTheme="minorEastAsia"/>
        </w:rPr>
        <w:t>特此公告。</w:t>
      </w:r>
    </w:p>
    <w:p w:rsidR="009F254D" w:rsidRDefault="009F254D">
      <w:pPr>
        <w:pStyle w:val="a4"/>
        <w:spacing w:before="2" w:line="468" w:lineRule="auto"/>
        <w:ind w:left="220" w:right="238" w:firstLine="479"/>
        <w:jc w:val="both"/>
        <w:rPr>
          <w:rFonts w:ascii="Times New Roman" w:hAnsi="Times New Roman" w:cs="Times New Roman"/>
        </w:rPr>
      </w:pPr>
    </w:p>
    <w:p w:rsidR="009F254D" w:rsidRDefault="008C7A68">
      <w:pPr>
        <w:autoSpaceDE/>
        <w:autoSpaceDN/>
        <w:spacing w:line="360" w:lineRule="auto"/>
        <w:jc w:val="right"/>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安徽省交通建设股份有限公司董事会</w:t>
      </w:r>
      <w:r>
        <w:rPr>
          <w:rFonts w:ascii="Times New Roman" w:hAnsi="Times New Roman" w:cs="Times New Roman"/>
          <w:kern w:val="2"/>
          <w:sz w:val="24"/>
          <w:szCs w:val="24"/>
          <w:lang w:val="en-US" w:bidi="ar-SA"/>
        </w:rPr>
        <w:t xml:space="preserve"> </w:t>
      </w:r>
    </w:p>
    <w:p w:rsidR="009F254D" w:rsidRDefault="008C7A68">
      <w:pPr>
        <w:autoSpaceDE/>
        <w:autoSpaceDN/>
        <w:spacing w:line="360" w:lineRule="auto"/>
        <w:jc w:val="right"/>
        <w:rPr>
          <w:rFonts w:ascii="Times New Roman" w:hAnsi="Times New Roman" w:cs="Times New Roman"/>
        </w:rPr>
      </w:pPr>
      <w:r>
        <w:rPr>
          <w:rFonts w:ascii="Times New Roman" w:hAnsi="Times New Roman" w:cs="Times New Roman"/>
          <w:kern w:val="2"/>
          <w:sz w:val="24"/>
          <w:szCs w:val="24"/>
          <w:lang w:val="en-US" w:bidi="ar-SA"/>
        </w:rPr>
        <w:t xml:space="preserve"> </w:t>
      </w:r>
      <w:r>
        <w:rPr>
          <w:rFonts w:ascii="Times New Roman" w:hAnsi="Times New Roman" w:cs="Times New Roman" w:hint="eastAsia"/>
          <w:kern w:val="2"/>
          <w:sz w:val="24"/>
          <w:szCs w:val="24"/>
          <w:lang w:val="en-US" w:bidi="ar-SA"/>
        </w:rPr>
        <w:t>2025</w:t>
      </w:r>
      <w:r>
        <w:rPr>
          <w:rFonts w:ascii="Times New Roman" w:hAnsi="Times New Roman" w:cs="Times New Roman"/>
          <w:kern w:val="2"/>
          <w:sz w:val="24"/>
          <w:szCs w:val="24"/>
          <w:lang w:val="en-US" w:bidi="ar-SA"/>
        </w:rPr>
        <w:t>年</w:t>
      </w:r>
      <w:r>
        <w:rPr>
          <w:rFonts w:ascii="Times New Roman" w:hAnsi="Times New Roman" w:cs="Times New Roman" w:hint="eastAsia"/>
          <w:kern w:val="2"/>
          <w:sz w:val="24"/>
          <w:szCs w:val="24"/>
          <w:lang w:val="en-US" w:bidi="ar-SA"/>
        </w:rPr>
        <w:t>4</w:t>
      </w:r>
      <w:r>
        <w:rPr>
          <w:rFonts w:ascii="Times New Roman" w:hAnsi="Times New Roman" w:cs="Times New Roman"/>
          <w:kern w:val="2"/>
          <w:sz w:val="24"/>
          <w:szCs w:val="24"/>
          <w:lang w:val="en-US" w:bidi="ar-SA"/>
        </w:rPr>
        <w:t>月</w:t>
      </w:r>
      <w:r w:rsidR="0030235C">
        <w:rPr>
          <w:rFonts w:ascii="Times New Roman" w:hAnsi="Times New Roman" w:cs="Times New Roman" w:hint="eastAsia"/>
          <w:kern w:val="2"/>
          <w:sz w:val="24"/>
          <w:szCs w:val="24"/>
          <w:lang w:val="en-US" w:bidi="ar-SA"/>
        </w:rPr>
        <w:t>29</w:t>
      </w:r>
      <w:bookmarkStart w:id="2" w:name="_GoBack"/>
      <w:bookmarkEnd w:id="2"/>
      <w:r>
        <w:rPr>
          <w:rFonts w:ascii="Times New Roman" w:hAnsi="Times New Roman" w:cs="Times New Roman"/>
          <w:kern w:val="2"/>
          <w:sz w:val="24"/>
          <w:szCs w:val="24"/>
          <w:lang w:val="en-US" w:bidi="ar-SA"/>
        </w:rPr>
        <w:t>日</w:t>
      </w:r>
      <w:r>
        <w:rPr>
          <w:rFonts w:ascii="Times New Roman" w:hAnsi="Times New Roman" w:cs="Times New Roman"/>
          <w:kern w:val="2"/>
          <w:sz w:val="24"/>
          <w:szCs w:val="24"/>
          <w:lang w:val="en-US" w:bidi="ar-SA"/>
        </w:rPr>
        <w:t xml:space="preserve"> </w:t>
      </w:r>
    </w:p>
    <w:sectPr w:rsidR="009F254D">
      <w:footerReference w:type="default" r:id="rId8"/>
      <w:pgSz w:w="11910" w:h="16840"/>
      <w:pgMar w:top="1420" w:right="1560" w:bottom="1320" w:left="1580" w:header="0" w:footer="11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5C" w:rsidRDefault="00E86C5C">
      <w:r>
        <w:separator/>
      </w:r>
    </w:p>
  </w:endnote>
  <w:endnote w:type="continuationSeparator" w:id="0">
    <w:p w:rsidR="00E86C5C" w:rsidRDefault="00E8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D" w:rsidRDefault="008C7A68">
    <w:pPr>
      <w:pStyle w:val="a4"/>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3698240</wp:posOffset>
              </wp:positionH>
              <wp:positionV relativeFrom="page">
                <wp:posOffset>9999345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rsidR="009F254D" w:rsidRDefault="008C7A68">
                          <w:pPr>
                            <w:spacing w:before="12"/>
                            <w:ind w:left="40"/>
                            <w:rPr>
                              <w:rFonts w:ascii="Times New Roman"/>
                              <w:sz w:val="18"/>
                            </w:rPr>
                          </w:pPr>
                          <w:r>
                            <w:fldChar w:fldCharType="begin"/>
                          </w:r>
                          <w:r>
                            <w:rPr>
                              <w:rFonts w:ascii="Times New Roman"/>
                              <w:sz w:val="18"/>
                            </w:rPr>
                            <w:instrText xml:space="preserve"> PAGE </w:instrText>
                          </w:r>
                          <w:r>
                            <w:fldChar w:fldCharType="separate"/>
                          </w:r>
                          <w:r w:rsidR="0030235C">
                            <w:rPr>
                              <w:rFonts w:ascii="Times New Roman"/>
                              <w:noProof/>
                              <w:sz w:val="18"/>
                            </w:rPr>
                            <w:t>2</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2pt;margin-top:787.35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I47AEAAMMDAAAOAAAAZHJzL2Uyb0RvYy54bWysU9tu2zAMfR+wfxD0vtgJ1m4w4hRdiw4D&#10;ugvQ7gNkWbKFWaJGKbGzrx8lx1nXvg17ESiKPOQhj7ZXkx3YQWEw4Gq+XpWcKSehNa6r+ffHuzfv&#10;OQtRuFYM4FTNjyrwq93rV9vRV2oDPQytQkYgLlSjr3kfo6+KIsheWRFW4JWjRw1oRaQrdkWLYiR0&#10;OxSbsrwsRsDWI0gVAnlv50e+y/haKxm/ah1UZEPNqbeYT8xnk85itxVVh8L3Rp7aEP/QhRXGUdEz&#10;1K2Igu3RvICyRiIE0HElwRagtZEqcyA26/IZm4deeJW50HCCP48p/D9Y+eXwDZlpaXecOWFpRY9q&#10;iuwDTGydpjP6UFHQg6ewOJE7RSamwd+D/BGYg5teuE5dI8LYK9FSdzmzeJI644QE0oyfoaUyYh8h&#10;A00abQKkYTBCpy0dz5tJrchU8vJdWV5wJulpfbF5W+bNFaJakj2G+FGBZcmoOdLiM7g43IdINCh0&#10;CUm1HNyZYcjLH9xfDgqcPSqr55SdqKTuZx5xaqbTaBpoj0QKYVYW/QQyesBfnI2kqpqHn3uBirPh&#10;k6PBJAkuBi5GsxjCSUqteeRsNm/iLNW9R9P1hDyP3sE1DU+bTCy1NndBLNOFlJL5nlSdpPj0nqP+&#10;/L3dbwAAAP//AwBQSwMEFAAGAAgAAAAhAHmPvW3hAAAADQEAAA8AAABkcnMvZG93bnJldi54bWxM&#10;j8FOwzAQRO9I/IO1SNyo3apN0zROVSE4ISHScODoxG5iNV6H2G3D37M9wW12ZzT7Nt9NrmcXMwbr&#10;UcJ8JoAZbLy22Er4rF6fUmAhKtSq92gk/JgAu+L+LleZ9lcszeUQW0YlGDIloYtxyDgPTWecCjM/&#10;GCTv6EenIo1jy/WorlTuer4QIuFOWaQLnRrMc2ea0+HsJOy/sHyx3+/1R3ksbVVtBL4lJykfH6b9&#10;Flg0U/wLww2f0KEgptqfUQfWS1iliyVFyVitl2tgFElESqK+rTakeJHz/18UvwAAAP//AwBQSwEC&#10;LQAUAAYACAAAACEAtoM4kv4AAADhAQAAEwAAAAAAAAAAAAAAAAAAAAAAW0NvbnRlbnRfVHlwZXNd&#10;LnhtbFBLAQItABQABgAIAAAAIQA4/SH/1gAAAJQBAAALAAAAAAAAAAAAAAAAAC8BAABfcmVscy8u&#10;cmVsc1BLAQItABQABgAIAAAAIQBifMI47AEAAMMDAAAOAAAAAAAAAAAAAAAAAC4CAABkcnMvZTJv&#10;RG9jLnhtbFBLAQItABQABgAIAAAAIQB5j71t4QAAAA0BAAAPAAAAAAAAAAAAAAAAAEYEAABkcnMv&#10;ZG93bnJldi54bWxQSwUGAAAAAAQABADzAAAAVAUAAAAA&#10;" filled="f" stroked="f">
              <v:textbox inset="0,0,0,0">
                <w:txbxContent>
                  <w:p w:rsidR="009F254D" w:rsidRDefault="008C7A68">
                    <w:pPr>
                      <w:spacing w:before="12"/>
                      <w:ind w:left="40"/>
                      <w:rPr>
                        <w:rFonts w:ascii="Times New Roman"/>
                        <w:sz w:val="18"/>
                      </w:rPr>
                    </w:pPr>
                    <w:r>
                      <w:fldChar w:fldCharType="begin"/>
                    </w:r>
                    <w:r>
                      <w:rPr>
                        <w:rFonts w:ascii="Times New Roman"/>
                        <w:sz w:val="18"/>
                      </w:rPr>
                      <w:instrText xml:space="preserve"> PAGE </w:instrText>
                    </w:r>
                    <w:r>
                      <w:fldChar w:fldCharType="separate"/>
                    </w:r>
                    <w:r w:rsidR="0030235C">
                      <w:rPr>
                        <w:rFonts w:ascii="Times New Roman"/>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5C" w:rsidRDefault="00E86C5C">
      <w:r>
        <w:separator/>
      </w:r>
    </w:p>
  </w:footnote>
  <w:footnote w:type="continuationSeparator" w:id="0">
    <w:p w:rsidR="00E86C5C" w:rsidRDefault="00E86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zVhMDM0ZDg2YTQ0N2E3NGY2ZTQ2NmE1NmFjOWMifQ=="/>
  </w:docVars>
  <w:rsids>
    <w:rsidRoot w:val="00DA6849"/>
    <w:rsid w:val="0000393E"/>
    <w:rsid w:val="00003A2A"/>
    <w:rsid w:val="00006FC9"/>
    <w:rsid w:val="00052DB9"/>
    <w:rsid w:val="00053DB3"/>
    <w:rsid w:val="00066477"/>
    <w:rsid w:val="000B2FA1"/>
    <w:rsid w:val="000B6430"/>
    <w:rsid w:val="000C0FB8"/>
    <w:rsid w:val="000D4C36"/>
    <w:rsid w:val="000E7D54"/>
    <w:rsid w:val="00127A12"/>
    <w:rsid w:val="00157141"/>
    <w:rsid w:val="001723FA"/>
    <w:rsid w:val="0017420C"/>
    <w:rsid w:val="001A0536"/>
    <w:rsid w:val="001A25BC"/>
    <w:rsid w:val="001B1E6D"/>
    <w:rsid w:val="001C0D04"/>
    <w:rsid w:val="001E6848"/>
    <w:rsid w:val="001F2695"/>
    <w:rsid w:val="002003E0"/>
    <w:rsid w:val="00200439"/>
    <w:rsid w:val="002078E9"/>
    <w:rsid w:val="002249D8"/>
    <w:rsid w:val="00245D3F"/>
    <w:rsid w:val="00264DDE"/>
    <w:rsid w:val="0028338F"/>
    <w:rsid w:val="002865AC"/>
    <w:rsid w:val="002877EF"/>
    <w:rsid w:val="00291B35"/>
    <w:rsid w:val="002B0578"/>
    <w:rsid w:val="002F3484"/>
    <w:rsid w:val="002F498A"/>
    <w:rsid w:val="0030235C"/>
    <w:rsid w:val="003231D2"/>
    <w:rsid w:val="00327B50"/>
    <w:rsid w:val="00330754"/>
    <w:rsid w:val="00350E54"/>
    <w:rsid w:val="003D6354"/>
    <w:rsid w:val="00406C01"/>
    <w:rsid w:val="00407800"/>
    <w:rsid w:val="00416BC3"/>
    <w:rsid w:val="004414F3"/>
    <w:rsid w:val="00475C70"/>
    <w:rsid w:val="004F2DB7"/>
    <w:rsid w:val="00523F31"/>
    <w:rsid w:val="0053379B"/>
    <w:rsid w:val="005357F4"/>
    <w:rsid w:val="00565AC5"/>
    <w:rsid w:val="005722A2"/>
    <w:rsid w:val="0057605C"/>
    <w:rsid w:val="00580EB3"/>
    <w:rsid w:val="005B06D5"/>
    <w:rsid w:val="005B0B6A"/>
    <w:rsid w:val="00605EF6"/>
    <w:rsid w:val="00651ABB"/>
    <w:rsid w:val="0066786B"/>
    <w:rsid w:val="00686045"/>
    <w:rsid w:val="006A1150"/>
    <w:rsid w:val="006A6DFC"/>
    <w:rsid w:val="006D3699"/>
    <w:rsid w:val="006E2AAB"/>
    <w:rsid w:val="007009E1"/>
    <w:rsid w:val="00727818"/>
    <w:rsid w:val="007468CD"/>
    <w:rsid w:val="007538CD"/>
    <w:rsid w:val="00765932"/>
    <w:rsid w:val="007718A9"/>
    <w:rsid w:val="007A3992"/>
    <w:rsid w:val="007E5A02"/>
    <w:rsid w:val="007F23E5"/>
    <w:rsid w:val="00832F04"/>
    <w:rsid w:val="008669C7"/>
    <w:rsid w:val="00883BA8"/>
    <w:rsid w:val="00885AA7"/>
    <w:rsid w:val="0089113F"/>
    <w:rsid w:val="008911EA"/>
    <w:rsid w:val="008A5967"/>
    <w:rsid w:val="008C045B"/>
    <w:rsid w:val="008C7A68"/>
    <w:rsid w:val="008F0B76"/>
    <w:rsid w:val="008F4AA2"/>
    <w:rsid w:val="0090724D"/>
    <w:rsid w:val="009123D4"/>
    <w:rsid w:val="0093635E"/>
    <w:rsid w:val="00943CE3"/>
    <w:rsid w:val="00960CB9"/>
    <w:rsid w:val="00963C90"/>
    <w:rsid w:val="009A12D7"/>
    <w:rsid w:val="009A3864"/>
    <w:rsid w:val="009E6B84"/>
    <w:rsid w:val="009F254D"/>
    <w:rsid w:val="009F7000"/>
    <w:rsid w:val="00A12CEA"/>
    <w:rsid w:val="00A34E28"/>
    <w:rsid w:val="00A450F5"/>
    <w:rsid w:val="00A63237"/>
    <w:rsid w:val="00A641DE"/>
    <w:rsid w:val="00A65CB1"/>
    <w:rsid w:val="00A91FFD"/>
    <w:rsid w:val="00AB0375"/>
    <w:rsid w:val="00AB35D7"/>
    <w:rsid w:val="00AD731E"/>
    <w:rsid w:val="00AF414F"/>
    <w:rsid w:val="00B00640"/>
    <w:rsid w:val="00B04532"/>
    <w:rsid w:val="00B21EFE"/>
    <w:rsid w:val="00B30C40"/>
    <w:rsid w:val="00B57BE8"/>
    <w:rsid w:val="00B7041F"/>
    <w:rsid w:val="00B8250E"/>
    <w:rsid w:val="00B9021E"/>
    <w:rsid w:val="00B93E5E"/>
    <w:rsid w:val="00B944CB"/>
    <w:rsid w:val="00BB24F8"/>
    <w:rsid w:val="00BB43A9"/>
    <w:rsid w:val="00BE4658"/>
    <w:rsid w:val="00BE6B52"/>
    <w:rsid w:val="00C075FB"/>
    <w:rsid w:val="00C17CF4"/>
    <w:rsid w:val="00C800A4"/>
    <w:rsid w:val="00C808DE"/>
    <w:rsid w:val="00C94E15"/>
    <w:rsid w:val="00CA07CA"/>
    <w:rsid w:val="00CC6F86"/>
    <w:rsid w:val="00CD31CC"/>
    <w:rsid w:val="00CF1375"/>
    <w:rsid w:val="00CF284A"/>
    <w:rsid w:val="00CF470E"/>
    <w:rsid w:val="00D05820"/>
    <w:rsid w:val="00D16781"/>
    <w:rsid w:val="00D24340"/>
    <w:rsid w:val="00D406DB"/>
    <w:rsid w:val="00D41B76"/>
    <w:rsid w:val="00D523EB"/>
    <w:rsid w:val="00D601D8"/>
    <w:rsid w:val="00D63360"/>
    <w:rsid w:val="00D75C7F"/>
    <w:rsid w:val="00D913E5"/>
    <w:rsid w:val="00DA6849"/>
    <w:rsid w:val="00DB1382"/>
    <w:rsid w:val="00DF7E13"/>
    <w:rsid w:val="00E05FB2"/>
    <w:rsid w:val="00E161F0"/>
    <w:rsid w:val="00E55B23"/>
    <w:rsid w:val="00E70138"/>
    <w:rsid w:val="00E85A85"/>
    <w:rsid w:val="00E86C5C"/>
    <w:rsid w:val="00EB2CA6"/>
    <w:rsid w:val="00EB2FFF"/>
    <w:rsid w:val="00EB6DB0"/>
    <w:rsid w:val="00ED1F6E"/>
    <w:rsid w:val="00ED2389"/>
    <w:rsid w:val="00EF7A00"/>
    <w:rsid w:val="00F06658"/>
    <w:rsid w:val="00F3450A"/>
    <w:rsid w:val="00F56563"/>
    <w:rsid w:val="00F62D89"/>
    <w:rsid w:val="00F8612E"/>
    <w:rsid w:val="00F929C0"/>
    <w:rsid w:val="0A482EEB"/>
    <w:rsid w:val="0E626804"/>
    <w:rsid w:val="30592AE3"/>
    <w:rsid w:val="37867C9C"/>
    <w:rsid w:val="59372D0D"/>
    <w:rsid w:val="5C0C6D63"/>
    <w:rsid w:val="5F7E6F77"/>
    <w:rsid w:val="61257CD3"/>
    <w:rsid w:val="645A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uiPriority w:val="1"/>
    <w:qFormat/>
    <w:rPr>
      <w:sz w:val="24"/>
      <w:szCs w:val="24"/>
    </w:r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semiHidden/>
    <w:unhideWhenUsed/>
    <w:qFormat/>
    <w:rPr>
      <w:color w:val="0000FF"/>
      <w:u w:val="single"/>
    </w:rPr>
  </w:style>
  <w:style w:type="character" w:styleId="aa">
    <w:name w:val="annotation reference"/>
    <w:basedOn w:val="a0"/>
    <w:autoRedefine/>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34"/>
    <w:qFormat/>
  </w:style>
  <w:style w:type="paragraph" w:customStyle="1" w:styleId="TableParagraph">
    <w:name w:val="Table Paragraph"/>
    <w:basedOn w:val="a"/>
    <w:autoRedefine/>
    <w:uiPriority w:val="1"/>
    <w:qFormat/>
    <w:pPr>
      <w:ind w:left="107"/>
    </w:pPr>
  </w:style>
  <w:style w:type="character" w:customStyle="1" w:styleId="Char">
    <w:name w:val="批注文字 Char"/>
    <w:basedOn w:val="a0"/>
    <w:link w:val="a3"/>
    <w:autoRedefine/>
    <w:uiPriority w:val="99"/>
    <w:semiHidden/>
    <w:qFormat/>
    <w:rPr>
      <w:rFonts w:ascii="宋体" w:eastAsia="宋体" w:hAnsi="宋体" w:cs="宋体"/>
      <w:lang w:val="zh-CN" w:eastAsia="zh-CN" w:bidi="zh-CN"/>
    </w:rPr>
  </w:style>
  <w:style w:type="character" w:customStyle="1" w:styleId="Char3">
    <w:name w:val="批注主题 Char"/>
    <w:basedOn w:val="Char"/>
    <w:link w:val="a8"/>
    <w:autoRedefine/>
    <w:uiPriority w:val="99"/>
    <w:semiHidden/>
    <w:qFormat/>
    <w:rPr>
      <w:rFonts w:ascii="宋体" w:eastAsia="宋体" w:hAnsi="宋体" w:cs="宋体"/>
      <w:b/>
      <w:bCs/>
      <w:lang w:val="zh-CN" w:eastAsia="zh-CN" w:bidi="zh-CN"/>
    </w:rPr>
  </w:style>
  <w:style w:type="character" w:customStyle="1" w:styleId="Char0">
    <w:name w:val="批注框文本 Char"/>
    <w:basedOn w:val="a0"/>
    <w:link w:val="a5"/>
    <w:autoRedefine/>
    <w:uiPriority w:val="99"/>
    <w:semiHidden/>
    <w:qFormat/>
    <w:rPr>
      <w:rFonts w:ascii="宋体" w:eastAsia="宋体" w:hAnsi="宋体" w:cs="宋体"/>
      <w:sz w:val="18"/>
      <w:szCs w:val="18"/>
      <w:lang w:val="zh-CN" w:eastAsia="zh-CN" w:bidi="zh-CN"/>
    </w:rPr>
  </w:style>
  <w:style w:type="character" w:customStyle="1" w:styleId="Char2">
    <w:name w:val="页眉 Char"/>
    <w:basedOn w:val="a0"/>
    <w:link w:val="a7"/>
    <w:autoRedefine/>
    <w:uiPriority w:val="99"/>
    <w:qFormat/>
    <w:rPr>
      <w:rFonts w:ascii="宋体" w:eastAsia="宋体" w:hAnsi="宋体" w:cs="宋体"/>
      <w:sz w:val="18"/>
      <w:szCs w:val="18"/>
      <w:lang w:val="zh-CN" w:eastAsia="zh-CN" w:bidi="zh-CN"/>
    </w:rPr>
  </w:style>
  <w:style w:type="character" w:customStyle="1" w:styleId="Char1">
    <w:name w:val="页脚 Char"/>
    <w:basedOn w:val="a0"/>
    <w:link w:val="a6"/>
    <w:autoRedefine/>
    <w:uiPriority w:val="99"/>
    <w:qFormat/>
    <w:rPr>
      <w:rFonts w:ascii="宋体" w:eastAsia="宋体" w:hAnsi="宋体" w:cs="宋体"/>
      <w:sz w:val="18"/>
      <w:szCs w:val="18"/>
      <w:lang w:val="zh-CN" w:eastAsia="zh-CN" w:bidi="zh-CN"/>
    </w:rPr>
  </w:style>
  <w:style w:type="character" w:customStyle="1" w:styleId="apple-converted-space">
    <w:name w:val="apple-converted-space"/>
    <w:basedOn w:val="a0"/>
    <w:autoRedefine/>
    <w:qFormat/>
  </w:style>
  <w:style w:type="paragraph" w:customStyle="1" w:styleId="1">
    <w:name w:val="修订1"/>
    <w:hidden/>
    <w:uiPriority w:val="99"/>
    <w:unhideWhenUsed/>
    <w:qFormat/>
    <w:rPr>
      <w:rFonts w:ascii="宋体" w:eastAsia="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uiPriority w:val="1"/>
    <w:qFormat/>
    <w:rPr>
      <w:sz w:val="24"/>
      <w:szCs w:val="24"/>
    </w:r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semiHidden/>
    <w:unhideWhenUsed/>
    <w:qFormat/>
    <w:rPr>
      <w:color w:val="0000FF"/>
      <w:u w:val="single"/>
    </w:rPr>
  </w:style>
  <w:style w:type="character" w:styleId="aa">
    <w:name w:val="annotation reference"/>
    <w:basedOn w:val="a0"/>
    <w:autoRedefine/>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34"/>
    <w:qFormat/>
  </w:style>
  <w:style w:type="paragraph" w:customStyle="1" w:styleId="TableParagraph">
    <w:name w:val="Table Paragraph"/>
    <w:basedOn w:val="a"/>
    <w:autoRedefine/>
    <w:uiPriority w:val="1"/>
    <w:qFormat/>
    <w:pPr>
      <w:ind w:left="107"/>
    </w:pPr>
  </w:style>
  <w:style w:type="character" w:customStyle="1" w:styleId="Char">
    <w:name w:val="批注文字 Char"/>
    <w:basedOn w:val="a0"/>
    <w:link w:val="a3"/>
    <w:autoRedefine/>
    <w:uiPriority w:val="99"/>
    <w:semiHidden/>
    <w:qFormat/>
    <w:rPr>
      <w:rFonts w:ascii="宋体" w:eastAsia="宋体" w:hAnsi="宋体" w:cs="宋体"/>
      <w:lang w:val="zh-CN" w:eastAsia="zh-CN" w:bidi="zh-CN"/>
    </w:rPr>
  </w:style>
  <w:style w:type="character" w:customStyle="1" w:styleId="Char3">
    <w:name w:val="批注主题 Char"/>
    <w:basedOn w:val="Char"/>
    <w:link w:val="a8"/>
    <w:autoRedefine/>
    <w:uiPriority w:val="99"/>
    <w:semiHidden/>
    <w:qFormat/>
    <w:rPr>
      <w:rFonts w:ascii="宋体" w:eastAsia="宋体" w:hAnsi="宋体" w:cs="宋体"/>
      <w:b/>
      <w:bCs/>
      <w:lang w:val="zh-CN" w:eastAsia="zh-CN" w:bidi="zh-CN"/>
    </w:rPr>
  </w:style>
  <w:style w:type="character" w:customStyle="1" w:styleId="Char0">
    <w:name w:val="批注框文本 Char"/>
    <w:basedOn w:val="a0"/>
    <w:link w:val="a5"/>
    <w:autoRedefine/>
    <w:uiPriority w:val="99"/>
    <w:semiHidden/>
    <w:qFormat/>
    <w:rPr>
      <w:rFonts w:ascii="宋体" w:eastAsia="宋体" w:hAnsi="宋体" w:cs="宋体"/>
      <w:sz w:val="18"/>
      <w:szCs w:val="18"/>
      <w:lang w:val="zh-CN" w:eastAsia="zh-CN" w:bidi="zh-CN"/>
    </w:rPr>
  </w:style>
  <w:style w:type="character" w:customStyle="1" w:styleId="Char2">
    <w:name w:val="页眉 Char"/>
    <w:basedOn w:val="a0"/>
    <w:link w:val="a7"/>
    <w:autoRedefine/>
    <w:uiPriority w:val="99"/>
    <w:qFormat/>
    <w:rPr>
      <w:rFonts w:ascii="宋体" w:eastAsia="宋体" w:hAnsi="宋体" w:cs="宋体"/>
      <w:sz w:val="18"/>
      <w:szCs w:val="18"/>
      <w:lang w:val="zh-CN" w:eastAsia="zh-CN" w:bidi="zh-CN"/>
    </w:rPr>
  </w:style>
  <w:style w:type="character" w:customStyle="1" w:styleId="Char1">
    <w:name w:val="页脚 Char"/>
    <w:basedOn w:val="a0"/>
    <w:link w:val="a6"/>
    <w:autoRedefine/>
    <w:uiPriority w:val="99"/>
    <w:qFormat/>
    <w:rPr>
      <w:rFonts w:ascii="宋体" w:eastAsia="宋体" w:hAnsi="宋体" w:cs="宋体"/>
      <w:sz w:val="18"/>
      <w:szCs w:val="18"/>
      <w:lang w:val="zh-CN" w:eastAsia="zh-CN" w:bidi="zh-CN"/>
    </w:rPr>
  </w:style>
  <w:style w:type="character" w:customStyle="1" w:styleId="apple-converted-space">
    <w:name w:val="apple-converted-space"/>
    <w:basedOn w:val="a0"/>
    <w:autoRedefine/>
    <w:qFormat/>
  </w:style>
  <w:style w:type="paragraph" w:customStyle="1" w:styleId="1">
    <w:name w:val="修订1"/>
    <w:hidden/>
    <w:uiPriority w:val="99"/>
    <w:unhideWhenUsed/>
    <w:qFormat/>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林玲</cp:lastModifiedBy>
  <cp:revision>110</cp:revision>
  <dcterms:created xsi:type="dcterms:W3CDTF">2019-08-26T08:38:00Z</dcterms:created>
  <dcterms:modified xsi:type="dcterms:W3CDTF">2025-04-27T07:34:00Z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y fmtid="{D5CDD505-2E9C-101B-9397-08002B2CF9AE}" pid="5" name="KSOProductBuildVer">
    <vt:lpwstr>2052-12.1.0.20305</vt:lpwstr>
  </property>
  <property fmtid="{D5CDD505-2E9C-101B-9397-08002B2CF9AE}" pid="6" name="ICV">
    <vt:lpwstr>18DA967E744041CBA101EBB008F16CD0_13</vt:lpwstr>
  </property>
  <property fmtid="{D5CDD505-2E9C-101B-9397-08002B2CF9AE}" pid="7" name="KSOTemplateDocerSaveRecord">
    <vt:lpwstr>eyJoZGlkIjoiYTFmMjA5MjNkMGFiNjIwODZiMTI2Yjk1OTk1MGM0YTIiLCJ1c2VySWQiOiIyMDUyMTc3NDEifQ==</vt:lpwstr>
  </property>
</Properties>
</file>