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11272" w14:textId="20CA8922" w:rsidR="00623EBE" w:rsidRPr="00AE20DF" w:rsidRDefault="00824AFD" w:rsidP="00AE20DF">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proofErr w:type="gramStart"/>
      <w:r w:rsidRPr="0036389D">
        <w:rPr>
          <w:rFonts w:ascii="宋体" w:eastAsia="宋体" w:hAnsi="宋体" w:hint="eastAsia"/>
          <w:sz w:val="24"/>
          <w:szCs w:val="24"/>
        </w:rPr>
        <w:t>交建</w:t>
      </w:r>
      <w:r w:rsidRPr="0036389D">
        <w:rPr>
          <w:rFonts w:ascii="宋体" w:eastAsia="宋体" w:hAnsi="宋体"/>
          <w:sz w:val="24"/>
          <w:szCs w:val="24"/>
        </w:rPr>
        <w:t>股份</w:t>
      </w:r>
      <w:proofErr w:type="gramEnd"/>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9F3A7C">
        <w:rPr>
          <w:rFonts w:ascii="宋体" w:eastAsia="宋体" w:hAnsi="宋体" w:hint="eastAsia"/>
          <w:sz w:val="24"/>
          <w:szCs w:val="24"/>
        </w:rPr>
        <w:t>5</w:t>
      </w:r>
      <w:r w:rsidRPr="0036389D">
        <w:rPr>
          <w:rFonts w:ascii="宋体" w:eastAsia="宋体" w:hAnsi="宋体"/>
          <w:sz w:val="24"/>
          <w:szCs w:val="24"/>
        </w:rPr>
        <w:t>-</w:t>
      </w:r>
      <w:r w:rsidR="00932DF8">
        <w:rPr>
          <w:rFonts w:ascii="宋体" w:eastAsia="宋体" w:hAnsi="宋体" w:hint="eastAsia"/>
          <w:sz w:val="24"/>
          <w:szCs w:val="24"/>
        </w:rPr>
        <w:t>0</w:t>
      </w:r>
      <w:r w:rsidR="00112CC6">
        <w:rPr>
          <w:rFonts w:ascii="宋体" w:eastAsia="宋体" w:hAnsi="宋体" w:hint="eastAsia"/>
          <w:sz w:val="24"/>
          <w:szCs w:val="24"/>
        </w:rPr>
        <w:t>35</w:t>
      </w:r>
    </w:p>
    <w:p w14:paraId="6BF6F5C7" w14:textId="77777777" w:rsidR="00112CC6" w:rsidRDefault="00824AFD" w:rsidP="00112CC6">
      <w:pPr>
        <w:snapToGrid w:val="0"/>
        <w:spacing w:before="100" w:beforeAutospacing="1" w:after="100" w:afterAutospacing="1" w:line="520" w:lineRule="exact"/>
        <w:jc w:val="center"/>
        <w:rPr>
          <w:rFonts w:ascii="黑体" w:eastAsia="黑体" w:hAnsi="黑体" w:hint="eastAsia"/>
          <w:b/>
          <w:bCs/>
          <w:sz w:val="36"/>
          <w:szCs w:val="36"/>
        </w:rPr>
      </w:pPr>
      <w:r w:rsidRPr="0036389D">
        <w:rPr>
          <w:rFonts w:ascii="黑体" w:eastAsia="黑体" w:hAnsi="黑体" w:hint="eastAsia"/>
          <w:b/>
          <w:bCs/>
          <w:sz w:val="36"/>
          <w:szCs w:val="36"/>
        </w:rPr>
        <w:t>安徽省交通建设股份有限公司</w:t>
      </w:r>
    </w:p>
    <w:p w14:paraId="1266DE5B" w14:textId="7C3FBCCA" w:rsidR="00623EBE" w:rsidRPr="00112CC6" w:rsidRDefault="005E66A3" w:rsidP="00112CC6">
      <w:pPr>
        <w:snapToGrid w:val="0"/>
        <w:spacing w:before="100" w:beforeAutospacing="1" w:after="100" w:afterAutospacing="1" w:line="520" w:lineRule="exact"/>
        <w:jc w:val="center"/>
        <w:rPr>
          <w:rFonts w:ascii="黑体" w:eastAsia="黑体" w:hAnsi="黑体"/>
          <w:b/>
          <w:bCs/>
          <w:sz w:val="36"/>
          <w:szCs w:val="36"/>
        </w:rPr>
      </w:pPr>
      <w:r w:rsidRPr="0036389D">
        <w:rPr>
          <w:rFonts w:ascii="黑体" w:eastAsia="黑体" w:hAnsi="黑体" w:hint="eastAsia"/>
          <w:b/>
          <w:bCs/>
          <w:sz w:val="36"/>
          <w:szCs w:val="36"/>
        </w:rPr>
        <w:t>关于诉讼</w:t>
      </w:r>
      <w:r w:rsidR="00535483">
        <w:rPr>
          <w:rFonts w:ascii="黑体" w:eastAsia="黑体" w:hAnsi="黑体" w:hint="eastAsia"/>
          <w:b/>
          <w:bCs/>
          <w:sz w:val="36"/>
          <w:szCs w:val="36"/>
        </w:rPr>
        <w:t>进展</w:t>
      </w:r>
      <w:r w:rsidRPr="0036389D">
        <w:rPr>
          <w:rFonts w:ascii="黑体" w:eastAsia="黑体" w:hAnsi="黑体" w:hint="eastAsia"/>
          <w:b/>
          <w:bCs/>
          <w:sz w:val="36"/>
          <w:szCs w:val="36"/>
        </w:rPr>
        <w:t>的公告</w:t>
      </w:r>
    </w:p>
    <w:p w14:paraId="6465B6D3" w14:textId="47793821" w:rsidR="00623EBE" w:rsidRPr="00694C2B" w:rsidRDefault="00824AFD" w:rsidP="00694C2B">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2DBD7305" w14:textId="6893C379"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案件所处的诉讼（仲裁）阶段</w:t>
      </w:r>
      <w:r w:rsidRPr="00694C2B">
        <w:rPr>
          <w:rFonts w:ascii="宋体" w:eastAsia="宋体" w:hAnsi="宋体" w:hint="eastAsia"/>
          <w:sz w:val="24"/>
          <w:szCs w:val="24"/>
          <w:shd w:val="clear" w:color="auto" w:fill="FFFFFF"/>
        </w:rPr>
        <w:t>：</w:t>
      </w:r>
      <w:r w:rsidR="003F38EB" w:rsidRPr="00694C2B">
        <w:rPr>
          <w:rFonts w:ascii="宋体" w:eastAsia="宋体" w:hAnsi="宋体" w:hint="eastAsia"/>
          <w:sz w:val="24"/>
          <w:szCs w:val="24"/>
          <w:shd w:val="clear" w:color="auto" w:fill="FFFFFF"/>
        </w:rPr>
        <w:t>一审判决</w:t>
      </w:r>
    </w:p>
    <w:p w14:paraId="57F26094" w14:textId="235BF548"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hint="eastAsia"/>
          <w:sz w:val="24"/>
          <w:szCs w:val="24"/>
          <w:shd w:val="clear" w:color="auto" w:fill="FFFFFF"/>
        </w:rPr>
        <w:t>上</w:t>
      </w:r>
      <w:r w:rsidRPr="00694C2B">
        <w:rPr>
          <w:rFonts w:ascii="宋体" w:eastAsia="宋体" w:hAnsi="宋体"/>
          <w:sz w:val="24"/>
          <w:szCs w:val="24"/>
          <w:shd w:val="clear" w:color="auto" w:fill="FFFFFF"/>
        </w:rPr>
        <w:t>市公司所处的当事人地位</w:t>
      </w:r>
      <w:r w:rsidRPr="00694C2B">
        <w:rPr>
          <w:rFonts w:ascii="宋体" w:eastAsia="宋体" w:hAnsi="宋体" w:hint="eastAsia"/>
          <w:sz w:val="24"/>
          <w:szCs w:val="24"/>
          <w:shd w:val="clear" w:color="auto" w:fill="FFFFFF"/>
        </w:rPr>
        <w:t>：</w:t>
      </w:r>
      <w:r w:rsidR="00A36D5D" w:rsidRPr="00694C2B">
        <w:rPr>
          <w:rFonts w:ascii="宋体" w:eastAsia="宋体" w:hAnsi="宋体" w:hint="eastAsia"/>
          <w:sz w:val="24"/>
          <w:szCs w:val="24"/>
          <w:shd w:val="clear" w:color="auto" w:fill="FFFFFF"/>
        </w:rPr>
        <w:t>上市</w:t>
      </w:r>
      <w:r w:rsidR="001B073B" w:rsidRPr="00694C2B">
        <w:rPr>
          <w:rFonts w:ascii="宋体" w:eastAsia="宋体" w:hAnsi="宋体" w:hint="eastAsia"/>
          <w:sz w:val="24"/>
          <w:szCs w:val="24"/>
          <w:shd w:val="clear" w:color="auto" w:fill="FFFFFF"/>
        </w:rPr>
        <w:t>公司</w:t>
      </w:r>
      <w:r w:rsidRPr="00694C2B">
        <w:rPr>
          <w:rFonts w:ascii="宋体" w:eastAsia="宋体" w:hAnsi="宋体" w:hint="eastAsia"/>
          <w:sz w:val="24"/>
          <w:szCs w:val="24"/>
          <w:shd w:val="clear" w:color="auto" w:fill="FFFFFF"/>
        </w:rPr>
        <w:t>为原告</w:t>
      </w:r>
    </w:p>
    <w:p w14:paraId="086FFED6" w14:textId="58D55C3D" w:rsidR="00F606B8" w:rsidRPr="00694C2B" w:rsidRDefault="00F606B8" w:rsidP="006277C6">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涉案的金额：</w:t>
      </w:r>
      <w:r w:rsidR="006277C6" w:rsidRPr="006277C6">
        <w:rPr>
          <w:rFonts w:ascii="宋体" w:eastAsia="宋体" w:hAnsi="宋体" w:hint="eastAsia"/>
          <w:sz w:val="24"/>
          <w:szCs w:val="24"/>
          <w:shd w:val="clear" w:color="auto" w:fill="FFFFFF"/>
        </w:rPr>
        <w:t>57</w:t>
      </w:r>
      <w:r w:rsidR="006277C6">
        <w:rPr>
          <w:rFonts w:ascii="宋体" w:eastAsia="宋体" w:hAnsi="宋体" w:hint="eastAsia"/>
          <w:sz w:val="24"/>
          <w:szCs w:val="24"/>
          <w:shd w:val="clear" w:color="auto" w:fill="FFFFFF"/>
        </w:rPr>
        <w:t>,</w:t>
      </w:r>
      <w:r w:rsidR="006277C6" w:rsidRPr="006277C6">
        <w:rPr>
          <w:rFonts w:ascii="宋体" w:eastAsia="宋体" w:hAnsi="宋体" w:hint="eastAsia"/>
          <w:sz w:val="24"/>
          <w:szCs w:val="24"/>
          <w:shd w:val="clear" w:color="auto" w:fill="FFFFFF"/>
        </w:rPr>
        <w:t>694</w:t>
      </w:r>
      <w:r w:rsidR="006277C6">
        <w:rPr>
          <w:rFonts w:ascii="宋体" w:eastAsia="宋体" w:hAnsi="宋体" w:hint="eastAsia"/>
          <w:sz w:val="24"/>
          <w:szCs w:val="24"/>
          <w:shd w:val="clear" w:color="auto" w:fill="FFFFFF"/>
        </w:rPr>
        <w:t>,</w:t>
      </w:r>
      <w:r w:rsidR="006277C6" w:rsidRPr="006277C6">
        <w:rPr>
          <w:rFonts w:ascii="宋体" w:eastAsia="宋体" w:hAnsi="宋体" w:hint="eastAsia"/>
          <w:sz w:val="24"/>
          <w:szCs w:val="24"/>
          <w:shd w:val="clear" w:color="auto" w:fill="FFFFFF"/>
        </w:rPr>
        <w:t>622.67</w:t>
      </w:r>
      <w:r w:rsidR="00596529" w:rsidRPr="00694C2B">
        <w:rPr>
          <w:rFonts w:ascii="宋体" w:eastAsia="宋体" w:hAnsi="宋体" w:cs="Times New Roman" w:hint="eastAsia"/>
          <w:color w:val="303133"/>
          <w:sz w:val="24"/>
          <w:szCs w:val="24"/>
          <w:shd w:val="clear" w:color="auto" w:fill="FFFFFF"/>
        </w:rPr>
        <w:t>元</w:t>
      </w:r>
    </w:p>
    <w:p w14:paraId="09726B59" w14:textId="45384D4D"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是否会对上市公司损益产生负面影响：</w:t>
      </w:r>
      <w:r w:rsidR="003F38EB" w:rsidRPr="00694C2B">
        <w:rPr>
          <w:rFonts w:ascii="宋体" w:eastAsia="宋体" w:hAnsi="宋体" w:hint="eastAsia"/>
          <w:sz w:val="24"/>
          <w:szCs w:val="24"/>
          <w:shd w:val="clear" w:color="auto" w:fill="FFFFFF"/>
        </w:rPr>
        <w:t>本次诉讼判决为一审判决，目前</w:t>
      </w:r>
      <w:r w:rsidR="00040F4C" w:rsidRPr="00694C2B">
        <w:rPr>
          <w:rFonts w:ascii="宋体" w:eastAsia="宋体" w:hAnsi="宋体"/>
          <w:sz w:val="24"/>
          <w:szCs w:val="24"/>
        </w:rPr>
        <w:t>处于上诉期内</w:t>
      </w:r>
      <w:r w:rsidR="00040F4C" w:rsidRPr="00694C2B">
        <w:rPr>
          <w:rFonts w:ascii="宋体" w:eastAsia="宋体" w:hAnsi="宋体" w:hint="eastAsia"/>
          <w:sz w:val="24"/>
          <w:szCs w:val="24"/>
        </w:rPr>
        <w:t>，</w:t>
      </w:r>
      <w:r w:rsidR="003F38EB" w:rsidRPr="00694C2B">
        <w:rPr>
          <w:rFonts w:ascii="宋体" w:eastAsia="宋体" w:hAnsi="宋体" w:hint="eastAsia"/>
          <w:sz w:val="24"/>
          <w:szCs w:val="24"/>
          <w:shd w:val="clear" w:color="auto" w:fill="FFFFFF"/>
        </w:rPr>
        <w:t>尚未生效，因此无法判断本次诉讼判决结果对公司</w:t>
      </w:r>
      <w:r w:rsidR="00040F4C" w:rsidRPr="00694C2B">
        <w:rPr>
          <w:rFonts w:ascii="宋体" w:eastAsia="宋体" w:hAnsi="宋体" w:hint="eastAsia"/>
          <w:sz w:val="24"/>
          <w:szCs w:val="24"/>
        </w:rPr>
        <w:t>本期或期后利润</w:t>
      </w:r>
      <w:r w:rsidR="003F38EB" w:rsidRPr="00694C2B">
        <w:rPr>
          <w:rFonts w:ascii="宋体" w:eastAsia="宋体" w:hAnsi="宋体" w:hint="eastAsia"/>
          <w:sz w:val="24"/>
          <w:szCs w:val="24"/>
          <w:shd w:val="clear" w:color="auto" w:fill="FFFFFF"/>
        </w:rPr>
        <w:t>的影响</w:t>
      </w:r>
      <w:r w:rsidR="00E7655E" w:rsidRPr="00694C2B">
        <w:rPr>
          <w:rFonts w:ascii="宋体" w:eastAsia="宋体" w:hAnsi="宋体"/>
          <w:sz w:val="24"/>
          <w:szCs w:val="24"/>
          <w:shd w:val="clear" w:color="auto" w:fill="FFFFFF"/>
        </w:rPr>
        <w:t>。</w:t>
      </w:r>
      <w:r w:rsidR="00040F4C" w:rsidRPr="00694C2B">
        <w:rPr>
          <w:rFonts w:ascii="宋体" w:eastAsia="宋体" w:hAnsi="宋体" w:hint="eastAsia"/>
          <w:sz w:val="24"/>
          <w:szCs w:val="24"/>
          <w:shd w:val="clear" w:color="auto" w:fill="FFFFFF"/>
        </w:rPr>
        <w:t>公司将持续关注相关案件进展情况，及时履行信息披露义务，请广大投资者注意投资风险。</w:t>
      </w:r>
    </w:p>
    <w:p w14:paraId="4C6F1FC5" w14:textId="4AC4F8EC"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一、诉讼</w:t>
      </w:r>
      <w:r w:rsidR="00DD008F">
        <w:rPr>
          <w:rFonts w:ascii="Times New Roman" w:eastAsia="宋体" w:hAnsi="Times New Roman" w:cs="Times New Roman" w:hint="eastAsia"/>
          <w:b/>
          <w:bCs/>
          <w:sz w:val="24"/>
          <w:szCs w:val="24"/>
        </w:rPr>
        <w:t>案件</w:t>
      </w:r>
      <w:r w:rsidRPr="0036389D">
        <w:rPr>
          <w:rFonts w:ascii="Times New Roman" w:eastAsia="宋体" w:hAnsi="Times New Roman" w:cs="Times New Roman" w:hint="eastAsia"/>
          <w:b/>
          <w:bCs/>
          <w:sz w:val="24"/>
          <w:szCs w:val="24"/>
        </w:rPr>
        <w:t>情况</w:t>
      </w:r>
    </w:p>
    <w:p w14:paraId="46713AFD" w14:textId="77777777" w:rsidR="00293017" w:rsidRPr="00173703" w:rsidRDefault="00293017" w:rsidP="00293017">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1、受理</w:t>
      </w:r>
      <w:r w:rsidRPr="00173703">
        <w:rPr>
          <w:rFonts w:ascii="宋体" w:eastAsia="宋体" w:hAnsi="宋体" w:cs="Times New Roman"/>
          <w:sz w:val="24"/>
          <w:szCs w:val="24"/>
          <w:shd w:val="clear" w:color="auto" w:fill="FFFFFF"/>
        </w:rPr>
        <w:t>时间</w:t>
      </w:r>
      <w:r w:rsidRPr="00173703">
        <w:rPr>
          <w:rFonts w:ascii="宋体" w:eastAsia="宋体" w:hAnsi="宋体" w:cs="Times New Roman" w:hint="eastAsia"/>
          <w:sz w:val="24"/>
          <w:szCs w:val="24"/>
          <w:shd w:val="clear" w:color="auto" w:fill="FFFFFF"/>
        </w:rPr>
        <w:t>：2024年5月15日</w:t>
      </w:r>
    </w:p>
    <w:p w14:paraId="00F0D29B" w14:textId="77777777" w:rsidR="00293017" w:rsidRPr="00173703" w:rsidRDefault="00293017" w:rsidP="00293017">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2、</w:t>
      </w:r>
      <w:r w:rsidRPr="00173703">
        <w:rPr>
          <w:rFonts w:ascii="宋体" w:eastAsia="宋体" w:hAnsi="宋体" w:cs="Times New Roman"/>
          <w:sz w:val="24"/>
          <w:szCs w:val="24"/>
          <w:shd w:val="clear" w:color="auto" w:fill="FFFFFF"/>
        </w:rPr>
        <w:t>诉讼机构</w:t>
      </w:r>
      <w:r w:rsidRPr="00173703">
        <w:rPr>
          <w:rFonts w:ascii="宋体" w:eastAsia="宋体" w:hAnsi="宋体" w:cs="Times New Roman" w:hint="eastAsia"/>
          <w:sz w:val="24"/>
          <w:szCs w:val="24"/>
          <w:shd w:val="clear" w:color="auto" w:fill="FFFFFF"/>
        </w:rPr>
        <w:t>：安徽省阜阳市颍州区人民法院</w:t>
      </w:r>
    </w:p>
    <w:p w14:paraId="31CC3DDB" w14:textId="77777777" w:rsidR="00293017" w:rsidRPr="00173703" w:rsidRDefault="00293017" w:rsidP="00293017">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3、</w:t>
      </w:r>
      <w:r w:rsidRPr="00173703">
        <w:rPr>
          <w:rFonts w:ascii="宋体" w:eastAsia="宋体" w:hAnsi="宋体" w:cs="Times New Roman"/>
          <w:sz w:val="24"/>
          <w:szCs w:val="24"/>
          <w:shd w:val="clear" w:color="auto" w:fill="FFFFFF"/>
        </w:rPr>
        <w:t>诉讼各方当事人</w:t>
      </w:r>
    </w:p>
    <w:p w14:paraId="036DC139" w14:textId="77777777" w:rsidR="00293017" w:rsidRPr="00173703" w:rsidRDefault="00293017" w:rsidP="00293017">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原告：安徽省交通建设股份有限公司</w:t>
      </w:r>
    </w:p>
    <w:p w14:paraId="249A4B56" w14:textId="77777777" w:rsidR="00293017" w:rsidRPr="00173703" w:rsidRDefault="00293017" w:rsidP="00293017">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被告：阜阳市重点工程建设管理处</w:t>
      </w:r>
    </w:p>
    <w:p w14:paraId="3B3B6759" w14:textId="39868A5C" w:rsidR="00F606B8" w:rsidRPr="000826E5" w:rsidRDefault="00C01768" w:rsidP="0040120E">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具体详见公司于2024年</w:t>
      </w:r>
      <w:r w:rsidR="006277C6">
        <w:rPr>
          <w:rFonts w:ascii="宋体" w:eastAsia="宋体" w:hAnsi="宋体" w:cs="Times New Roman" w:hint="eastAsia"/>
          <w:color w:val="303133"/>
          <w:sz w:val="24"/>
          <w:szCs w:val="24"/>
          <w:shd w:val="clear" w:color="auto" w:fill="FFFFFF"/>
        </w:rPr>
        <w:t>5</w:t>
      </w:r>
      <w:r w:rsidRPr="000826E5">
        <w:rPr>
          <w:rFonts w:ascii="宋体" w:eastAsia="宋体" w:hAnsi="宋体" w:cs="Times New Roman" w:hint="eastAsia"/>
          <w:color w:val="303133"/>
          <w:sz w:val="24"/>
          <w:szCs w:val="24"/>
          <w:shd w:val="clear" w:color="auto" w:fill="FFFFFF"/>
        </w:rPr>
        <w:t>月</w:t>
      </w:r>
      <w:r w:rsidR="005E7C6A" w:rsidRPr="000826E5">
        <w:rPr>
          <w:rFonts w:ascii="宋体" w:eastAsia="宋体" w:hAnsi="宋体" w:cs="Times New Roman" w:hint="eastAsia"/>
          <w:color w:val="303133"/>
          <w:sz w:val="24"/>
          <w:szCs w:val="24"/>
          <w:shd w:val="clear" w:color="auto" w:fill="FFFFFF"/>
        </w:rPr>
        <w:t>2</w:t>
      </w:r>
      <w:r w:rsidR="006277C6">
        <w:rPr>
          <w:rFonts w:ascii="宋体" w:eastAsia="宋体" w:hAnsi="宋体" w:cs="Times New Roman" w:hint="eastAsia"/>
          <w:color w:val="303133"/>
          <w:sz w:val="24"/>
          <w:szCs w:val="24"/>
          <w:shd w:val="clear" w:color="auto" w:fill="FFFFFF"/>
        </w:rPr>
        <w:t>2</w:t>
      </w:r>
      <w:r w:rsidRPr="000826E5">
        <w:rPr>
          <w:rFonts w:ascii="宋体" w:eastAsia="宋体" w:hAnsi="宋体" w:cs="Times New Roman" w:hint="eastAsia"/>
          <w:color w:val="303133"/>
          <w:sz w:val="24"/>
          <w:szCs w:val="24"/>
          <w:shd w:val="clear" w:color="auto" w:fill="FFFFFF"/>
        </w:rPr>
        <w:t>日在上海证券交易所网站披露的《安徽省交通建设股份有限公司关于公司涉及诉讼的公告》（公告编号：2024-0</w:t>
      </w:r>
      <w:r w:rsidR="006277C6">
        <w:rPr>
          <w:rFonts w:ascii="宋体" w:eastAsia="宋体" w:hAnsi="宋体" w:cs="Times New Roman" w:hint="eastAsia"/>
          <w:color w:val="303133"/>
          <w:sz w:val="24"/>
          <w:szCs w:val="24"/>
          <w:shd w:val="clear" w:color="auto" w:fill="FFFFFF"/>
        </w:rPr>
        <w:t>39</w:t>
      </w:r>
      <w:r w:rsidRPr="000826E5">
        <w:rPr>
          <w:rFonts w:ascii="宋体" w:eastAsia="宋体" w:hAnsi="宋体" w:cs="Times New Roman" w:hint="eastAsia"/>
          <w:color w:val="303133"/>
          <w:sz w:val="24"/>
          <w:szCs w:val="24"/>
          <w:shd w:val="clear" w:color="auto" w:fill="FFFFFF"/>
        </w:rPr>
        <w:t>）。</w:t>
      </w:r>
    </w:p>
    <w:p w14:paraId="6E4A0299" w14:textId="11BCD0F8" w:rsidR="00044FD2" w:rsidRPr="0036389D" w:rsidRDefault="00044FD2" w:rsidP="00044FD2">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Pr="0036389D">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诉讼进展情况</w:t>
      </w:r>
    </w:p>
    <w:p w14:paraId="56A193D0" w14:textId="50777607" w:rsidR="00766088" w:rsidRPr="000826E5" w:rsidRDefault="00BD3D76" w:rsidP="006277C6">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近日，公司收到</w:t>
      </w:r>
      <w:r w:rsidR="006277C6" w:rsidRPr="006277C6">
        <w:rPr>
          <w:rFonts w:ascii="宋体" w:eastAsia="宋体" w:hAnsi="宋体" w:cs="Times New Roman" w:hint="eastAsia"/>
          <w:color w:val="303133"/>
          <w:sz w:val="24"/>
          <w:szCs w:val="24"/>
          <w:shd w:val="clear" w:color="auto" w:fill="FFFFFF"/>
        </w:rPr>
        <w:t>安徽省阜阳市颍州区人民法院</w:t>
      </w:r>
      <w:r w:rsidR="00B70893" w:rsidRPr="000826E5">
        <w:rPr>
          <w:rFonts w:ascii="宋体" w:eastAsia="宋体" w:hAnsi="宋体" w:cs="Times New Roman" w:hint="eastAsia"/>
          <w:color w:val="303133"/>
          <w:sz w:val="24"/>
          <w:szCs w:val="24"/>
          <w:shd w:val="clear" w:color="auto" w:fill="FFFFFF"/>
        </w:rPr>
        <w:t>送达的《民事判决书》【(2024)</w:t>
      </w:r>
      <w:r w:rsidR="006277C6">
        <w:rPr>
          <w:rFonts w:ascii="宋体" w:eastAsia="宋体" w:hAnsi="宋体" w:cs="Times New Roman" w:hint="eastAsia"/>
          <w:color w:val="303133"/>
          <w:sz w:val="24"/>
          <w:szCs w:val="24"/>
          <w:shd w:val="clear" w:color="auto" w:fill="FFFFFF"/>
        </w:rPr>
        <w:t>皖12</w:t>
      </w:r>
      <w:r w:rsidR="00B70893" w:rsidRPr="000826E5">
        <w:rPr>
          <w:rFonts w:ascii="宋体" w:eastAsia="宋体" w:hAnsi="宋体" w:cs="Times New Roman" w:hint="eastAsia"/>
          <w:color w:val="303133"/>
          <w:sz w:val="24"/>
          <w:szCs w:val="24"/>
          <w:shd w:val="clear" w:color="auto" w:fill="FFFFFF"/>
        </w:rPr>
        <w:t>02民初</w:t>
      </w:r>
      <w:r w:rsidR="006277C6">
        <w:rPr>
          <w:rFonts w:ascii="宋体" w:eastAsia="宋体" w:hAnsi="宋体" w:cs="Times New Roman" w:hint="eastAsia"/>
          <w:color w:val="303133"/>
          <w:sz w:val="24"/>
          <w:szCs w:val="24"/>
          <w:shd w:val="clear" w:color="auto" w:fill="FFFFFF"/>
        </w:rPr>
        <w:t>7488</w:t>
      </w:r>
      <w:r w:rsidR="00B70893" w:rsidRPr="000826E5">
        <w:rPr>
          <w:rFonts w:ascii="宋体" w:eastAsia="宋体" w:hAnsi="宋体" w:cs="Times New Roman" w:hint="eastAsia"/>
          <w:color w:val="303133"/>
          <w:sz w:val="24"/>
          <w:szCs w:val="24"/>
          <w:shd w:val="clear" w:color="auto" w:fill="FFFFFF"/>
        </w:rPr>
        <w:t>号】</w:t>
      </w:r>
      <w:r w:rsidRPr="000826E5">
        <w:rPr>
          <w:rFonts w:ascii="宋体" w:eastAsia="宋体" w:hAnsi="宋体" w:cs="Times New Roman" w:hint="eastAsia"/>
          <w:color w:val="303133"/>
          <w:sz w:val="24"/>
          <w:szCs w:val="24"/>
          <w:shd w:val="clear" w:color="auto" w:fill="FFFFFF"/>
        </w:rPr>
        <w:t>，</w:t>
      </w:r>
      <w:r w:rsidR="00B70893" w:rsidRPr="000826E5">
        <w:rPr>
          <w:rFonts w:ascii="宋体" w:eastAsia="宋体" w:hAnsi="宋体" w:cs="Times New Roman" w:hint="eastAsia"/>
          <w:color w:val="303133"/>
          <w:sz w:val="24"/>
          <w:szCs w:val="24"/>
          <w:shd w:val="clear" w:color="auto" w:fill="FFFFFF"/>
        </w:rPr>
        <w:t>判决情况如下：</w:t>
      </w:r>
    </w:p>
    <w:p w14:paraId="7A6CDFE9" w14:textId="6FC55506" w:rsidR="006277C6" w:rsidRPr="006277C6" w:rsidRDefault="006277C6" w:rsidP="006277C6">
      <w:pPr>
        <w:spacing w:line="360" w:lineRule="auto"/>
        <w:ind w:firstLineChars="200" w:firstLine="480"/>
        <w:outlineLvl w:val="0"/>
        <w:rPr>
          <w:rFonts w:ascii="宋体" w:eastAsia="宋体" w:hAnsi="宋体" w:cs="Times New Roman" w:hint="eastAsia"/>
          <w:color w:val="303133"/>
          <w:sz w:val="24"/>
          <w:szCs w:val="24"/>
          <w:shd w:val="clear" w:color="auto" w:fill="FFFFFF"/>
        </w:rPr>
      </w:pPr>
      <w:r>
        <w:rPr>
          <w:rFonts w:ascii="宋体" w:eastAsia="宋体" w:hAnsi="宋体" w:cs="Times New Roman" w:hint="eastAsia"/>
          <w:color w:val="303133"/>
          <w:sz w:val="24"/>
          <w:szCs w:val="24"/>
          <w:shd w:val="clear" w:color="auto" w:fill="FFFFFF"/>
        </w:rPr>
        <w:t>1</w:t>
      </w:r>
      <w:r w:rsidRPr="006277C6">
        <w:rPr>
          <w:rFonts w:ascii="宋体" w:eastAsia="宋体" w:hAnsi="宋体" w:cs="Times New Roman" w:hint="eastAsia"/>
          <w:color w:val="303133"/>
          <w:sz w:val="24"/>
          <w:szCs w:val="24"/>
          <w:shd w:val="clear" w:color="auto" w:fill="FFFFFF"/>
        </w:rPr>
        <w:t>、被告阜阳市重点工程建设管理处于本判决生效之日起三十日内支付原告安徽省交通建设股份有限公司工程款54</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990</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741.58元及逾期付款利息(利息以</w:t>
      </w:r>
      <w:r w:rsidRPr="006277C6">
        <w:rPr>
          <w:rFonts w:ascii="宋体" w:eastAsia="宋体" w:hAnsi="宋体" w:cs="Times New Roman" w:hint="eastAsia"/>
          <w:color w:val="303133"/>
          <w:sz w:val="24"/>
          <w:szCs w:val="24"/>
          <w:shd w:val="clear" w:color="auto" w:fill="FFFFFF"/>
        </w:rPr>
        <w:lastRenderedPageBreak/>
        <w:t>45</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894</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016.31元为基数，自2024年3月20日起至2024年5月14日，按中国人民银行授权全国银行间同业拆借中心公布的一年</w:t>
      </w:r>
      <w:proofErr w:type="gramStart"/>
      <w:r w:rsidRPr="006277C6">
        <w:rPr>
          <w:rFonts w:ascii="宋体" w:eastAsia="宋体" w:hAnsi="宋体" w:cs="Times New Roman" w:hint="eastAsia"/>
          <w:color w:val="303133"/>
          <w:sz w:val="24"/>
          <w:szCs w:val="24"/>
          <w:shd w:val="clear" w:color="auto" w:fill="FFFFFF"/>
        </w:rPr>
        <w:t>期贷款市场</w:t>
      </w:r>
      <w:proofErr w:type="gramEnd"/>
      <w:r w:rsidRPr="006277C6">
        <w:rPr>
          <w:rFonts w:ascii="宋体" w:eastAsia="宋体" w:hAnsi="宋体" w:cs="Times New Roman" w:hint="eastAsia"/>
          <w:color w:val="303133"/>
          <w:sz w:val="24"/>
          <w:szCs w:val="24"/>
          <w:shd w:val="clear" w:color="auto" w:fill="FFFFFF"/>
        </w:rPr>
        <w:t>报价利率计算；自2024年5月15日起，按中国人民银行授权全国银行间同业拆借中心公布的一年</w:t>
      </w:r>
      <w:proofErr w:type="gramStart"/>
      <w:r w:rsidRPr="006277C6">
        <w:rPr>
          <w:rFonts w:ascii="宋体" w:eastAsia="宋体" w:hAnsi="宋体" w:cs="Times New Roman" w:hint="eastAsia"/>
          <w:color w:val="303133"/>
          <w:sz w:val="24"/>
          <w:szCs w:val="24"/>
          <w:shd w:val="clear" w:color="auto" w:fill="FFFFFF"/>
        </w:rPr>
        <w:t>期贷款市场</w:t>
      </w:r>
      <w:proofErr w:type="gramEnd"/>
      <w:r w:rsidRPr="006277C6">
        <w:rPr>
          <w:rFonts w:ascii="宋体" w:eastAsia="宋体" w:hAnsi="宋体" w:cs="Times New Roman" w:hint="eastAsia"/>
          <w:color w:val="303133"/>
          <w:sz w:val="24"/>
          <w:szCs w:val="24"/>
          <w:shd w:val="clear" w:color="auto" w:fill="FFFFFF"/>
        </w:rPr>
        <w:t>报价利率的两倍计算至实际付清之日。以9</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096</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725.27元为基数，自2023年4月10日起，按中国人民银行授权全国银行间同业拆借中心公布的一年期贷款报价利率计算至款项付清之日</w:t>
      </w:r>
      <w:r w:rsidR="00E56B13">
        <w:rPr>
          <w:rFonts w:ascii="宋体" w:eastAsia="宋体" w:hAnsi="宋体" w:cs="Times New Roman" w:hint="eastAsia"/>
          <w:color w:val="303133"/>
          <w:sz w:val="24"/>
          <w:szCs w:val="24"/>
          <w:shd w:val="clear" w:color="auto" w:fill="FFFFFF"/>
        </w:rPr>
        <w:t>)。</w:t>
      </w:r>
    </w:p>
    <w:p w14:paraId="1C3C1456" w14:textId="5618D5F0" w:rsidR="006277C6" w:rsidRDefault="006277C6" w:rsidP="006277C6">
      <w:pPr>
        <w:spacing w:line="360" w:lineRule="auto"/>
        <w:ind w:firstLineChars="200" w:firstLine="480"/>
        <w:outlineLvl w:val="0"/>
        <w:rPr>
          <w:rFonts w:ascii="宋体" w:eastAsia="宋体" w:hAnsi="宋体" w:cs="Times New Roman" w:hint="eastAsia"/>
          <w:color w:val="303133"/>
          <w:sz w:val="24"/>
          <w:szCs w:val="24"/>
          <w:shd w:val="clear" w:color="auto" w:fill="FFFFFF"/>
        </w:rPr>
      </w:pPr>
      <w:r>
        <w:rPr>
          <w:rFonts w:ascii="宋体" w:eastAsia="宋体" w:hAnsi="宋体" w:cs="Times New Roman" w:hint="eastAsia"/>
          <w:color w:val="303133"/>
          <w:sz w:val="24"/>
          <w:szCs w:val="24"/>
          <w:shd w:val="clear" w:color="auto" w:fill="FFFFFF"/>
        </w:rPr>
        <w:t>2</w:t>
      </w:r>
      <w:r w:rsidRPr="006277C6">
        <w:rPr>
          <w:rFonts w:ascii="宋体" w:eastAsia="宋体" w:hAnsi="宋体" w:cs="Times New Roman" w:hint="eastAsia"/>
          <w:color w:val="303133"/>
          <w:sz w:val="24"/>
          <w:szCs w:val="24"/>
          <w:shd w:val="clear" w:color="auto" w:fill="FFFFFF"/>
        </w:rPr>
        <w:t>、被告阜阳市重点工程建设管理处于本判决生效之日起三十日内赔偿原告安徽省交通建设股份有限公司工期延误损失2</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703</w:t>
      </w:r>
      <w:r>
        <w:rPr>
          <w:rFonts w:ascii="宋体" w:eastAsia="宋体" w:hAnsi="宋体" w:cs="Times New Roman" w:hint="eastAsia"/>
          <w:color w:val="303133"/>
          <w:sz w:val="24"/>
          <w:szCs w:val="24"/>
          <w:shd w:val="clear" w:color="auto" w:fill="FFFFFF"/>
        </w:rPr>
        <w:t>,</w:t>
      </w:r>
      <w:r w:rsidRPr="006277C6">
        <w:rPr>
          <w:rFonts w:ascii="宋体" w:eastAsia="宋体" w:hAnsi="宋体" w:cs="Times New Roman" w:hint="eastAsia"/>
          <w:color w:val="303133"/>
          <w:sz w:val="24"/>
          <w:szCs w:val="24"/>
          <w:shd w:val="clear" w:color="auto" w:fill="FFFFFF"/>
        </w:rPr>
        <w:t>881.09</w:t>
      </w:r>
      <w:r>
        <w:rPr>
          <w:rFonts w:ascii="宋体" w:eastAsia="宋体" w:hAnsi="宋体" w:cs="Times New Roman" w:hint="eastAsia"/>
          <w:color w:val="303133"/>
          <w:sz w:val="24"/>
          <w:szCs w:val="24"/>
          <w:shd w:val="clear" w:color="auto" w:fill="FFFFFF"/>
        </w:rPr>
        <w:t>元。</w:t>
      </w:r>
      <w:bookmarkStart w:id="0" w:name="_GoBack"/>
      <w:bookmarkEnd w:id="0"/>
    </w:p>
    <w:p w14:paraId="70F8977F" w14:textId="47E4D852" w:rsidR="00F606B8" w:rsidRPr="0036389D" w:rsidRDefault="00F606B8" w:rsidP="006277C6">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Pr="0036389D">
        <w:rPr>
          <w:rFonts w:ascii="Times New Roman" w:eastAsia="宋体" w:hAnsi="Times New Roman" w:cs="Times New Roman"/>
          <w:b/>
          <w:bCs/>
          <w:sz w:val="24"/>
          <w:szCs w:val="24"/>
        </w:rPr>
        <w:t>对公司本期利润或期后利润等的影响</w:t>
      </w:r>
    </w:p>
    <w:p w14:paraId="73AAB9F8" w14:textId="504CC5EA" w:rsidR="00BD1952" w:rsidRPr="000826E5" w:rsidRDefault="00653E58" w:rsidP="00BD3D76">
      <w:pPr>
        <w:spacing w:line="360" w:lineRule="auto"/>
        <w:ind w:firstLineChars="200" w:firstLine="480"/>
        <w:rPr>
          <w:rFonts w:ascii="Times New Roman" w:eastAsia="宋体" w:hAnsi="Times New Roman" w:cs="Times New Roman"/>
          <w:color w:val="303133"/>
          <w:sz w:val="24"/>
          <w:szCs w:val="24"/>
          <w:shd w:val="clear" w:color="auto" w:fill="FFFFFF"/>
        </w:rPr>
      </w:pPr>
      <w:r w:rsidRPr="000826E5">
        <w:rPr>
          <w:rFonts w:ascii="宋体" w:eastAsia="宋体" w:hAnsi="宋体" w:hint="eastAsia"/>
          <w:sz w:val="24"/>
          <w:szCs w:val="24"/>
          <w:shd w:val="clear" w:color="auto" w:fill="FFFFFF"/>
        </w:rPr>
        <w:t>本次诉讼判决为一审判决，目前</w:t>
      </w:r>
      <w:r w:rsidRPr="000826E5">
        <w:rPr>
          <w:sz w:val="24"/>
          <w:szCs w:val="24"/>
        </w:rPr>
        <w:t>处于上诉期内</w:t>
      </w:r>
      <w:r w:rsidRPr="000826E5">
        <w:rPr>
          <w:rFonts w:hint="eastAsia"/>
          <w:sz w:val="24"/>
          <w:szCs w:val="24"/>
        </w:rPr>
        <w:t>，</w:t>
      </w:r>
      <w:r w:rsidRPr="000826E5">
        <w:rPr>
          <w:rFonts w:ascii="宋体" w:eastAsia="宋体" w:hAnsi="宋体" w:hint="eastAsia"/>
          <w:sz w:val="24"/>
          <w:szCs w:val="24"/>
          <w:shd w:val="clear" w:color="auto" w:fill="FFFFFF"/>
        </w:rPr>
        <w:t>尚未生效，因此无法判断本次诉讼判决结果对公司</w:t>
      </w:r>
      <w:r w:rsidRPr="000826E5">
        <w:rPr>
          <w:rFonts w:hint="eastAsia"/>
          <w:sz w:val="24"/>
          <w:szCs w:val="24"/>
        </w:rPr>
        <w:t>本期或期后利润</w:t>
      </w:r>
      <w:r w:rsidRPr="000826E5">
        <w:rPr>
          <w:rFonts w:ascii="宋体" w:eastAsia="宋体" w:hAnsi="宋体" w:hint="eastAsia"/>
          <w:sz w:val="24"/>
          <w:szCs w:val="24"/>
          <w:shd w:val="clear" w:color="auto" w:fill="FFFFFF"/>
        </w:rPr>
        <w:t>的影响</w:t>
      </w:r>
      <w:r w:rsidRPr="000826E5">
        <w:rPr>
          <w:rFonts w:ascii="宋体" w:eastAsia="宋体" w:hAnsi="宋体"/>
          <w:sz w:val="24"/>
          <w:szCs w:val="24"/>
          <w:shd w:val="clear" w:color="auto" w:fill="FFFFFF"/>
        </w:rPr>
        <w:t>。</w:t>
      </w:r>
      <w:r w:rsidRPr="000826E5">
        <w:rPr>
          <w:rFonts w:ascii="宋体" w:eastAsia="宋体" w:hAnsi="宋体" w:hint="eastAsia"/>
          <w:sz w:val="24"/>
          <w:szCs w:val="24"/>
          <w:shd w:val="clear" w:color="auto" w:fill="FFFFFF"/>
        </w:rPr>
        <w:t>公司将持续关注相关案件进展情况，及时履行信息披露义务，请广大投资者注意投资风险</w:t>
      </w:r>
      <w:r w:rsidR="00BD3D76" w:rsidRPr="000826E5">
        <w:rPr>
          <w:rFonts w:ascii="Times New Roman" w:eastAsia="宋体" w:hAnsi="Times New Roman" w:cs="Times New Roman"/>
          <w:color w:val="303133"/>
          <w:sz w:val="24"/>
          <w:szCs w:val="24"/>
          <w:shd w:val="clear" w:color="auto" w:fill="FFFFFF"/>
        </w:rPr>
        <w:t>。</w:t>
      </w:r>
    </w:p>
    <w:p w14:paraId="0E90835B" w14:textId="77777777" w:rsidR="00BD3D76" w:rsidRDefault="00BD3D76" w:rsidP="00BD3D76">
      <w:pPr>
        <w:spacing w:line="360" w:lineRule="auto"/>
        <w:ind w:firstLineChars="200" w:firstLine="480"/>
        <w:rPr>
          <w:rFonts w:ascii="Times New Roman" w:eastAsia="宋体" w:hAnsi="Times New Roman" w:cs="Times New Roman"/>
          <w:color w:val="303133"/>
          <w:sz w:val="24"/>
          <w:szCs w:val="24"/>
          <w:shd w:val="clear" w:color="auto" w:fill="FFFFFF"/>
        </w:rPr>
      </w:pPr>
    </w:p>
    <w:p w14:paraId="5AC19669" w14:textId="77777777" w:rsidR="002979E6" w:rsidRPr="000826E5" w:rsidRDefault="002979E6" w:rsidP="00BD3D76">
      <w:pPr>
        <w:spacing w:line="360" w:lineRule="auto"/>
        <w:ind w:firstLineChars="200" w:firstLine="480"/>
        <w:rPr>
          <w:rFonts w:ascii="Times New Roman" w:eastAsia="宋体" w:hAnsi="Times New Roman" w:cs="Times New Roman"/>
          <w:color w:val="303133"/>
          <w:sz w:val="24"/>
          <w:szCs w:val="24"/>
          <w:shd w:val="clear" w:color="auto" w:fill="FFFFFF"/>
        </w:rPr>
      </w:pPr>
    </w:p>
    <w:p w14:paraId="719217BE" w14:textId="040FF806"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特此公告。</w:t>
      </w:r>
    </w:p>
    <w:p w14:paraId="460C23AE" w14:textId="77777777" w:rsidR="002979E6" w:rsidRPr="000826E5" w:rsidRDefault="002979E6"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0826E5"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安徽省交通建设股份有限公司董事会</w:t>
      </w:r>
    </w:p>
    <w:p w14:paraId="5240D4A1" w14:textId="18F7BB29" w:rsidR="000F6CF3" w:rsidRPr="000826E5"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202</w:t>
      </w:r>
      <w:r w:rsidR="00653E58" w:rsidRPr="000826E5">
        <w:rPr>
          <w:rFonts w:ascii="宋体" w:eastAsia="宋体" w:hAnsi="宋体" w:cs="Times New Roman" w:hint="eastAsia"/>
          <w:bCs/>
          <w:kern w:val="0"/>
          <w:sz w:val="24"/>
          <w:szCs w:val="24"/>
        </w:rPr>
        <w:t>5</w:t>
      </w:r>
      <w:r w:rsidR="000F6CF3" w:rsidRPr="000826E5">
        <w:rPr>
          <w:rFonts w:ascii="宋体" w:eastAsia="宋体" w:hAnsi="宋体" w:cs="Times New Roman" w:hint="eastAsia"/>
          <w:bCs/>
          <w:kern w:val="0"/>
          <w:sz w:val="24"/>
          <w:szCs w:val="24"/>
        </w:rPr>
        <w:t>年</w:t>
      </w:r>
      <w:r w:rsidR="006277C6">
        <w:rPr>
          <w:rFonts w:ascii="宋体" w:eastAsia="宋体" w:hAnsi="宋体" w:cs="Times New Roman" w:hint="eastAsia"/>
          <w:bCs/>
          <w:kern w:val="0"/>
          <w:sz w:val="24"/>
          <w:szCs w:val="24"/>
        </w:rPr>
        <w:t>5</w:t>
      </w:r>
      <w:r w:rsidR="000F6CF3" w:rsidRPr="000826E5">
        <w:rPr>
          <w:rFonts w:ascii="宋体" w:eastAsia="宋体" w:hAnsi="宋体" w:cs="Times New Roman" w:hint="eastAsia"/>
          <w:bCs/>
          <w:kern w:val="0"/>
          <w:sz w:val="24"/>
          <w:szCs w:val="24"/>
        </w:rPr>
        <w:t>月</w:t>
      </w:r>
      <w:r w:rsidR="006277C6">
        <w:rPr>
          <w:rFonts w:ascii="宋体" w:eastAsia="宋体" w:hAnsi="宋体" w:cs="Times New Roman" w:hint="eastAsia"/>
          <w:bCs/>
          <w:kern w:val="0"/>
          <w:sz w:val="24"/>
          <w:szCs w:val="24"/>
        </w:rPr>
        <w:t>21</w:t>
      </w:r>
      <w:r w:rsidR="000F6CF3" w:rsidRPr="000826E5">
        <w:rPr>
          <w:rFonts w:ascii="宋体" w:eastAsia="宋体" w:hAnsi="宋体" w:cs="Times New Roman" w:hint="eastAsia"/>
          <w:bCs/>
          <w:kern w:val="0"/>
          <w:sz w:val="24"/>
          <w:szCs w:val="24"/>
        </w:rPr>
        <w:t>日</w:t>
      </w:r>
    </w:p>
    <w:sectPr w:rsidR="000F6CF3" w:rsidRPr="000826E5"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131B" w14:textId="77777777" w:rsidR="002240AB" w:rsidRDefault="002240AB" w:rsidP="000F6CF3">
      <w:r>
        <w:separator/>
      </w:r>
    </w:p>
  </w:endnote>
  <w:endnote w:type="continuationSeparator" w:id="0">
    <w:p w14:paraId="2CE435BD" w14:textId="77777777" w:rsidR="002240AB" w:rsidRDefault="002240AB"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D6A8F" w14:textId="77777777" w:rsidR="002240AB" w:rsidRDefault="002240AB" w:rsidP="000F6CF3">
      <w:r>
        <w:separator/>
      </w:r>
    </w:p>
  </w:footnote>
  <w:footnote w:type="continuationSeparator" w:id="0">
    <w:p w14:paraId="172C5F4F" w14:textId="77777777" w:rsidR="002240AB" w:rsidRDefault="002240AB"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C8F4D17A"/>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2311F"/>
    <w:rsid w:val="00035EC5"/>
    <w:rsid w:val="00040F4C"/>
    <w:rsid w:val="00044FD2"/>
    <w:rsid w:val="00065F52"/>
    <w:rsid w:val="000826E5"/>
    <w:rsid w:val="00084CCC"/>
    <w:rsid w:val="00087A17"/>
    <w:rsid w:val="00091907"/>
    <w:rsid w:val="00097E15"/>
    <w:rsid w:val="000E38E8"/>
    <w:rsid w:val="000F49F0"/>
    <w:rsid w:val="000F6CF3"/>
    <w:rsid w:val="00103F66"/>
    <w:rsid w:val="00112CC6"/>
    <w:rsid w:val="00115970"/>
    <w:rsid w:val="00116ACA"/>
    <w:rsid w:val="00116D65"/>
    <w:rsid w:val="001173B5"/>
    <w:rsid w:val="0012059C"/>
    <w:rsid w:val="00124508"/>
    <w:rsid w:val="0014701C"/>
    <w:rsid w:val="001737A2"/>
    <w:rsid w:val="00196867"/>
    <w:rsid w:val="0019698D"/>
    <w:rsid w:val="001B073B"/>
    <w:rsid w:val="001B2205"/>
    <w:rsid w:val="001B4AE4"/>
    <w:rsid w:val="00217A2D"/>
    <w:rsid w:val="002240AB"/>
    <w:rsid w:val="00237CFC"/>
    <w:rsid w:val="002411BF"/>
    <w:rsid w:val="00247655"/>
    <w:rsid w:val="002543DE"/>
    <w:rsid w:val="00257DFD"/>
    <w:rsid w:val="00260198"/>
    <w:rsid w:val="0026145B"/>
    <w:rsid w:val="0026154C"/>
    <w:rsid w:val="002701A7"/>
    <w:rsid w:val="00276788"/>
    <w:rsid w:val="0028758D"/>
    <w:rsid w:val="00293017"/>
    <w:rsid w:val="00296098"/>
    <w:rsid w:val="002979E6"/>
    <w:rsid w:val="002A285B"/>
    <w:rsid w:val="002A3DE8"/>
    <w:rsid w:val="002B1B58"/>
    <w:rsid w:val="002B3A6C"/>
    <w:rsid w:val="002C284E"/>
    <w:rsid w:val="002D1CD9"/>
    <w:rsid w:val="002D2F58"/>
    <w:rsid w:val="002D6353"/>
    <w:rsid w:val="002E2EC9"/>
    <w:rsid w:val="002F2F22"/>
    <w:rsid w:val="002F6974"/>
    <w:rsid w:val="00306551"/>
    <w:rsid w:val="003227D3"/>
    <w:rsid w:val="0034519B"/>
    <w:rsid w:val="0034610C"/>
    <w:rsid w:val="003614DE"/>
    <w:rsid w:val="0036389D"/>
    <w:rsid w:val="00364005"/>
    <w:rsid w:val="00375092"/>
    <w:rsid w:val="003B7367"/>
    <w:rsid w:val="003B7406"/>
    <w:rsid w:val="003C6315"/>
    <w:rsid w:val="003D2218"/>
    <w:rsid w:val="003D3DB2"/>
    <w:rsid w:val="003F38EB"/>
    <w:rsid w:val="0040120E"/>
    <w:rsid w:val="004067C3"/>
    <w:rsid w:val="00417039"/>
    <w:rsid w:val="00434EE1"/>
    <w:rsid w:val="0044477F"/>
    <w:rsid w:val="00444CF7"/>
    <w:rsid w:val="00445FA8"/>
    <w:rsid w:val="00450649"/>
    <w:rsid w:val="004F0AA8"/>
    <w:rsid w:val="004F1BE7"/>
    <w:rsid w:val="004F770E"/>
    <w:rsid w:val="00501827"/>
    <w:rsid w:val="005155E4"/>
    <w:rsid w:val="00520F56"/>
    <w:rsid w:val="00524BD6"/>
    <w:rsid w:val="00535483"/>
    <w:rsid w:val="00553718"/>
    <w:rsid w:val="00571367"/>
    <w:rsid w:val="0057673F"/>
    <w:rsid w:val="00581ABA"/>
    <w:rsid w:val="005828A7"/>
    <w:rsid w:val="00592C27"/>
    <w:rsid w:val="00596529"/>
    <w:rsid w:val="005A5327"/>
    <w:rsid w:val="005A6588"/>
    <w:rsid w:val="005D617E"/>
    <w:rsid w:val="005E3E57"/>
    <w:rsid w:val="005E4C67"/>
    <w:rsid w:val="005E66A3"/>
    <w:rsid w:val="005E7C6A"/>
    <w:rsid w:val="006075A2"/>
    <w:rsid w:val="00615B5E"/>
    <w:rsid w:val="00623EBE"/>
    <w:rsid w:val="006277C6"/>
    <w:rsid w:val="006325EB"/>
    <w:rsid w:val="006342A2"/>
    <w:rsid w:val="00653E58"/>
    <w:rsid w:val="00693A3D"/>
    <w:rsid w:val="00694C2B"/>
    <w:rsid w:val="006B6F57"/>
    <w:rsid w:val="006C14F5"/>
    <w:rsid w:val="006C2021"/>
    <w:rsid w:val="006E567A"/>
    <w:rsid w:val="00704D04"/>
    <w:rsid w:val="00716999"/>
    <w:rsid w:val="007229CE"/>
    <w:rsid w:val="00731A06"/>
    <w:rsid w:val="00734386"/>
    <w:rsid w:val="0074367C"/>
    <w:rsid w:val="00763435"/>
    <w:rsid w:val="00766088"/>
    <w:rsid w:val="007669D0"/>
    <w:rsid w:val="00776C6E"/>
    <w:rsid w:val="007852A8"/>
    <w:rsid w:val="007B3A8C"/>
    <w:rsid w:val="007E1A44"/>
    <w:rsid w:val="007E5B97"/>
    <w:rsid w:val="007E61E7"/>
    <w:rsid w:val="0081094B"/>
    <w:rsid w:val="00813C56"/>
    <w:rsid w:val="00816C4A"/>
    <w:rsid w:val="00824AFD"/>
    <w:rsid w:val="0083007B"/>
    <w:rsid w:val="00835FD8"/>
    <w:rsid w:val="00845DFB"/>
    <w:rsid w:val="00852D91"/>
    <w:rsid w:val="00865983"/>
    <w:rsid w:val="00865EAC"/>
    <w:rsid w:val="00893769"/>
    <w:rsid w:val="00897649"/>
    <w:rsid w:val="008A6E06"/>
    <w:rsid w:val="008C6C31"/>
    <w:rsid w:val="008D20D2"/>
    <w:rsid w:val="008E22C9"/>
    <w:rsid w:val="00932DF8"/>
    <w:rsid w:val="00933EFF"/>
    <w:rsid w:val="00941AF2"/>
    <w:rsid w:val="009667F7"/>
    <w:rsid w:val="00972051"/>
    <w:rsid w:val="0097612C"/>
    <w:rsid w:val="00983D45"/>
    <w:rsid w:val="009B2FD2"/>
    <w:rsid w:val="009B5301"/>
    <w:rsid w:val="009C2773"/>
    <w:rsid w:val="009D7DD6"/>
    <w:rsid w:val="009E04C6"/>
    <w:rsid w:val="009F3A7C"/>
    <w:rsid w:val="009F704E"/>
    <w:rsid w:val="00A06C48"/>
    <w:rsid w:val="00A21A11"/>
    <w:rsid w:val="00A25082"/>
    <w:rsid w:val="00A36D5D"/>
    <w:rsid w:val="00A43BAB"/>
    <w:rsid w:val="00A62DCA"/>
    <w:rsid w:val="00A67F6D"/>
    <w:rsid w:val="00AC3163"/>
    <w:rsid w:val="00AC4580"/>
    <w:rsid w:val="00AC5051"/>
    <w:rsid w:val="00AC5A7F"/>
    <w:rsid w:val="00AE20DF"/>
    <w:rsid w:val="00AE3AB4"/>
    <w:rsid w:val="00AF016D"/>
    <w:rsid w:val="00B425E0"/>
    <w:rsid w:val="00B70893"/>
    <w:rsid w:val="00B95785"/>
    <w:rsid w:val="00BA7D03"/>
    <w:rsid w:val="00BD1952"/>
    <w:rsid w:val="00BD2398"/>
    <w:rsid w:val="00BD3D76"/>
    <w:rsid w:val="00BE2B11"/>
    <w:rsid w:val="00BE3A95"/>
    <w:rsid w:val="00BE625B"/>
    <w:rsid w:val="00BF3388"/>
    <w:rsid w:val="00BF750A"/>
    <w:rsid w:val="00C01768"/>
    <w:rsid w:val="00C05539"/>
    <w:rsid w:val="00C22C13"/>
    <w:rsid w:val="00C237BC"/>
    <w:rsid w:val="00C60F61"/>
    <w:rsid w:val="00C66F65"/>
    <w:rsid w:val="00C80504"/>
    <w:rsid w:val="00C8176A"/>
    <w:rsid w:val="00CA4337"/>
    <w:rsid w:val="00CB1175"/>
    <w:rsid w:val="00CD0120"/>
    <w:rsid w:val="00CD61AC"/>
    <w:rsid w:val="00CF0893"/>
    <w:rsid w:val="00D034A3"/>
    <w:rsid w:val="00D10833"/>
    <w:rsid w:val="00D10EDF"/>
    <w:rsid w:val="00D1618B"/>
    <w:rsid w:val="00D4178F"/>
    <w:rsid w:val="00D5009F"/>
    <w:rsid w:val="00D650ED"/>
    <w:rsid w:val="00D76C6D"/>
    <w:rsid w:val="00DB38DB"/>
    <w:rsid w:val="00DC245F"/>
    <w:rsid w:val="00DD008F"/>
    <w:rsid w:val="00DE06BF"/>
    <w:rsid w:val="00DE3495"/>
    <w:rsid w:val="00E00BD5"/>
    <w:rsid w:val="00E00CFD"/>
    <w:rsid w:val="00E15DCC"/>
    <w:rsid w:val="00E172EB"/>
    <w:rsid w:val="00E44187"/>
    <w:rsid w:val="00E56B13"/>
    <w:rsid w:val="00E7655E"/>
    <w:rsid w:val="00E85022"/>
    <w:rsid w:val="00E9709A"/>
    <w:rsid w:val="00EA482E"/>
    <w:rsid w:val="00EB45D1"/>
    <w:rsid w:val="00EE3AE4"/>
    <w:rsid w:val="00EE66A9"/>
    <w:rsid w:val="00EE690F"/>
    <w:rsid w:val="00F3025B"/>
    <w:rsid w:val="00F31E6F"/>
    <w:rsid w:val="00F400E9"/>
    <w:rsid w:val="00F42C4C"/>
    <w:rsid w:val="00F606B8"/>
    <w:rsid w:val="00F649A5"/>
    <w:rsid w:val="00F93295"/>
    <w:rsid w:val="00F96FED"/>
    <w:rsid w:val="00FA0616"/>
    <w:rsid w:val="00FA15D7"/>
    <w:rsid w:val="00FB2780"/>
    <w:rsid w:val="00FC7926"/>
    <w:rsid w:val="00FD3917"/>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55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F6CF3"/>
    <w:rPr>
      <w:kern w:val="2"/>
      <w:sz w:val="18"/>
      <w:szCs w:val="18"/>
    </w:rPr>
  </w:style>
  <w:style w:type="paragraph" w:styleId="a6">
    <w:name w:val="footer"/>
    <w:basedOn w:val="a0"/>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rsid w:val="000F6CF3"/>
    <w:rPr>
      <w:kern w:val="2"/>
      <w:sz w:val="18"/>
      <w:szCs w:val="18"/>
    </w:rPr>
  </w:style>
  <w:style w:type="character" w:styleId="a7">
    <w:name w:val="annotation reference"/>
    <w:basedOn w:val="a1"/>
    <w:uiPriority w:val="99"/>
    <w:semiHidden/>
    <w:unhideWhenUsed/>
    <w:rsid w:val="00306551"/>
    <w:rPr>
      <w:sz w:val="21"/>
      <w:szCs w:val="21"/>
    </w:rPr>
  </w:style>
  <w:style w:type="paragraph" w:styleId="a8">
    <w:name w:val="annotation text"/>
    <w:basedOn w:val="a0"/>
    <w:link w:val="Char1"/>
    <w:uiPriority w:val="99"/>
    <w:semiHidden/>
    <w:unhideWhenUsed/>
    <w:rsid w:val="00306551"/>
    <w:pPr>
      <w:jc w:val="left"/>
    </w:pPr>
  </w:style>
  <w:style w:type="character" w:customStyle="1" w:styleId="Char1">
    <w:name w:val="批注文字 Char"/>
    <w:basedOn w:val="a1"/>
    <w:link w:val="a8"/>
    <w:uiPriority w:val="99"/>
    <w:semiHidden/>
    <w:rsid w:val="00306551"/>
    <w:rPr>
      <w:kern w:val="2"/>
      <w:sz w:val="21"/>
      <w:szCs w:val="22"/>
    </w:rPr>
  </w:style>
  <w:style w:type="paragraph" w:styleId="a9">
    <w:name w:val="annotation subject"/>
    <w:basedOn w:val="a8"/>
    <w:next w:val="a8"/>
    <w:link w:val="Char2"/>
    <w:uiPriority w:val="99"/>
    <w:semiHidden/>
    <w:unhideWhenUsed/>
    <w:rsid w:val="00306551"/>
    <w:rPr>
      <w:b/>
      <w:bCs/>
    </w:rPr>
  </w:style>
  <w:style w:type="character" w:customStyle="1" w:styleId="Char2">
    <w:name w:val="批注主题 Char"/>
    <w:basedOn w:val="Char1"/>
    <w:link w:val="a9"/>
    <w:uiPriority w:val="99"/>
    <w:semiHidden/>
    <w:rsid w:val="00306551"/>
    <w:rPr>
      <w:b/>
      <w:bCs/>
      <w:kern w:val="2"/>
      <w:sz w:val="21"/>
      <w:szCs w:val="22"/>
    </w:rPr>
  </w:style>
  <w:style w:type="paragraph" w:styleId="aa">
    <w:name w:val="Balloon Text"/>
    <w:basedOn w:val="a0"/>
    <w:link w:val="Char3"/>
    <w:uiPriority w:val="99"/>
    <w:semiHidden/>
    <w:unhideWhenUsed/>
    <w:rsid w:val="00306551"/>
    <w:rPr>
      <w:sz w:val="18"/>
      <w:szCs w:val="18"/>
    </w:rPr>
  </w:style>
  <w:style w:type="character" w:customStyle="1" w:styleId="Char3">
    <w:name w:val="批注框文本 Char"/>
    <w:basedOn w:val="a1"/>
    <w:link w:val="aa"/>
    <w:uiPriority w:val="99"/>
    <w:semiHidden/>
    <w:rsid w:val="00306551"/>
    <w:rPr>
      <w:kern w:val="2"/>
      <w:sz w:val="18"/>
      <w:szCs w:val="18"/>
    </w:rPr>
  </w:style>
  <w:style w:type="paragraph" w:styleId="a">
    <w:name w:val="List Paragraph"/>
    <w:basedOn w:val="a0"/>
    <w:autoRedefine/>
    <w:uiPriority w:val="34"/>
    <w:qFormat/>
    <w:rsid w:val="00694C2B"/>
    <w:pPr>
      <w:numPr>
        <w:numId w:val="2"/>
      </w:numPr>
      <w:spacing w:before="100" w:beforeAutospacing="1" w:line="360" w:lineRule="auto"/>
      <w:ind w:left="0" w:firstLine="420"/>
    </w:pPr>
  </w:style>
  <w:style w:type="paragraph" w:styleId="ab">
    <w:name w:val="Revision"/>
    <w:hidden/>
    <w:uiPriority w:val="99"/>
    <w:semiHidden/>
    <w:rsid w:val="00F606B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289046109">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48128928">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34BF08-EE23-42AE-995B-DC8C96AA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140</cp:revision>
  <cp:lastPrinted>2024-11-04T07:11:00Z</cp:lastPrinted>
  <dcterms:created xsi:type="dcterms:W3CDTF">2020-02-24T08:42:00Z</dcterms:created>
  <dcterms:modified xsi:type="dcterms:W3CDTF">2025-05-20T06:39:00Z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