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9F" w:rsidRPr="008F4E3C" w:rsidRDefault="00787F9F" w:rsidP="000D3334">
      <w:pPr>
        <w:spacing w:beforeLines="50" w:before="120" w:afterLines="50" w:after="120" w:line="360" w:lineRule="auto"/>
        <w:rPr>
          <w:rStyle w:val="da"/>
          <w:rFonts w:ascii="宋体" w:hAnsi="宋体"/>
          <w:bCs/>
          <w:sz w:val="24"/>
        </w:rPr>
      </w:pPr>
      <w:r w:rsidRPr="008F4E3C">
        <w:rPr>
          <w:rStyle w:val="da"/>
          <w:rFonts w:ascii="宋体" w:hAnsi="宋体"/>
          <w:bCs/>
          <w:sz w:val="24"/>
        </w:rPr>
        <w:t xml:space="preserve">证券代码：603815   </w:t>
      </w:r>
      <w:r>
        <w:rPr>
          <w:rStyle w:val="da"/>
          <w:rFonts w:ascii="宋体" w:hAnsi="宋体"/>
          <w:bCs/>
          <w:sz w:val="24"/>
        </w:rPr>
        <w:t xml:space="preserve">　</w:t>
      </w:r>
      <w:r>
        <w:rPr>
          <w:rStyle w:val="da"/>
          <w:rFonts w:ascii="宋体" w:hAnsi="宋体" w:hint="eastAsia"/>
          <w:bCs/>
          <w:sz w:val="24"/>
        </w:rPr>
        <w:t xml:space="preserve"> </w:t>
      </w:r>
      <w:r>
        <w:rPr>
          <w:rStyle w:val="da"/>
          <w:rFonts w:ascii="宋体" w:hAnsi="宋体"/>
          <w:bCs/>
          <w:sz w:val="24"/>
        </w:rPr>
        <w:t xml:space="preserve">　</w:t>
      </w:r>
      <w:r w:rsidRPr="008F4E3C">
        <w:rPr>
          <w:rStyle w:val="da"/>
          <w:rFonts w:ascii="宋体" w:hAnsi="宋体"/>
          <w:bCs/>
          <w:sz w:val="24"/>
        </w:rPr>
        <w:t>证券简称：</w:t>
      </w:r>
      <w:proofErr w:type="gramStart"/>
      <w:r w:rsidRPr="008F4E3C">
        <w:rPr>
          <w:rStyle w:val="da"/>
          <w:rFonts w:ascii="宋体" w:hAnsi="宋体"/>
          <w:bCs/>
          <w:sz w:val="24"/>
        </w:rPr>
        <w:t>交建股份</w:t>
      </w:r>
      <w:proofErr w:type="gramEnd"/>
      <w:r w:rsidRPr="008F4E3C">
        <w:rPr>
          <w:rStyle w:val="da"/>
          <w:rFonts w:ascii="宋体" w:hAnsi="宋体"/>
          <w:bCs/>
          <w:sz w:val="24"/>
        </w:rPr>
        <w:t xml:space="preserve">　　</w:t>
      </w:r>
      <w:r>
        <w:rPr>
          <w:rStyle w:val="da"/>
          <w:rFonts w:ascii="宋体" w:hAnsi="宋体" w:hint="eastAsia"/>
          <w:bCs/>
          <w:sz w:val="24"/>
        </w:rPr>
        <w:t xml:space="preserve">  </w:t>
      </w:r>
      <w:r w:rsidRPr="008F4E3C">
        <w:rPr>
          <w:rStyle w:val="da"/>
          <w:rFonts w:ascii="宋体" w:hAnsi="宋体"/>
          <w:bCs/>
          <w:sz w:val="24"/>
        </w:rPr>
        <w:t xml:space="preserve">　 公告编号：</w:t>
      </w:r>
      <w:r w:rsidR="00CB701E">
        <w:rPr>
          <w:rStyle w:val="da"/>
          <w:rFonts w:ascii="宋体" w:hAnsi="宋体" w:hint="eastAsia"/>
          <w:bCs/>
          <w:sz w:val="24"/>
        </w:rPr>
        <w:t>2025-</w:t>
      </w:r>
      <w:r w:rsidR="003A35E0">
        <w:rPr>
          <w:rStyle w:val="da"/>
          <w:rFonts w:ascii="宋体" w:hAnsi="宋体" w:hint="eastAsia"/>
          <w:bCs/>
          <w:sz w:val="24"/>
        </w:rPr>
        <w:t>039</w:t>
      </w:r>
    </w:p>
    <w:p w:rsidR="005E1D65" w:rsidRDefault="005E1D65" w:rsidP="005E1D65">
      <w:pPr>
        <w:spacing w:before="100" w:beforeAutospacing="1" w:after="100" w:afterAutospacing="1" w:line="500" w:lineRule="exact"/>
        <w:jc w:val="center"/>
        <w:rPr>
          <w:rFonts w:ascii="黑体" w:eastAsia="黑体" w:hAnsi="黑体"/>
          <w:b/>
          <w:bCs/>
          <w:sz w:val="32"/>
          <w:szCs w:val="32"/>
        </w:rPr>
      </w:pPr>
      <w:r w:rsidRPr="005E1D65">
        <w:rPr>
          <w:rFonts w:ascii="黑体" w:eastAsia="黑体" w:hAnsi="黑体" w:hint="eastAsia"/>
          <w:b/>
          <w:bCs/>
          <w:sz w:val="32"/>
          <w:szCs w:val="32"/>
        </w:rPr>
        <w:t>安徽省交通建设股份有限公司关于上海证券交易所</w:t>
      </w:r>
    </w:p>
    <w:p w:rsidR="00787F9F" w:rsidRPr="005E1D65" w:rsidRDefault="005E1D65" w:rsidP="005E1D65">
      <w:pPr>
        <w:spacing w:before="100" w:beforeAutospacing="1" w:after="100" w:afterAutospacing="1" w:line="500" w:lineRule="exact"/>
        <w:jc w:val="center"/>
        <w:rPr>
          <w:rStyle w:val="da"/>
          <w:rFonts w:ascii="黑体" w:eastAsia="黑体" w:hAnsi="黑体"/>
          <w:b/>
          <w:bCs/>
          <w:sz w:val="32"/>
          <w:szCs w:val="32"/>
        </w:rPr>
      </w:pPr>
      <w:r w:rsidRPr="005E1D65">
        <w:rPr>
          <w:rFonts w:ascii="黑体" w:eastAsia="黑体" w:hAnsi="黑体" w:hint="eastAsia"/>
          <w:b/>
          <w:bCs/>
          <w:sz w:val="32"/>
          <w:szCs w:val="32"/>
        </w:rPr>
        <w:t>对公司2024年年度报告的信息披露监管问询函回复的公告</w:t>
      </w:r>
    </w:p>
    <w:p w:rsidR="00787F9F" w:rsidRPr="002E4DA7" w:rsidRDefault="00787F9F" w:rsidP="000D3334">
      <w:pPr>
        <w:pBdr>
          <w:top w:val="single" w:sz="4" w:space="1" w:color="auto"/>
          <w:left w:val="single" w:sz="4" w:space="4" w:color="auto"/>
          <w:bottom w:val="single" w:sz="4" w:space="1" w:color="auto"/>
          <w:right w:val="single" w:sz="4" w:space="4" w:color="auto"/>
        </w:pBdr>
        <w:spacing w:beforeLines="50" w:before="120" w:afterLines="50" w:after="120" w:line="500" w:lineRule="exact"/>
        <w:ind w:firstLineChars="200" w:firstLine="480"/>
        <w:rPr>
          <w:bCs/>
          <w:sz w:val="24"/>
        </w:rPr>
      </w:pPr>
      <w:bookmarkStart w:id="0" w:name="_Hlk72250613"/>
      <w:r w:rsidRPr="008F4E3C">
        <w:rPr>
          <w:rStyle w:val="da"/>
          <w:bCs/>
          <w:sz w:val="24"/>
        </w:rPr>
        <w:t>本公司董事会及全体董事保证本公告内容不存在任何虚假记载、误导性陈述或者重大遗漏，并对其内容的真实性、准确性和完整性承担</w:t>
      </w:r>
      <w:r w:rsidRPr="008F4E3C">
        <w:rPr>
          <w:rStyle w:val="da"/>
          <w:rFonts w:hint="eastAsia"/>
          <w:bCs/>
          <w:sz w:val="24"/>
        </w:rPr>
        <w:t>法律责任</w:t>
      </w:r>
      <w:r w:rsidRPr="008F4E3C">
        <w:rPr>
          <w:rStyle w:val="da"/>
          <w:bCs/>
          <w:sz w:val="24"/>
        </w:rPr>
        <w:t>。</w:t>
      </w:r>
      <w:bookmarkEnd w:id="0"/>
    </w:p>
    <w:p w:rsidR="00787F9F" w:rsidRPr="00C5296D" w:rsidRDefault="00787F9F" w:rsidP="00F3634B">
      <w:pPr>
        <w:adjustRightInd w:val="0"/>
        <w:snapToGrid w:val="0"/>
        <w:spacing w:beforeLines="150" w:before="360" w:line="360" w:lineRule="auto"/>
        <w:ind w:firstLineChars="200" w:firstLine="480"/>
        <w:rPr>
          <w:bCs/>
          <w:sz w:val="24"/>
        </w:rPr>
      </w:pPr>
      <w:r w:rsidRPr="00C5296D">
        <w:rPr>
          <w:rFonts w:hAnsiTheme="minorEastAsia"/>
          <w:bCs/>
          <w:sz w:val="24"/>
        </w:rPr>
        <w:t>安徽省交通建设股份有限公司（以下简称</w:t>
      </w:r>
      <w:r w:rsidRPr="00C5296D">
        <w:rPr>
          <w:bCs/>
          <w:sz w:val="24"/>
        </w:rPr>
        <w:t>“</w:t>
      </w:r>
      <w:r w:rsidRPr="00C5296D">
        <w:rPr>
          <w:rFonts w:hAnsiTheme="minorEastAsia"/>
          <w:bCs/>
          <w:sz w:val="24"/>
        </w:rPr>
        <w:t>公司</w:t>
      </w:r>
      <w:r w:rsidRPr="00C5296D">
        <w:rPr>
          <w:bCs/>
          <w:sz w:val="24"/>
        </w:rPr>
        <w:t>”</w:t>
      </w:r>
      <w:r w:rsidRPr="00C5296D">
        <w:rPr>
          <w:rFonts w:hAnsiTheme="minorEastAsia"/>
          <w:bCs/>
          <w:sz w:val="24"/>
        </w:rPr>
        <w:t>）于</w:t>
      </w:r>
      <w:r>
        <w:rPr>
          <w:bCs/>
          <w:sz w:val="24"/>
        </w:rPr>
        <w:t>近日</w:t>
      </w:r>
      <w:r w:rsidR="00E81298">
        <w:rPr>
          <w:rFonts w:hAnsiTheme="minorEastAsia"/>
          <w:bCs/>
          <w:sz w:val="24"/>
        </w:rPr>
        <w:t>收到上海证券交易所上市公司管理</w:t>
      </w:r>
      <w:r w:rsidR="00FE5ADC">
        <w:rPr>
          <w:rFonts w:hAnsiTheme="minorEastAsia"/>
          <w:bCs/>
          <w:sz w:val="24"/>
        </w:rPr>
        <w:t>一部</w:t>
      </w:r>
      <w:bookmarkStart w:id="1" w:name="_GoBack"/>
      <w:bookmarkEnd w:id="1"/>
      <w:r w:rsidR="00885079">
        <w:rPr>
          <w:rFonts w:hAnsiTheme="minorEastAsia"/>
          <w:bCs/>
          <w:sz w:val="24"/>
        </w:rPr>
        <w:t>发出的</w:t>
      </w:r>
      <w:r w:rsidRPr="00C5296D">
        <w:rPr>
          <w:rFonts w:hAnsiTheme="minorEastAsia"/>
          <w:bCs/>
          <w:sz w:val="24"/>
        </w:rPr>
        <w:t>《</w:t>
      </w:r>
      <w:r w:rsidR="00CB701E" w:rsidRPr="00CB701E">
        <w:rPr>
          <w:rFonts w:hAnsiTheme="minorEastAsia"/>
          <w:bCs/>
          <w:sz w:val="24"/>
        </w:rPr>
        <w:t>关于安徽省交通建设股份有限公司</w:t>
      </w:r>
      <w:r w:rsidR="00CB701E" w:rsidRPr="00CB701E">
        <w:rPr>
          <w:rFonts w:hAnsiTheme="minorEastAsia"/>
          <w:bCs/>
          <w:sz w:val="24"/>
        </w:rPr>
        <w:t>2024</w:t>
      </w:r>
      <w:r w:rsidR="00CB701E" w:rsidRPr="00CB701E">
        <w:rPr>
          <w:rFonts w:hAnsiTheme="minorEastAsia"/>
          <w:bCs/>
          <w:sz w:val="24"/>
        </w:rPr>
        <w:t>年年度报告的信息披露监管问询函</w:t>
      </w:r>
      <w:r w:rsidRPr="00C5296D">
        <w:rPr>
          <w:rFonts w:hAnsiTheme="minorEastAsia"/>
          <w:bCs/>
          <w:sz w:val="24"/>
        </w:rPr>
        <w:t>》（</w:t>
      </w:r>
      <w:r w:rsidRPr="00787F9F">
        <w:rPr>
          <w:rFonts w:hAnsiTheme="minorEastAsia"/>
          <w:bCs/>
          <w:sz w:val="24"/>
        </w:rPr>
        <w:t>上证公函【</w:t>
      </w:r>
      <w:r w:rsidRPr="00787F9F">
        <w:rPr>
          <w:rFonts w:hAnsiTheme="minorEastAsia"/>
          <w:bCs/>
          <w:sz w:val="24"/>
        </w:rPr>
        <w:t>2025</w:t>
      </w:r>
      <w:r w:rsidRPr="00787F9F">
        <w:rPr>
          <w:rFonts w:hAnsiTheme="minorEastAsia"/>
          <w:bCs/>
          <w:sz w:val="24"/>
        </w:rPr>
        <w:t>】</w:t>
      </w:r>
      <w:r w:rsidRPr="00787F9F">
        <w:rPr>
          <w:rFonts w:hAnsiTheme="minorEastAsia"/>
          <w:bCs/>
          <w:sz w:val="24"/>
        </w:rPr>
        <w:t>0582</w:t>
      </w:r>
      <w:r w:rsidRPr="00787F9F">
        <w:rPr>
          <w:rFonts w:hAnsiTheme="minorEastAsia"/>
          <w:bCs/>
          <w:sz w:val="24"/>
        </w:rPr>
        <w:t>号</w:t>
      </w:r>
      <w:r w:rsidRPr="00C5296D">
        <w:rPr>
          <w:rFonts w:hAnsiTheme="minorEastAsia"/>
          <w:bCs/>
          <w:sz w:val="24"/>
        </w:rPr>
        <w:t>，以下简称</w:t>
      </w:r>
      <w:r w:rsidRPr="00C5296D">
        <w:rPr>
          <w:bCs/>
          <w:sz w:val="24"/>
        </w:rPr>
        <w:t>“</w:t>
      </w:r>
      <w:r w:rsidRPr="00C5296D">
        <w:rPr>
          <w:rFonts w:hAnsiTheme="minorEastAsia"/>
          <w:bCs/>
          <w:sz w:val="24"/>
        </w:rPr>
        <w:t>问询函</w:t>
      </w:r>
      <w:r w:rsidRPr="00C5296D">
        <w:rPr>
          <w:bCs/>
          <w:sz w:val="24"/>
        </w:rPr>
        <w:t>”</w:t>
      </w:r>
      <w:r w:rsidRPr="00C5296D">
        <w:rPr>
          <w:rFonts w:hAnsiTheme="minorEastAsia"/>
          <w:bCs/>
          <w:sz w:val="24"/>
        </w:rPr>
        <w:t>）。</w:t>
      </w:r>
      <w:r w:rsidR="00AE3B2B">
        <w:rPr>
          <w:rFonts w:hAnsiTheme="minorEastAsia"/>
          <w:bCs/>
          <w:sz w:val="24"/>
        </w:rPr>
        <w:t>公司收到问询函</w:t>
      </w:r>
      <w:r w:rsidR="005E1D65" w:rsidRPr="005E1D65">
        <w:rPr>
          <w:rFonts w:hAnsiTheme="minorEastAsia"/>
          <w:bCs/>
          <w:sz w:val="24"/>
        </w:rPr>
        <w:t>后高度重视，积极组织各方对所涉及的相关问题进行逐项回复，现就问询函中提出的问题回复如下：</w:t>
      </w:r>
      <w:r w:rsidR="00CB701E" w:rsidRPr="00C5296D">
        <w:rPr>
          <w:bCs/>
          <w:sz w:val="24"/>
        </w:rPr>
        <w:t xml:space="preserve"> </w:t>
      </w:r>
    </w:p>
    <w:p w:rsidR="000D3334" w:rsidRDefault="000D3334" w:rsidP="000D3334">
      <w:pPr>
        <w:spacing w:beforeLines="50" w:before="120" w:line="360" w:lineRule="auto"/>
        <w:ind w:firstLineChars="200" w:firstLine="482"/>
        <w:outlineLvl w:val="0"/>
        <w:rPr>
          <w:b/>
          <w:bCs/>
          <w:sz w:val="24"/>
        </w:rPr>
      </w:pPr>
      <w:bookmarkStart w:id="2" w:name="_Toc168611948"/>
      <w:r>
        <w:rPr>
          <w:b/>
          <w:bCs/>
          <w:sz w:val="24"/>
        </w:rPr>
        <w:t>问题</w:t>
      </w:r>
      <w:r>
        <w:rPr>
          <w:b/>
          <w:bCs/>
          <w:sz w:val="24"/>
        </w:rPr>
        <w:t>1</w:t>
      </w:r>
      <w:r>
        <w:rPr>
          <w:b/>
          <w:bCs/>
          <w:sz w:val="24"/>
        </w:rPr>
        <w:t>、</w:t>
      </w:r>
      <w:bookmarkEnd w:id="2"/>
      <w:r>
        <w:rPr>
          <w:b/>
          <w:bCs/>
          <w:sz w:val="24"/>
        </w:rPr>
        <w:t>关于业绩承诺</w:t>
      </w:r>
    </w:p>
    <w:p w:rsidR="000D3334" w:rsidRDefault="000D3334" w:rsidP="000D3334">
      <w:pPr>
        <w:spacing w:beforeLines="50" w:before="120" w:line="360" w:lineRule="auto"/>
        <w:ind w:firstLineChars="200" w:firstLine="482"/>
        <w:rPr>
          <w:b/>
          <w:bCs/>
          <w:sz w:val="24"/>
        </w:rPr>
      </w:pPr>
      <w:r w:rsidRPr="00987C4D">
        <w:rPr>
          <w:rFonts w:hint="eastAsia"/>
          <w:b/>
          <w:bCs/>
          <w:sz w:val="24"/>
        </w:rPr>
        <w:t>前期公告显示，</w:t>
      </w:r>
      <w:r w:rsidRPr="00987C4D">
        <w:rPr>
          <w:rFonts w:hint="eastAsia"/>
          <w:b/>
          <w:bCs/>
          <w:sz w:val="24"/>
        </w:rPr>
        <w:t>2021</w:t>
      </w:r>
      <w:r w:rsidRPr="00987C4D">
        <w:rPr>
          <w:rFonts w:hint="eastAsia"/>
          <w:b/>
          <w:bCs/>
          <w:sz w:val="24"/>
        </w:rPr>
        <w:t>年</w:t>
      </w:r>
      <w:r w:rsidRPr="00987C4D">
        <w:rPr>
          <w:rFonts w:hint="eastAsia"/>
          <w:b/>
          <w:bCs/>
          <w:sz w:val="24"/>
        </w:rPr>
        <w:t>8</w:t>
      </w:r>
      <w:r w:rsidRPr="00987C4D">
        <w:rPr>
          <w:rFonts w:hint="eastAsia"/>
          <w:b/>
          <w:bCs/>
          <w:sz w:val="24"/>
        </w:rPr>
        <w:t>月，公司以现金</w:t>
      </w:r>
      <w:r w:rsidRPr="00987C4D">
        <w:rPr>
          <w:rFonts w:hint="eastAsia"/>
          <w:b/>
          <w:bCs/>
          <w:sz w:val="24"/>
        </w:rPr>
        <w:t>1.95</w:t>
      </w:r>
      <w:r w:rsidRPr="00987C4D">
        <w:rPr>
          <w:rFonts w:hint="eastAsia"/>
          <w:b/>
          <w:bCs/>
          <w:sz w:val="24"/>
        </w:rPr>
        <w:t>亿元收购关联方祥源地产持有的</w:t>
      </w:r>
      <w:proofErr w:type="gramStart"/>
      <w:r w:rsidRPr="00987C4D">
        <w:rPr>
          <w:rFonts w:hint="eastAsia"/>
          <w:b/>
          <w:bCs/>
          <w:sz w:val="24"/>
        </w:rPr>
        <w:t>祥源建设</w:t>
      </w:r>
      <w:proofErr w:type="gramEnd"/>
      <w:r w:rsidRPr="00987C4D">
        <w:rPr>
          <w:rFonts w:hint="eastAsia"/>
          <w:b/>
          <w:bCs/>
          <w:sz w:val="24"/>
        </w:rPr>
        <w:t>有限责任公司（以下简称</w:t>
      </w:r>
      <w:proofErr w:type="gramStart"/>
      <w:r w:rsidRPr="00987C4D">
        <w:rPr>
          <w:rFonts w:hint="eastAsia"/>
          <w:b/>
          <w:bCs/>
          <w:sz w:val="24"/>
        </w:rPr>
        <w:t>祥</w:t>
      </w:r>
      <w:proofErr w:type="gramEnd"/>
      <w:r w:rsidRPr="00987C4D">
        <w:rPr>
          <w:rFonts w:hint="eastAsia"/>
          <w:b/>
          <w:bCs/>
          <w:sz w:val="24"/>
        </w:rPr>
        <w:t>源建设）</w:t>
      </w:r>
      <w:r w:rsidRPr="00987C4D">
        <w:rPr>
          <w:rFonts w:hint="eastAsia"/>
          <w:b/>
          <w:bCs/>
          <w:sz w:val="24"/>
        </w:rPr>
        <w:t>100%</w:t>
      </w:r>
      <w:r w:rsidRPr="00987C4D">
        <w:rPr>
          <w:rFonts w:hint="eastAsia"/>
          <w:b/>
          <w:bCs/>
          <w:sz w:val="24"/>
        </w:rPr>
        <w:t>股权，关联方承诺</w:t>
      </w:r>
      <w:proofErr w:type="gramStart"/>
      <w:r w:rsidRPr="00987C4D">
        <w:rPr>
          <w:rFonts w:hint="eastAsia"/>
          <w:b/>
          <w:bCs/>
          <w:sz w:val="24"/>
        </w:rPr>
        <w:t>祥源建设</w:t>
      </w:r>
      <w:proofErr w:type="gramEnd"/>
      <w:r w:rsidRPr="00987C4D">
        <w:rPr>
          <w:rFonts w:hint="eastAsia"/>
          <w:b/>
          <w:bCs/>
          <w:sz w:val="24"/>
        </w:rPr>
        <w:t>2021-2023</w:t>
      </w:r>
      <w:r w:rsidRPr="00987C4D">
        <w:rPr>
          <w:rFonts w:hint="eastAsia"/>
          <w:b/>
          <w:bCs/>
          <w:sz w:val="24"/>
        </w:rPr>
        <w:t>年度的净利润分别不低于</w:t>
      </w:r>
      <w:r w:rsidRPr="00987C4D">
        <w:rPr>
          <w:rFonts w:hint="eastAsia"/>
          <w:b/>
          <w:bCs/>
          <w:sz w:val="24"/>
        </w:rPr>
        <w:t>3000</w:t>
      </w:r>
      <w:r w:rsidRPr="00987C4D">
        <w:rPr>
          <w:rFonts w:hint="eastAsia"/>
          <w:b/>
          <w:bCs/>
          <w:sz w:val="24"/>
        </w:rPr>
        <w:t>万元、</w:t>
      </w:r>
      <w:r w:rsidRPr="00987C4D">
        <w:rPr>
          <w:rFonts w:hint="eastAsia"/>
          <w:b/>
          <w:bCs/>
          <w:sz w:val="24"/>
        </w:rPr>
        <w:t>4000</w:t>
      </w:r>
      <w:r w:rsidRPr="00987C4D">
        <w:rPr>
          <w:rFonts w:hint="eastAsia"/>
          <w:b/>
          <w:bCs/>
          <w:sz w:val="24"/>
        </w:rPr>
        <w:t>万元、</w:t>
      </w:r>
      <w:r w:rsidRPr="00987C4D">
        <w:rPr>
          <w:rFonts w:hint="eastAsia"/>
          <w:b/>
          <w:bCs/>
          <w:sz w:val="24"/>
        </w:rPr>
        <w:t>5000</w:t>
      </w:r>
      <w:r w:rsidRPr="00987C4D">
        <w:rPr>
          <w:rFonts w:hint="eastAsia"/>
          <w:b/>
          <w:bCs/>
          <w:sz w:val="24"/>
        </w:rPr>
        <w:t>万元。三年承诺</w:t>
      </w:r>
      <w:proofErr w:type="gramStart"/>
      <w:r w:rsidRPr="00987C4D">
        <w:rPr>
          <w:rFonts w:hint="eastAsia"/>
          <w:b/>
          <w:bCs/>
          <w:sz w:val="24"/>
        </w:rPr>
        <w:t>期收购</w:t>
      </w:r>
      <w:proofErr w:type="gramEnd"/>
      <w:r w:rsidRPr="00987C4D">
        <w:rPr>
          <w:rFonts w:hint="eastAsia"/>
          <w:b/>
          <w:bCs/>
          <w:sz w:val="24"/>
        </w:rPr>
        <w:t>标的分别实现净利润</w:t>
      </w:r>
      <w:r w:rsidRPr="00987C4D">
        <w:rPr>
          <w:rFonts w:hint="eastAsia"/>
          <w:b/>
          <w:bCs/>
          <w:sz w:val="24"/>
        </w:rPr>
        <w:t>4068.48</w:t>
      </w:r>
      <w:r w:rsidRPr="00987C4D">
        <w:rPr>
          <w:rFonts w:hint="eastAsia"/>
          <w:b/>
          <w:bCs/>
          <w:sz w:val="24"/>
        </w:rPr>
        <w:t>万元、</w:t>
      </w:r>
      <w:r w:rsidRPr="00987C4D">
        <w:rPr>
          <w:rFonts w:hint="eastAsia"/>
          <w:b/>
          <w:bCs/>
          <w:sz w:val="24"/>
        </w:rPr>
        <w:t>3447.63</w:t>
      </w:r>
      <w:r w:rsidRPr="00987C4D">
        <w:rPr>
          <w:rFonts w:hint="eastAsia"/>
          <w:b/>
          <w:bCs/>
          <w:sz w:val="24"/>
        </w:rPr>
        <w:t>万元、</w:t>
      </w:r>
      <w:r w:rsidRPr="00987C4D">
        <w:rPr>
          <w:rFonts w:hint="eastAsia"/>
          <w:b/>
          <w:bCs/>
          <w:sz w:val="24"/>
        </w:rPr>
        <w:t>6053.30</w:t>
      </w:r>
      <w:r w:rsidRPr="00987C4D">
        <w:rPr>
          <w:rFonts w:hint="eastAsia"/>
          <w:b/>
          <w:bCs/>
          <w:sz w:val="24"/>
        </w:rPr>
        <w:t>万元，累计业绩承诺完成率</w:t>
      </w:r>
      <w:r w:rsidRPr="00987C4D">
        <w:rPr>
          <w:rFonts w:hint="eastAsia"/>
          <w:b/>
          <w:bCs/>
          <w:sz w:val="24"/>
        </w:rPr>
        <w:t>113%</w:t>
      </w:r>
      <w:r w:rsidRPr="00987C4D">
        <w:rPr>
          <w:rFonts w:hint="eastAsia"/>
          <w:b/>
          <w:bCs/>
          <w:sz w:val="24"/>
        </w:rPr>
        <w:t>。承诺期满后，</w:t>
      </w:r>
      <w:r w:rsidRPr="00987C4D">
        <w:rPr>
          <w:rFonts w:hint="eastAsia"/>
          <w:b/>
          <w:bCs/>
          <w:sz w:val="24"/>
        </w:rPr>
        <w:t>2024</w:t>
      </w:r>
      <w:r w:rsidRPr="00987C4D">
        <w:rPr>
          <w:rFonts w:hint="eastAsia"/>
          <w:b/>
          <w:bCs/>
          <w:sz w:val="24"/>
        </w:rPr>
        <w:t>年</w:t>
      </w:r>
      <w:proofErr w:type="gramStart"/>
      <w:r w:rsidRPr="00987C4D">
        <w:rPr>
          <w:rFonts w:hint="eastAsia"/>
          <w:b/>
          <w:bCs/>
          <w:sz w:val="24"/>
        </w:rPr>
        <w:t>祥源建设</w:t>
      </w:r>
      <w:proofErr w:type="gramEnd"/>
      <w:r w:rsidRPr="00987C4D">
        <w:rPr>
          <w:rFonts w:hint="eastAsia"/>
          <w:b/>
          <w:bCs/>
          <w:sz w:val="24"/>
        </w:rPr>
        <w:t>改名为</w:t>
      </w:r>
      <w:proofErr w:type="gramStart"/>
      <w:r w:rsidRPr="00987C4D">
        <w:rPr>
          <w:rFonts w:hint="eastAsia"/>
          <w:b/>
          <w:bCs/>
          <w:sz w:val="24"/>
        </w:rPr>
        <w:t>安徽交建建筑工程</w:t>
      </w:r>
      <w:proofErr w:type="gramEnd"/>
      <w:r w:rsidRPr="00987C4D">
        <w:rPr>
          <w:rFonts w:hint="eastAsia"/>
          <w:b/>
          <w:bCs/>
          <w:sz w:val="24"/>
        </w:rPr>
        <w:t>有限责任公司（以下</w:t>
      </w:r>
      <w:proofErr w:type="gramStart"/>
      <w:r w:rsidRPr="00987C4D">
        <w:rPr>
          <w:rFonts w:hint="eastAsia"/>
          <w:b/>
          <w:bCs/>
          <w:sz w:val="24"/>
        </w:rPr>
        <w:t>简称交建工程</w:t>
      </w:r>
      <w:proofErr w:type="gramEnd"/>
      <w:r w:rsidRPr="00987C4D">
        <w:rPr>
          <w:rFonts w:hint="eastAsia"/>
          <w:b/>
          <w:bCs/>
          <w:sz w:val="24"/>
        </w:rPr>
        <w:t>），前期公告显示，公司控股股东</w:t>
      </w:r>
      <w:proofErr w:type="gramStart"/>
      <w:r w:rsidRPr="00987C4D">
        <w:rPr>
          <w:rFonts w:hint="eastAsia"/>
          <w:b/>
          <w:bCs/>
          <w:sz w:val="24"/>
        </w:rPr>
        <w:t>祥</w:t>
      </w:r>
      <w:proofErr w:type="gramEnd"/>
      <w:r w:rsidRPr="00987C4D">
        <w:rPr>
          <w:rFonts w:hint="eastAsia"/>
          <w:b/>
          <w:bCs/>
          <w:sz w:val="24"/>
        </w:rPr>
        <w:t>源控股以其所有的共计</w:t>
      </w:r>
      <w:r w:rsidRPr="00987C4D">
        <w:rPr>
          <w:rFonts w:hint="eastAsia"/>
          <w:b/>
          <w:bCs/>
          <w:sz w:val="24"/>
        </w:rPr>
        <w:t>82</w:t>
      </w:r>
      <w:r w:rsidRPr="00987C4D">
        <w:rPr>
          <w:rFonts w:hint="eastAsia"/>
          <w:b/>
          <w:bCs/>
          <w:sz w:val="24"/>
        </w:rPr>
        <w:t>套房产，抵偿</w:t>
      </w:r>
      <w:proofErr w:type="gramStart"/>
      <w:r w:rsidRPr="00987C4D">
        <w:rPr>
          <w:rFonts w:hint="eastAsia"/>
          <w:b/>
          <w:bCs/>
          <w:sz w:val="24"/>
        </w:rPr>
        <w:t>欠付交建工程</w:t>
      </w:r>
      <w:proofErr w:type="gramEnd"/>
      <w:r w:rsidRPr="00987C4D">
        <w:rPr>
          <w:rFonts w:hint="eastAsia"/>
          <w:b/>
          <w:bCs/>
          <w:sz w:val="24"/>
        </w:rPr>
        <w:t>合计</w:t>
      </w:r>
      <w:r w:rsidRPr="00987C4D">
        <w:rPr>
          <w:rFonts w:hint="eastAsia"/>
          <w:b/>
          <w:bCs/>
          <w:sz w:val="24"/>
        </w:rPr>
        <w:t>1.32</w:t>
      </w:r>
      <w:r w:rsidRPr="00987C4D">
        <w:rPr>
          <w:rFonts w:hint="eastAsia"/>
          <w:b/>
          <w:bCs/>
          <w:sz w:val="24"/>
        </w:rPr>
        <w:t>亿元的施工工程款，公司控股股东承诺，若上市公司在处置抵债房产过程中产生减值损失的，由控股股东或其控股子公司负责对减值损失部分进行全额现金补偿；若上市公司在</w:t>
      </w:r>
      <w:r w:rsidRPr="00987C4D">
        <w:rPr>
          <w:rFonts w:hint="eastAsia"/>
          <w:b/>
          <w:bCs/>
          <w:sz w:val="24"/>
        </w:rPr>
        <w:t>2</w:t>
      </w:r>
      <w:r w:rsidRPr="00987C4D">
        <w:rPr>
          <w:rFonts w:hint="eastAsia"/>
          <w:b/>
          <w:bCs/>
          <w:sz w:val="24"/>
        </w:rPr>
        <w:t>年内未能完成抵债房产处置，由控股股东或其控股子公司负责对尚未处置的房产按本次抵债价格进行回购</w:t>
      </w:r>
      <w:r>
        <w:rPr>
          <w:b/>
          <w:bCs/>
          <w:sz w:val="24"/>
        </w:rPr>
        <w:t>。</w:t>
      </w:r>
    </w:p>
    <w:p w:rsidR="000D3334" w:rsidRDefault="000D3334" w:rsidP="000D3334">
      <w:pPr>
        <w:spacing w:beforeLines="50" w:before="120" w:line="360" w:lineRule="auto"/>
        <w:ind w:firstLineChars="200" w:firstLine="482"/>
        <w:rPr>
          <w:b/>
          <w:bCs/>
          <w:sz w:val="24"/>
        </w:rPr>
      </w:pPr>
      <w:r w:rsidRPr="007B6DFA">
        <w:rPr>
          <w:rFonts w:hint="eastAsia"/>
          <w:b/>
          <w:bCs/>
          <w:sz w:val="24"/>
        </w:rPr>
        <w:t>请公司补充披露：（</w:t>
      </w:r>
      <w:r w:rsidRPr="007B6DFA">
        <w:rPr>
          <w:rFonts w:hint="eastAsia"/>
          <w:b/>
          <w:bCs/>
          <w:sz w:val="24"/>
        </w:rPr>
        <w:t>1</w:t>
      </w:r>
      <w:r w:rsidRPr="007B6DFA">
        <w:rPr>
          <w:rFonts w:hint="eastAsia"/>
          <w:b/>
          <w:bCs/>
          <w:sz w:val="24"/>
        </w:rPr>
        <w:t>）</w:t>
      </w:r>
      <w:r w:rsidRPr="007B6DFA">
        <w:rPr>
          <w:rFonts w:hint="eastAsia"/>
          <w:b/>
          <w:bCs/>
          <w:sz w:val="24"/>
        </w:rPr>
        <w:t>2021-2023</w:t>
      </w:r>
      <w:r w:rsidRPr="007B6DFA">
        <w:rPr>
          <w:rFonts w:hint="eastAsia"/>
          <w:b/>
          <w:bCs/>
          <w:sz w:val="24"/>
        </w:rPr>
        <w:t>年度业绩承诺期间收购标的收入来自于关联方的规模与占比，并列示每年前五名关联方客户名称、业务类型、销售金额、项目进展等；（</w:t>
      </w:r>
      <w:r w:rsidRPr="007B6DFA">
        <w:rPr>
          <w:rFonts w:hint="eastAsia"/>
          <w:b/>
          <w:bCs/>
          <w:sz w:val="24"/>
        </w:rPr>
        <w:t>2</w:t>
      </w:r>
      <w:r w:rsidRPr="007B6DFA">
        <w:rPr>
          <w:rFonts w:hint="eastAsia"/>
          <w:b/>
          <w:bCs/>
          <w:sz w:val="24"/>
        </w:rPr>
        <w:t>）说明</w:t>
      </w:r>
      <w:proofErr w:type="gramStart"/>
      <w:r w:rsidRPr="007B6DFA">
        <w:rPr>
          <w:rFonts w:hint="eastAsia"/>
          <w:b/>
          <w:bCs/>
          <w:sz w:val="24"/>
        </w:rPr>
        <w:t>祥源建设</w:t>
      </w:r>
      <w:proofErr w:type="gramEnd"/>
      <w:r w:rsidRPr="007B6DFA">
        <w:rPr>
          <w:rFonts w:hint="eastAsia"/>
          <w:b/>
          <w:bCs/>
          <w:sz w:val="24"/>
        </w:rPr>
        <w:t>业绩承诺期内关联业务收入形成的应收账款前十名情况，包括关联应收账款欠款方名称、形成时间、金额、形成后至</w:t>
      </w:r>
      <w:r w:rsidRPr="007B6DFA">
        <w:rPr>
          <w:rFonts w:hint="eastAsia"/>
          <w:b/>
          <w:bCs/>
          <w:sz w:val="24"/>
        </w:rPr>
        <w:t>2024</w:t>
      </w:r>
      <w:r w:rsidRPr="007B6DFA">
        <w:rPr>
          <w:rFonts w:hint="eastAsia"/>
          <w:b/>
          <w:bCs/>
          <w:sz w:val="24"/>
        </w:rPr>
        <w:t>年每年年末余额与</w:t>
      </w:r>
      <w:r w:rsidRPr="007B6DFA">
        <w:rPr>
          <w:rFonts w:hint="eastAsia"/>
          <w:b/>
          <w:bCs/>
          <w:sz w:val="24"/>
        </w:rPr>
        <w:lastRenderedPageBreak/>
        <w:t>坏账计提金额，说明是否存在承诺期内坏账计提不充分、承诺期满大额计提坏账的情况；（</w:t>
      </w:r>
      <w:r w:rsidRPr="007B6DFA">
        <w:rPr>
          <w:rFonts w:hint="eastAsia"/>
          <w:b/>
          <w:bCs/>
          <w:sz w:val="24"/>
        </w:rPr>
        <w:t>3</w:t>
      </w:r>
      <w:r w:rsidRPr="007B6DFA">
        <w:rPr>
          <w:rFonts w:hint="eastAsia"/>
          <w:b/>
          <w:bCs/>
          <w:sz w:val="24"/>
        </w:rPr>
        <w:t>）公司所持上述抵债房产最新处置进展，期末相关房产是否存在减值情况，以及控股股东承诺履行情况；（</w:t>
      </w:r>
      <w:r w:rsidRPr="007B6DFA">
        <w:rPr>
          <w:rFonts w:hint="eastAsia"/>
          <w:b/>
          <w:bCs/>
          <w:sz w:val="24"/>
        </w:rPr>
        <w:t>4</w:t>
      </w:r>
      <w:r w:rsidRPr="007B6DFA">
        <w:rPr>
          <w:rFonts w:hint="eastAsia"/>
          <w:b/>
          <w:bCs/>
          <w:sz w:val="24"/>
        </w:rPr>
        <w:t>）补充收购标的</w:t>
      </w:r>
      <w:r w:rsidRPr="007B6DFA">
        <w:rPr>
          <w:rFonts w:hint="eastAsia"/>
          <w:b/>
          <w:bCs/>
          <w:sz w:val="24"/>
        </w:rPr>
        <w:t>2024</w:t>
      </w:r>
      <w:r w:rsidRPr="007B6DFA">
        <w:rPr>
          <w:rFonts w:hint="eastAsia"/>
          <w:b/>
          <w:bCs/>
          <w:sz w:val="24"/>
        </w:rPr>
        <w:t>年业绩情况，结合承诺期满关联方以资抵债等情况，说明是否存在承诺期通过关联交易完成业绩承诺、承诺期满关联应收款回收困难的情况，进而说明承诺期内收入及利润的确认是否真实、准确、审慎。请年审会计师发表意见</w:t>
      </w:r>
      <w:r>
        <w:rPr>
          <w:b/>
          <w:bCs/>
          <w:sz w:val="24"/>
        </w:rPr>
        <w:t>。</w:t>
      </w:r>
    </w:p>
    <w:p w:rsidR="000D3334" w:rsidRDefault="000D3334" w:rsidP="000D3334">
      <w:pPr>
        <w:spacing w:beforeLines="50" w:before="120" w:line="360" w:lineRule="auto"/>
        <w:ind w:firstLineChars="200" w:firstLine="482"/>
        <w:outlineLvl w:val="1"/>
        <w:rPr>
          <w:b/>
          <w:bCs/>
          <w:sz w:val="24"/>
        </w:rPr>
      </w:pPr>
      <w:r>
        <w:rPr>
          <w:b/>
          <w:bCs/>
          <w:sz w:val="24"/>
        </w:rPr>
        <w:t>回复</w:t>
      </w:r>
      <w:r>
        <w:rPr>
          <w:rFonts w:hint="eastAsia"/>
          <w:b/>
          <w:bCs/>
          <w:sz w:val="24"/>
        </w:rPr>
        <w:t>：</w:t>
      </w:r>
    </w:p>
    <w:p w:rsidR="000D3334" w:rsidRDefault="000D3334" w:rsidP="000D3334">
      <w:pPr>
        <w:spacing w:beforeLines="50" w:before="120" w:line="360" w:lineRule="auto"/>
        <w:ind w:firstLineChars="200" w:firstLine="482"/>
        <w:outlineLvl w:val="0"/>
        <w:rPr>
          <w:b/>
          <w:bCs/>
          <w:sz w:val="24"/>
        </w:rPr>
      </w:pPr>
      <w:bookmarkStart w:id="3" w:name="_Toc168611949"/>
      <w:r>
        <w:rPr>
          <w:b/>
          <w:bCs/>
          <w:sz w:val="24"/>
        </w:rPr>
        <w:t>一、</w:t>
      </w:r>
      <w:bookmarkEnd w:id="3"/>
      <w:r>
        <w:rPr>
          <w:b/>
          <w:bCs/>
          <w:sz w:val="24"/>
        </w:rPr>
        <w:t>2021-2023</w:t>
      </w:r>
      <w:r>
        <w:rPr>
          <w:b/>
          <w:bCs/>
          <w:sz w:val="24"/>
        </w:rPr>
        <w:t>年度业绩承诺期间收购标的收入来自于关联方的规模与占比，并列示每年前五名关联方客户名称、业务类型、销售金额、项目进展等</w:t>
      </w:r>
    </w:p>
    <w:p w:rsidR="000D3334" w:rsidRDefault="000D3334" w:rsidP="000D3334">
      <w:pPr>
        <w:spacing w:beforeLines="50" w:before="120" w:line="360" w:lineRule="auto"/>
        <w:ind w:firstLineChars="200" w:firstLine="482"/>
        <w:outlineLvl w:val="1"/>
        <w:rPr>
          <w:b/>
          <w:bCs/>
          <w:sz w:val="24"/>
        </w:rPr>
      </w:pPr>
      <w:bookmarkStart w:id="4" w:name="_Toc168611950"/>
      <w:r>
        <w:rPr>
          <w:b/>
          <w:bCs/>
          <w:sz w:val="24"/>
        </w:rPr>
        <w:t>（一）</w:t>
      </w:r>
      <w:bookmarkEnd w:id="4"/>
      <w:r>
        <w:rPr>
          <w:b/>
          <w:bCs/>
          <w:sz w:val="24"/>
        </w:rPr>
        <w:t>2021-2023</w:t>
      </w:r>
      <w:r>
        <w:rPr>
          <w:b/>
          <w:bCs/>
          <w:sz w:val="24"/>
        </w:rPr>
        <w:t>年度业绩承诺期间</w:t>
      </w:r>
      <w:r>
        <w:rPr>
          <w:rFonts w:hint="eastAsia"/>
          <w:b/>
          <w:bCs/>
          <w:sz w:val="24"/>
        </w:rPr>
        <w:t>，</w:t>
      </w:r>
      <w:r>
        <w:rPr>
          <w:b/>
          <w:bCs/>
          <w:sz w:val="24"/>
        </w:rPr>
        <w:t>收购标的收入来自于关联方的规模与占比</w:t>
      </w:r>
    </w:p>
    <w:p w:rsidR="000D3334" w:rsidRPr="008E123F" w:rsidRDefault="000D3334" w:rsidP="000D3334">
      <w:pPr>
        <w:spacing w:beforeLines="50" w:before="120" w:line="360" w:lineRule="auto"/>
        <w:ind w:firstLineChars="200" w:firstLine="480"/>
        <w:rPr>
          <w:sz w:val="24"/>
        </w:rPr>
      </w:pPr>
      <w:r w:rsidRPr="008E123F">
        <w:rPr>
          <w:rFonts w:hint="eastAsia"/>
          <w:sz w:val="24"/>
        </w:rPr>
        <w:t>2021-2023</w:t>
      </w:r>
      <w:r w:rsidRPr="008E123F">
        <w:rPr>
          <w:rFonts w:hint="eastAsia"/>
          <w:sz w:val="24"/>
        </w:rPr>
        <w:t>年度业绩承诺期间</w:t>
      </w:r>
      <w:r>
        <w:rPr>
          <w:rFonts w:hint="eastAsia"/>
          <w:sz w:val="24"/>
        </w:rPr>
        <w:t>，</w:t>
      </w:r>
      <w:r w:rsidRPr="008E123F">
        <w:rPr>
          <w:rFonts w:hint="eastAsia"/>
          <w:sz w:val="24"/>
        </w:rPr>
        <w:t>收购标的收入来自于关联方的规模与占比</w:t>
      </w:r>
      <w:r>
        <w:rPr>
          <w:rFonts w:hint="eastAsia"/>
          <w:sz w:val="24"/>
        </w:rPr>
        <w:t>具体情况如下表所示：</w:t>
      </w:r>
    </w:p>
    <w:p w:rsidR="000D3334" w:rsidRPr="00DA222A" w:rsidRDefault="000D3334" w:rsidP="000D3334">
      <w:pPr>
        <w:spacing w:beforeLines="50" w:before="120"/>
        <w:ind w:firstLineChars="200" w:firstLine="420"/>
        <w:jc w:val="right"/>
        <w:rPr>
          <w:szCs w:val="21"/>
        </w:rPr>
      </w:pPr>
      <w:r w:rsidRPr="00DA222A">
        <w:rPr>
          <w:szCs w:val="21"/>
        </w:rPr>
        <w:t>单位：万元</w:t>
      </w:r>
    </w:p>
    <w:tbl>
      <w:tblPr>
        <w:tblStyle w:val="a9"/>
        <w:tblW w:w="496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48"/>
        <w:gridCol w:w="2066"/>
        <w:gridCol w:w="2066"/>
        <w:gridCol w:w="2064"/>
      </w:tblGrid>
      <w:tr w:rsidR="000D3334" w:rsidTr="00F3634B">
        <w:trPr>
          <w:trHeight w:val="440"/>
          <w:tblHeader/>
          <w:jc w:val="center"/>
        </w:trPr>
        <w:tc>
          <w:tcPr>
            <w:tcW w:w="1536"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项目</w:t>
            </w:r>
          </w:p>
        </w:tc>
        <w:tc>
          <w:tcPr>
            <w:tcW w:w="1155"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2023</w:t>
            </w:r>
            <w:r>
              <w:rPr>
                <w:b/>
                <w:bCs/>
                <w:color w:val="000000"/>
                <w:szCs w:val="21"/>
                <w:lang w:bidi="ar"/>
              </w:rPr>
              <w:t>年度</w:t>
            </w:r>
          </w:p>
        </w:tc>
        <w:tc>
          <w:tcPr>
            <w:tcW w:w="1155"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2022</w:t>
            </w:r>
            <w:r>
              <w:rPr>
                <w:b/>
                <w:bCs/>
                <w:color w:val="000000"/>
                <w:szCs w:val="21"/>
                <w:lang w:bidi="ar"/>
              </w:rPr>
              <w:t>年度</w:t>
            </w:r>
          </w:p>
        </w:tc>
        <w:tc>
          <w:tcPr>
            <w:tcW w:w="1155"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2021</w:t>
            </w:r>
            <w:r>
              <w:rPr>
                <w:b/>
                <w:bCs/>
                <w:color w:val="000000"/>
                <w:szCs w:val="21"/>
                <w:lang w:bidi="ar"/>
              </w:rPr>
              <w:t>年度</w:t>
            </w:r>
          </w:p>
        </w:tc>
      </w:tr>
      <w:tr w:rsidR="000D3334" w:rsidTr="00F3634B">
        <w:trPr>
          <w:trHeight w:val="440"/>
          <w:jc w:val="center"/>
        </w:trPr>
        <w:tc>
          <w:tcPr>
            <w:tcW w:w="1536" w:type="pct"/>
            <w:vAlign w:val="center"/>
          </w:tcPr>
          <w:p w:rsidR="000D3334" w:rsidRDefault="000D3334" w:rsidP="00F3634B">
            <w:pPr>
              <w:widowControl/>
              <w:jc w:val="left"/>
              <w:textAlignment w:val="center"/>
              <w:rPr>
                <w:szCs w:val="21"/>
              </w:rPr>
            </w:pPr>
            <w:r>
              <w:rPr>
                <w:color w:val="000000"/>
                <w:szCs w:val="21"/>
                <w:lang w:bidi="ar"/>
              </w:rPr>
              <w:t>关联销售收入</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46,819.33</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66,969.51</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86,808.57</w:t>
            </w:r>
          </w:p>
        </w:tc>
      </w:tr>
      <w:tr w:rsidR="000D3334" w:rsidTr="00F3634B">
        <w:trPr>
          <w:trHeight w:val="440"/>
          <w:jc w:val="center"/>
        </w:trPr>
        <w:tc>
          <w:tcPr>
            <w:tcW w:w="1536" w:type="pct"/>
            <w:vAlign w:val="center"/>
          </w:tcPr>
          <w:p w:rsidR="000D3334" w:rsidRDefault="000D3334" w:rsidP="00F3634B">
            <w:pPr>
              <w:widowControl/>
              <w:jc w:val="left"/>
              <w:textAlignment w:val="center"/>
              <w:rPr>
                <w:szCs w:val="21"/>
              </w:rPr>
            </w:pPr>
            <w:r>
              <w:rPr>
                <w:color w:val="000000"/>
                <w:szCs w:val="21"/>
                <w:lang w:bidi="ar"/>
              </w:rPr>
              <w:t>营业收入</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93,207.37</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81,108.91</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91,305.84</w:t>
            </w:r>
          </w:p>
        </w:tc>
      </w:tr>
      <w:tr w:rsidR="000D3334" w:rsidTr="00F3634B">
        <w:trPr>
          <w:trHeight w:val="440"/>
          <w:jc w:val="center"/>
        </w:trPr>
        <w:tc>
          <w:tcPr>
            <w:tcW w:w="1536" w:type="pct"/>
            <w:vAlign w:val="center"/>
          </w:tcPr>
          <w:p w:rsidR="000D3334" w:rsidRDefault="000D3334" w:rsidP="00F3634B">
            <w:pPr>
              <w:widowControl/>
              <w:jc w:val="left"/>
              <w:textAlignment w:val="center"/>
              <w:rPr>
                <w:szCs w:val="21"/>
              </w:rPr>
            </w:pPr>
            <w:r>
              <w:rPr>
                <w:color w:val="000000"/>
                <w:szCs w:val="21"/>
                <w:lang w:bidi="ar"/>
              </w:rPr>
              <w:t>关联收入占比（</w:t>
            </w:r>
            <w:r>
              <w:rPr>
                <w:color w:val="000000"/>
                <w:szCs w:val="21"/>
                <w:lang w:bidi="ar"/>
              </w:rPr>
              <w:t>%</w:t>
            </w:r>
            <w:r>
              <w:rPr>
                <w:color w:val="000000"/>
                <w:szCs w:val="21"/>
                <w:lang w:bidi="ar"/>
              </w:rPr>
              <w:t>）</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50.23</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82.57</w:t>
            </w:r>
          </w:p>
        </w:tc>
        <w:tc>
          <w:tcPr>
            <w:tcW w:w="1155" w:type="pct"/>
            <w:shd w:val="clear" w:color="auto" w:fill="auto"/>
            <w:vAlign w:val="center"/>
          </w:tcPr>
          <w:p w:rsidR="000D3334" w:rsidRDefault="000D3334" w:rsidP="00F3634B">
            <w:pPr>
              <w:widowControl/>
              <w:jc w:val="right"/>
              <w:textAlignment w:val="center"/>
              <w:rPr>
                <w:color w:val="000000"/>
                <w:szCs w:val="21"/>
                <w:lang w:bidi="ar"/>
              </w:rPr>
            </w:pPr>
            <w:r>
              <w:rPr>
                <w:color w:val="000000"/>
                <w:szCs w:val="21"/>
                <w:lang w:bidi="ar"/>
              </w:rPr>
              <w:t>95.07</w:t>
            </w:r>
          </w:p>
        </w:tc>
      </w:tr>
    </w:tbl>
    <w:p w:rsidR="000D3334" w:rsidRPr="0005029C" w:rsidRDefault="000D3334" w:rsidP="000D3334">
      <w:pPr>
        <w:spacing w:beforeLines="50" w:before="120" w:line="360" w:lineRule="auto"/>
        <w:ind w:firstLineChars="200" w:firstLine="480"/>
        <w:rPr>
          <w:sz w:val="24"/>
        </w:rPr>
      </w:pPr>
      <w:r w:rsidRPr="0005029C">
        <w:rPr>
          <w:sz w:val="24"/>
        </w:rPr>
        <w:t>如上表所示，</w:t>
      </w:r>
      <w:r w:rsidRPr="0005029C">
        <w:rPr>
          <w:sz w:val="24"/>
        </w:rPr>
        <w:t>2021-2023</w:t>
      </w:r>
      <w:r w:rsidRPr="0005029C">
        <w:rPr>
          <w:sz w:val="24"/>
        </w:rPr>
        <w:t>年度业绩承诺期间收购标的收入来自于关联方的规模分别为</w:t>
      </w:r>
      <w:r w:rsidRPr="0005029C">
        <w:rPr>
          <w:sz w:val="24"/>
        </w:rPr>
        <w:t>86,808.57</w:t>
      </w:r>
      <w:r w:rsidRPr="0005029C">
        <w:rPr>
          <w:sz w:val="24"/>
        </w:rPr>
        <w:t>万元、</w:t>
      </w:r>
      <w:r w:rsidRPr="0005029C">
        <w:rPr>
          <w:sz w:val="24"/>
        </w:rPr>
        <w:t>66,969.51</w:t>
      </w:r>
      <w:r w:rsidRPr="0005029C">
        <w:rPr>
          <w:sz w:val="24"/>
        </w:rPr>
        <w:t>万元</w:t>
      </w:r>
      <w:r>
        <w:rPr>
          <w:rFonts w:hint="eastAsia"/>
          <w:sz w:val="24"/>
        </w:rPr>
        <w:t>和</w:t>
      </w:r>
      <w:r w:rsidRPr="0005029C">
        <w:rPr>
          <w:sz w:val="24"/>
        </w:rPr>
        <w:t>46,819.33</w:t>
      </w:r>
      <w:r w:rsidRPr="0005029C">
        <w:rPr>
          <w:sz w:val="24"/>
        </w:rPr>
        <w:t>万元</w:t>
      </w:r>
      <w:r>
        <w:rPr>
          <w:rFonts w:hint="eastAsia"/>
          <w:sz w:val="24"/>
        </w:rPr>
        <w:t>，占比</w:t>
      </w:r>
      <w:r w:rsidRPr="0005029C">
        <w:rPr>
          <w:sz w:val="24"/>
        </w:rPr>
        <w:t>分别为</w:t>
      </w:r>
      <w:r w:rsidRPr="0005029C">
        <w:rPr>
          <w:sz w:val="24"/>
        </w:rPr>
        <w:t>95.07%</w:t>
      </w:r>
      <w:r w:rsidRPr="0005029C">
        <w:rPr>
          <w:sz w:val="24"/>
        </w:rPr>
        <w:t>、</w:t>
      </w:r>
      <w:r w:rsidRPr="0005029C">
        <w:rPr>
          <w:sz w:val="24"/>
        </w:rPr>
        <w:t>82.57%</w:t>
      </w:r>
      <w:r>
        <w:rPr>
          <w:rFonts w:hint="eastAsia"/>
          <w:sz w:val="24"/>
        </w:rPr>
        <w:t>和</w:t>
      </w:r>
      <w:r w:rsidRPr="0005029C">
        <w:rPr>
          <w:sz w:val="24"/>
        </w:rPr>
        <w:t>50.23%</w:t>
      </w:r>
      <w:r>
        <w:rPr>
          <w:rFonts w:hint="eastAsia"/>
          <w:sz w:val="24"/>
        </w:rPr>
        <w:t>。收购完成后，标的公司积极扩展外部业务，</w:t>
      </w:r>
      <w:r w:rsidRPr="0005029C">
        <w:rPr>
          <w:sz w:val="24"/>
        </w:rPr>
        <w:t>来自于关联方的</w:t>
      </w:r>
      <w:r>
        <w:rPr>
          <w:rFonts w:hint="eastAsia"/>
          <w:sz w:val="24"/>
        </w:rPr>
        <w:t>收入</w:t>
      </w:r>
      <w:r w:rsidRPr="0005029C">
        <w:rPr>
          <w:sz w:val="24"/>
        </w:rPr>
        <w:t>规模和占比均呈</w:t>
      </w:r>
      <w:r>
        <w:rPr>
          <w:rFonts w:hint="eastAsia"/>
          <w:sz w:val="24"/>
        </w:rPr>
        <w:t>逐年</w:t>
      </w:r>
      <w:r w:rsidRPr="0005029C">
        <w:rPr>
          <w:sz w:val="24"/>
        </w:rPr>
        <w:t>下降趋势。</w:t>
      </w:r>
    </w:p>
    <w:p w:rsidR="000D3334" w:rsidRDefault="000D3334" w:rsidP="000D3334">
      <w:pPr>
        <w:spacing w:beforeLines="50" w:before="120" w:line="360" w:lineRule="auto"/>
        <w:ind w:firstLineChars="200" w:firstLine="482"/>
        <w:outlineLvl w:val="1"/>
        <w:rPr>
          <w:b/>
          <w:bCs/>
          <w:sz w:val="24"/>
        </w:rPr>
      </w:pPr>
      <w:r>
        <w:rPr>
          <w:b/>
          <w:bCs/>
          <w:sz w:val="24"/>
        </w:rPr>
        <w:t>（二）</w:t>
      </w:r>
      <w:r>
        <w:rPr>
          <w:b/>
          <w:bCs/>
          <w:sz w:val="24"/>
        </w:rPr>
        <w:t>2021-2023</w:t>
      </w:r>
      <w:r>
        <w:rPr>
          <w:b/>
          <w:bCs/>
          <w:sz w:val="24"/>
        </w:rPr>
        <w:t>年度业绩承诺期间</w:t>
      </w:r>
      <w:r>
        <w:rPr>
          <w:rFonts w:hint="eastAsia"/>
          <w:b/>
          <w:bCs/>
          <w:sz w:val="24"/>
        </w:rPr>
        <w:t>，</w:t>
      </w:r>
      <w:r>
        <w:rPr>
          <w:b/>
          <w:bCs/>
          <w:sz w:val="24"/>
        </w:rPr>
        <w:t>收购标的每年前五名关联方客户</w:t>
      </w:r>
      <w:r>
        <w:rPr>
          <w:rFonts w:hint="eastAsia"/>
          <w:b/>
          <w:bCs/>
          <w:sz w:val="24"/>
        </w:rPr>
        <w:t>情况</w:t>
      </w:r>
    </w:p>
    <w:p w:rsidR="000D3334" w:rsidRDefault="000D3334" w:rsidP="000D3334">
      <w:pPr>
        <w:spacing w:beforeLines="50" w:before="120" w:line="360" w:lineRule="auto"/>
        <w:ind w:firstLineChars="200" w:firstLine="480"/>
        <w:rPr>
          <w:sz w:val="24"/>
        </w:rPr>
      </w:pPr>
      <w:r>
        <w:rPr>
          <w:sz w:val="24"/>
        </w:rPr>
        <w:t>2021-2023</w:t>
      </w:r>
      <w:r>
        <w:rPr>
          <w:sz w:val="24"/>
        </w:rPr>
        <w:t>年度业绩承诺期间</w:t>
      </w:r>
      <w:r>
        <w:rPr>
          <w:rFonts w:hint="eastAsia"/>
          <w:sz w:val="24"/>
        </w:rPr>
        <w:t>，</w:t>
      </w:r>
      <w:r>
        <w:rPr>
          <w:sz w:val="24"/>
        </w:rPr>
        <w:t>收购标的每年前五名关联方客户名称、业务类型、销售金额、项目进展等</w:t>
      </w:r>
      <w:r>
        <w:rPr>
          <w:rFonts w:hint="eastAsia"/>
          <w:sz w:val="24"/>
        </w:rPr>
        <w:t>具体情况</w:t>
      </w:r>
      <w:r>
        <w:rPr>
          <w:sz w:val="24"/>
        </w:rPr>
        <w:t>如下：</w:t>
      </w:r>
    </w:p>
    <w:p w:rsidR="000D3334" w:rsidRDefault="000D3334" w:rsidP="000D3334">
      <w:pPr>
        <w:spacing w:beforeLines="50" w:before="120" w:line="360" w:lineRule="auto"/>
        <w:ind w:firstLineChars="200" w:firstLine="480"/>
        <w:outlineLvl w:val="2"/>
        <w:rPr>
          <w:sz w:val="24"/>
        </w:rPr>
      </w:pPr>
      <w:r>
        <w:rPr>
          <w:rFonts w:hint="eastAsia"/>
          <w:sz w:val="24"/>
        </w:rPr>
        <w:t>1</w:t>
      </w:r>
      <w:r>
        <w:rPr>
          <w:rFonts w:hint="eastAsia"/>
          <w:sz w:val="24"/>
        </w:rPr>
        <w:t>、</w:t>
      </w:r>
      <w:r>
        <w:rPr>
          <w:rFonts w:hint="eastAsia"/>
          <w:sz w:val="24"/>
        </w:rPr>
        <w:t>2021</w:t>
      </w:r>
      <w:r>
        <w:rPr>
          <w:rFonts w:hint="eastAsia"/>
          <w:sz w:val="24"/>
        </w:rPr>
        <w:t>年度</w:t>
      </w:r>
    </w:p>
    <w:p w:rsidR="000D3334" w:rsidRPr="00407F10" w:rsidRDefault="000D3334" w:rsidP="000D3334">
      <w:pPr>
        <w:spacing w:beforeLines="50" w:before="120"/>
        <w:ind w:firstLineChars="200" w:firstLine="420"/>
        <w:jc w:val="right"/>
        <w:rPr>
          <w:szCs w:val="21"/>
        </w:rPr>
      </w:pPr>
      <w:r w:rsidRPr="00407F10">
        <w:rPr>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1316"/>
        <w:gridCol w:w="2179"/>
        <w:gridCol w:w="1239"/>
        <w:gridCol w:w="1241"/>
        <w:gridCol w:w="1230"/>
        <w:gridCol w:w="1230"/>
      </w:tblGrid>
      <w:tr w:rsidR="000D3334" w:rsidRPr="005E7B85" w:rsidTr="00F3634B">
        <w:trPr>
          <w:trHeight w:val="432"/>
          <w:tblHeader/>
        </w:trPr>
        <w:tc>
          <w:tcPr>
            <w:tcW w:w="316"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Pr>
                <w:rFonts w:eastAsiaTheme="minorEastAsia" w:hint="eastAsia"/>
                <w:b/>
                <w:bCs/>
                <w:szCs w:val="21"/>
              </w:rPr>
              <w:t>序</w:t>
            </w:r>
            <w:r>
              <w:rPr>
                <w:rFonts w:eastAsiaTheme="minorEastAsia" w:hint="eastAsia"/>
                <w:b/>
                <w:bCs/>
                <w:szCs w:val="21"/>
              </w:rPr>
              <w:lastRenderedPageBreak/>
              <w:t>号</w:t>
            </w:r>
          </w:p>
        </w:tc>
        <w:tc>
          <w:tcPr>
            <w:tcW w:w="731"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lastRenderedPageBreak/>
              <w:t>客户名称</w:t>
            </w:r>
          </w:p>
        </w:tc>
        <w:tc>
          <w:tcPr>
            <w:tcW w:w="1210"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项目名称</w:t>
            </w:r>
          </w:p>
        </w:tc>
        <w:tc>
          <w:tcPr>
            <w:tcW w:w="688"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业务类型</w:t>
            </w:r>
          </w:p>
        </w:tc>
        <w:tc>
          <w:tcPr>
            <w:tcW w:w="689"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销售金额</w:t>
            </w:r>
          </w:p>
        </w:tc>
        <w:tc>
          <w:tcPr>
            <w:tcW w:w="1366" w:type="pct"/>
            <w:gridSpan w:val="2"/>
            <w:shd w:val="clear" w:color="auto" w:fill="D9D9D9" w:themeFill="background1" w:themeFillShade="D9"/>
            <w:vAlign w:val="center"/>
          </w:tcPr>
          <w:p w:rsidR="000D3334" w:rsidRPr="005E7B85" w:rsidRDefault="000D3334" w:rsidP="00F3634B">
            <w:pPr>
              <w:widowControl/>
              <w:adjustRightInd w:val="0"/>
              <w:jc w:val="center"/>
              <w:textAlignment w:val="center"/>
              <w:rPr>
                <w:rFonts w:eastAsiaTheme="minorEastAsia"/>
                <w:b/>
                <w:bCs/>
                <w:szCs w:val="21"/>
              </w:rPr>
            </w:pPr>
            <w:r w:rsidRPr="005E7B85">
              <w:rPr>
                <w:rFonts w:eastAsiaTheme="minorEastAsia"/>
                <w:b/>
                <w:bCs/>
                <w:szCs w:val="21"/>
              </w:rPr>
              <w:t>项目进展</w:t>
            </w:r>
          </w:p>
        </w:tc>
      </w:tr>
      <w:tr w:rsidR="000D3334" w:rsidRPr="005E7B85" w:rsidTr="00F3634B">
        <w:trPr>
          <w:trHeight w:val="545"/>
          <w:tblHeader/>
        </w:trPr>
        <w:tc>
          <w:tcPr>
            <w:tcW w:w="316"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731"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1210"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8"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9"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2021</w:t>
            </w:r>
            <w:r w:rsidRPr="005E7B85">
              <w:rPr>
                <w:rFonts w:eastAsiaTheme="minorEastAsia"/>
                <w:b/>
                <w:bCs/>
                <w:szCs w:val="21"/>
              </w:rPr>
              <w:t>年末</w:t>
            </w: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2024</w:t>
            </w:r>
            <w:r w:rsidRPr="005E7B85">
              <w:rPr>
                <w:rFonts w:eastAsiaTheme="minorEastAsia"/>
                <w:b/>
                <w:bCs/>
                <w:szCs w:val="21"/>
              </w:rPr>
              <w:t>年末</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lastRenderedPageBreak/>
              <w:t>1</w:t>
            </w:r>
          </w:p>
        </w:tc>
        <w:tc>
          <w:tcPr>
            <w:tcW w:w="731" w:type="pct"/>
            <w:vMerge w:val="restart"/>
            <w:vAlign w:val="center"/>
          </w:tcPr>
          <w:p w:rsidR="000D3334" w:rsidRPr="005E7B85" w:rsidRDefault="000D3334" w:rsidP="00F3634B">
            <w:pPr>
              <w:widowControl/>
              <w:jc w:val="left"/>
              <w:textAlignment w:val="center"/>
              <w:rPr>
                <w:rFonts w:eastAsiaTheme="minorEastAsia"/>
                <w:color w:val="000000"/>
                <w:szCs w:val="21"/>
              </w:rPr>
            </w:pPr>
            <w:r w:rsidRPr="005E7B85">
              <w:rPr>
                <w:rFonts w:eastAsiaTheme="minorEastAsia"/>
                <w:color w:val="000000"/>
                <w:szCs w:val="21"/>
                <w:lang w:bidi="ar"/>
              </w:rPr>
              <w:t>阜南县城北</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源房地产开发有限公司</w:t>
            </w:r>
          </w:p>
        </w:tc>
        <w:tc>
          <w:tcPr>
            <w:tcW w:w="1210" w:type="pct"/>
            <w:vAlign w:val="center"/>
          </w:tcPr>
          <w:p w:rsidR="000D3334" w:rsidRPr="00146C00" w:rsidRDefault="000D3334" w:rsidP="00F3634B">
            <w:pPr>
              <w:adjustRightInd w:val="0"/>
              <w:rPr>
                <w:szCs w:val="21"/>
              </w:rPr>
            </w:pPr>
            <w:r w:rsidRPr="00146C00">
              <w:t>阜南</w:t>
            </w:r>
            <w:r w:rsidRPr="00146C00">
              <w:t>67</w:t>
            </w:r>
            <w:r w:rsidRPr="00146C00">
              <w:t>号地块北</w:t>
            </w:r>
            <w:proofErr w:type="gramStart"/>
            <w:r w:rsidRPr="00146C00">
              <w:t>宸里项目</w:t>
            </w:r>
            <w:proofErr w:type="gramEnd"/>
            <w:r w:rsidRPr="00146C00">
              <w:t>部</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7,004.95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rPr>
            </w:pPr>
          </w:p>
        </w:tc>
        <w:tc>
          <w:tcPr>
            <w:tcW w:w="731" w:type="pct"/>
            <w:vMerge/>
            <w:vAlign w:val="center"/>
          </w:tcPr>
          <w:p w:rsidR="000D3334" w:rsidRPr="005E7B85" w:rsidRDefault="000D3334" w:rsidP="00F3634B">
            <w:pPr>
              <w:jc w:val="left"/>
              <w:rPr>
                <w:rFonts w:eastAsiaTheme="minorEastAsia"/>
                <w:color w:val="000000"/>
                <w:szCs w:val="21"/>
              </w:rPr>
            </w:pPr>
          </w:p>
        </w:tc>
        <w:tc>
          <w:tcPr>
            <w:tcW w:w="1210" w:type="pct"/>
            <w:vAlign w:val="center"/>
          </w:tcPr>
          <w:p w:rsidR="000D3334" w:rsidRPr="00146C00" w:rsidRDefault="000D3334" w:rsidP="00F3634B">
            <w:pPr>
              <w:adjustRightInd w:val="0"/>
              <w:rPr>
                <w:szCs w:val="21"/>
              </w:rPr>
            </w:pPr>
            <w:r w:rsidRPr="00146C00">
              <w:t>阜南</w:t>
            </w:r>
            <w:r w:rsidRPr="00146C00">
              <w:t>65#</w:t>
            </w:r>
            <w:r w:rsidRPr="00146C00">
              <w:t>地块陶源</w:t>
            </w:r>
            <w:proofErr w:type="gramStart"/>
            <w:r w:rsidRPr="00146C00">
              <w:t>里项目</w:t>
            </w:r>
            <w:proofErr w:type="gramEnd"/>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7,416.25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rPr>
            </w:pPr>
          </w:p>
        </w:tc>
        <w:tc>
          <w:tcPr>
            <w:tcW w:w="731" w:type="pct"/>
            <w:vMerge/>
            <w:vAlign w:val="center"/>
          </w:tcPr>
          <w:p w:rsidR="000D3334" w:rsidRPr="005E7B85" w:rsidRDefault="000D3334" w:rsidP="00F3634B">
            <w:pPr>
              <w:jc w:val="left"/>
              <w:rPr>
                <w:rFonts w:eastAsiaTheme="minorEastAsia"/>
                <w:color w:val="000000"/>
                <w:szCs w:val="21"/>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r w:rsidRPr="00146C00">
              <w:rPr>
                <w:szCs w:val="21"/>
              </w:rPr>
              <w:t>/</w:t>
            </w:r>
            <w:r w:rsidRPr="00146C00">
              <w:rPr>
                <w:szCs w:val="21"/>
              </w:rPr>
              <w:t>设计</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1,846.82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2</w:t>
            </w:r>
          </w:p>
        </w:tc>
        <w:tc>
          <w:tcPr>
            <w:tcW w:w="731" w:type="pct"/>
            <w:vMerge w:val="restart"/>
            <w:vAlign w:val="center"/>
          </w:tcPr>
          <w:p w:rsidR="000D3334" w:rsidRPr="005E7B85" w:rsidRDefault="000D3334" w:rsidP="00F3634B">
            <w:pPr>
              <w:widowControl/>
              <w:jc w:val="left"/>
              <w:textAlignment w:val="center"/>
              <w:rPr>
                <w:rFonts w:eastAsiaTheme="minorEastAsia"/>
                <w:color w:val="000000"/>
                <w:szCs w:val="21"/>
              </w:rPr>
            </w:pPr>
            <w:r w:rsidRPr="005E7B85">
              <w:rPr>
                <w:rFonts w:eastAsiaTheme="minorEastAsia"/>
                <w:color w:val="000000"/>
                <w:szCs w:val="21"/>
                <w:lang w:bidi="ar"/>
              </w:rPr>
              <w:t>五河</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源投资开发有限公司</w:t>
            </w:r>
          </w:p>
        </w:tc>
        <w:tc>
          <w:tcPr>
            <w:tcW w:w="1210" w:type="pct"/>
            <w:vAlign w:val="center"/>
          </w:tcPr>
          <w:p w:rsidR="000D3334" w:rsidRPr="00146C00" w:rsidRDefault="000D3334" w:rsidP="00F3634B">
            <w:pPr>
              <w:adjustRightInd w:val="0"/>
              <w:rPr>
                <w:szCs w:val="21"/>
              </w:rPr>
            </w:pPr>
            <w:r w:rsidRPr="00146C00">
              <w:rPr>
                <w:szCs w:val="21"/>
              </w:rPr>
              <w:t>五河</w:t>
            </w:r>
            <w:r w:rsidRPr="00146C00">
              <w:rPr>
                <w:szCs w:val="21"/>
              </w:rPr>
              <w:t>CH33</w:t>
            </w:r>
            <w:r w:rsidRPr="00146C00">
              <w:rPr>
                <w:szCs w:val="21"/>
              </w:rPr>
              <w:t>地块一期</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7,391.93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left"/>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r w:rsidRPr="00146C00">
              <w:rPr>
                <w:szCs w:val="21"/>
              </w:rPr>
              <w:t>/</w:t>
            </w:r>
            <w:r w:rsidRPr="00146C00">
              <w:rPr>
                <w:szCs w:val="21"/>
              </w:rPr>
              <w:t>设计</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3,398.74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3</w:t>
            </w:r>
          </w:p>
        </w:tc>
        <w:tc>
          <w:tcPr>
            <w:tcW w:w="731" w:type="pct"/>
            <w:vMerge w:val="restart"/>
            <w:vAlign w:val="center"/>
          </w:tcPr>
          <w:p w:rsidR="000D3334" w:rsidRPr="005E7B85" w:rsidRDefault="000D3334" w:rsidP="00F3634B">
            <w:pPr>
              <w:widowControl/>
              <w:jc w:val="left"/>
              <w:textAlignment w:val="center"/>
              <w:rPr>
                <w:rFonts w:eastAsiaTheme="minorEastAsia"/>
                <w:color w:val="000000"/>
                <w:szCs w:val="21"/>
                <w:lang w:bidi="ar"/>
              </w:rPr>
            </w:pPr>
            <w:r w:rsidRPr="005E7B85">
              <w:rPr>
                <w:rFonts w:eastAsiaTheme="minorEastAsia"/>
                <w:color w:val="000000"/>
                <w:szCs w:val="21"/>
                <w:lang w:bidi="ar"/>
              </w:rPr>
              <w:t>上海万锦置业发展有限公司</w:t>
            </w:r>
          </w:p>
        </w:tc>
        <w:tc>
          <w:tcPr>
            <w:tcW w:w="1210" w:type="pct"/>
            <w:vAlign w:val="center"/>
          </w:tcPr>
          <w:p w:rsidR="000D3334" w:rsidRPr="00146C00" w:rsidRDefault="000D3334" w:rsidP="00F3634B">
            <w:pPr>
              <w:adjustRightInd w:val="0"/>
              <w:rPr>
                <w:szCs w:val="21"/>
              </w:rPr>
            </w:pPr>
            <w:r w:rsidRPr="00146C00">
              <w:rPr>
                <w:szCs w:val="21"/>
              </w:rPr>
              <w:t>上海合利坊旧改项目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9,481.28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left"/>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7.55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4</w:t>
            </w:r>
          </w:p>
        </w:tc>
        <w:tc>
          <w:tcPr>
            <w:tcW w:w="731" w:type="pct"/>
            <w:vMerge w:val="restart"/>
            <w:vAlign w:val="center"/>
          </w:tcPr>
          <w:p w:rsidR="000D3334" w:rsidRPr="005E7B85" w:rsidRDefault="000D3334" w:rsidP="00F3634B">
            <w:pPr>
              <w:widowControl/>
              <w:jc w:val="left"/>
              <w:textAlignment w:val="center"/>
              <w:rPr>
                <w:rFonts w:eastAsiaTheme="minorEastAsia"/>
                <w:color w:val="000000"/>
                <w:szCs w:val="21"/>
                <w:lang w:bidi="ar"/>
              </w:rPr>
            </w:pPr>
            <w:r w:rsidRPr="005E7B85">
              <w:rPr>
                <w:rFonts w:eastAsiaTheme="minorEastAsia"/>
                <w:color w:val="000000"/>
                <w:szCs w:val="21"/>
                <w:lang w:bidi="ar"/>
              </w:rPr>
              <w:t>安徽祥源公园城开发有限公司</w:t>
            </w:r>
          </w:p>
        </w:tc>
        <w:tc>
          <w:tcPr>
            <w:tcW w:w="1210" w:type="pct"/>
            <w:vAlign w:val="center"/>
          </w:tcPr>
          <w:p w:rsidR="000D3334" w:rsidRPr="00146C00" w:rsidRDefault="000D3334" w:rsidP="00F3634B">
            <w:pPr>
              <w:adjustRightInd w:val="0"/>
              <w:rPr>
                <w:szCs w:val="21"/>
              </w:rPr>
            </w:pPr>
            <w:r w:rsidRPr="00146C00">
              <w:rPr>
                <w:szCs w:val="21"/>
              </w:rPr>
              <w:t>阜阳芳华园项目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5,907.93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left"/>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装饰</w:t>
            </w:r>
            <w:r w:rsidRPr="00146C00">
              <w:rPr>
                <w:szCs w:val="21"/>
              </w:rPr>
              <w:t>/</w:t>
            </w:r>
            <w:r w:rsidRPr="00146C00">
              <w:rPr>
                <w:szCs w:val="21"/>
              </w:rPr>
              <w:t>设计</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1,200.47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5</w:t>
            </w:r>
          </w:p>
        </w:tc>
        <w:tc>
          <w:tcPr>
            <w:tcW w:w="731" w:type="pct"/>
            <w:vMerge w:val="restart"/>
            <w:vAlign w:val="center"/>
          </w:tcPr>
          <w:p w:rsidR="000D3334" w:rsidRPr="005E7B85" w:rsidRDefault="000D3334" w:rsidP="00F3634B">
            <w:pPr>
              <w:widowControl/>
              <w:jc w:val="left"/>
              <w:textAlignment w:val="center"/>
              <w:rPr>
                <w:rFonts w:eastAsiaTheme="minorEastAsia"/>
                <w:color w:val="000000"/>
                <w:szCs w:val="21"/>
                <w:lang w:bidi="ar"/>
              </w:rPr>
            </w:pPr>
            <w:r w:rsidRPr="005E7B85">
              <w:rPr>
                <w:rFonts w:eastAsiaTheme="minorEastAsia"/>
                <w:color w:val="000000"/>
                <w:szCs w:val="21"/>
                <w:lang w:bidi="ar"/>
              </w:rPr>
              <w:t>安徽新祥源房地产开发有限公司</w:t>
            </w:r>
          </w:p>
        </w:tc>
        <w:tc>
          <w:tcPr>
            <w:tcW w:w="1210" w:type="pct"/>
            <w:vAlign w:val="center"/>
          </w:tcPr>
          <w:p w:rsidR="000D3334" w:rsidRPr="00146C00" w:rsidRDefault="000D3334" w:rsidP="00F3634B">
            <w:pPr>
              <w:adjustRightInd w:val="0"/>
              <w:rPr>
                <w:szCs w:val="21"/>
              </w:rPr>
            </w:pPr>
            <w:proofErr w:type="gramStart"/>
            <w:r w:rsidRPr="00146C00">
              <w:rPr>
                <w:szCs w:val="21"/>
              </w:rPr>
              <w:t>祥</w:t>
            </w:r>
            <w:proofErr w:type="gramEnd"/>
            <w:r w:rsidRPr="00146C00">
              <w:rPr>
                <w:szCs w:val="21"/>
              </w:rPr>
              <w:t>源城二期西区别墅项目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6,115.61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left"/>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555.20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bl>
    <w:p w:rsidR="000D3334" w:rsidRPr="00FE0040" w:rsidRDefault="000D3334" w:rsidP="000D3334">
      <w:pPr>
        <w:ind w:firstLineChars="200" w:firstLine="420"/>
        <w:rPr>
          <w:szCs w:val="21"/>
        </w:rPr>
      </w:pPr>
      <w:r w:rsidRPr="00FE0040">
        <w:rPr>
          <w:szCs w:val="21"/>
        </w:rPr>
        <w:t>注：</w:t>
      </w:r>
      <w:r>
        <w:rPr>
          <w:rFonts w:hint="eastAsia"/>
          <w:szCs w:val="21"/>
        </w:rPr>
        <w:t>表中仅列示</w:t>
      </w:r>
      <w:r w:rsidRPr="00B16097">
        <w:rPr>
          <w:rFonts w:hint="eastAsia"/>
          <w:szCs w:val="21"/>
        </w:rPr>
        <w:t>前五名关联方客户</w:t>
      </w:r>
      <w:r>
        <w:rPr>
          <w:rFonts w:hint="eastAsia"/>
          <w:szCs w:val="21"/>
        </w:rPr>
        <w:t>的</w:t>
      </w:r>
      <w:r w:rsidRPr="00FE0040">
        <w:rPr>
          <w:szCs w:val="21"/>
        </w:rPr>
        <w:t>主要项目</w:t>
      </w:r>
      <w:r>
        <w:rPr>
          <w:rFonts w:hint="eastAsia"/>
          <w:szCs w:val="21"/>
        </w:rPr>
        <w:t>，</w:t>
      </w:r>
      <w:r w:rsidRPr="00FE0040">
        <w:rPr>
          <w:szCs w:val="21"/>
        </w:rPr>
        <w:t>其他项目予以合并列示</w:t>
      </w:r>
      <w:r>
        <w:rPr>
          <w:rFonts w:hint="eastAsia"/>
          <w:szCs w:val="21"/>
        </w:rPr>
        <w:t>；下同</w:t>
      </w:r>
      <w:r w:rsidRPr="00FE0040">
        <w:rPr>
          <w:szCs w:val="21"/>
        </w:rPr>
        <w:t>。</w:t>
      </w:r>
    </w:p>
    <w:p w:rsidR="000D3334" w:rsidRDefault="000D3334" w:rsidP="000D3334">
      <w:pPr>
        <w:spacing w:beforeLines="50" w:before="120" w:line="360" w:lineRule="auto"/>
        <w:ind w:firstLineChars="200" w:firstLine="480"/>
        <w:outlineLvl w:val="2"/>
        <w:rPr>
          <w:sz w:val="24"/>
        </w:rPr>
      </w:pPr>
      <w:r>
        <w:rPr>
          <w:rFonts w:hint="eastAsia"/>
          <w:sz w:val="24"/>
        </w:rPr>
        <w:t>2</w:t>
      </w:r>
      <w:r>
        <w:rPr>
          <w:rFonts w:hint="eastAsia"/>
          <w:sz w:val="24"/>
        </w:rPr>
        <w:t>、</w:t>
      </w:r>
      <w:r>
        <w:rPr>
          <w:rFonts w:hint="eastAsia"/>
          <w:sz w:val="24"/>
        </w:rPr>
        <w:t>2022</w:t>
      </w:r>
      <w:r>
        <w:rPr>
          <w:rFonts w:hint="eastAsia"/>
          <w:sz w:val="24"/>
        </w:rPr>
        <w:t>年度</w:t>
      </w:r>
    </w:p>
    <w:p w:rsidR="000D3334" w:rsidRPr="00A922AC" w:rsidRDefault="000D3334" w:rsidP="000D3334">
      <w:pPr>
        <w:spacing w:beforeLines="50" w:before="120"/>
        <w:ind w:firstLineChars="200" w:firstLine="420"/>
        <w:jc w:val="right"/>
        <w:rPr>
          <w:szCs w:val="21"/>
        </w:rPr>
      </w:pPr>
      <w:r w:rsidRPr="00A922AC">
        <w:rPr>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1316"/>
        <w:gridCol w:w="2179"/>
        <w:gridCol w:w="1239"/>
        <w:gridCol w:w="1241"/>
        <w:gridCol w:w="1230"/>
        <w:gridCol w:w="1230"/>
      </w:tblGrid>
      <w:tr w:rsidR="000D3334" w:rsidRPr="005E7B85" w:rsidTr="00F3634B">
        <w:trPr>
          <w:trHeight w:val="432"/>
          <w:tblHeader/>
        </w:trPr>
        <w:tc>
          <w:tcPr>
            <w:tcW w:w="316"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Pr>
                <w:rFonts w:eastAsiaTheme="minorEastAsia" w:hint="eastAsia"/>
                <w:b/>
                <w:bCs/>
                <w:szCs w:val="21"/>
              </w:rPr>
              <w:t>序号</w:t>
            </w:r>
          </w:p>
        </w:tc>
        <w:tc>
          <w:tcPr>
            <w:tcW w:w="731"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客户名称</w:t>
            </w:r>
          </w:p>
        </w:tc>
        <w:tc>
          <w:tcPr>
            <w:tcW w:w="1210"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项目名称</w:t>
            </w:r>
          </w:p>
        </w:tc>
        <w:tc>
          <w:tcPr>
            <w:tcW w:w="688"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业务类型</w:t>
            </w:r>
          </w:p>
        </w:tc>
        <w:tc>
          <w:tcPr>
            <w:tcW w:w="689"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销售金额</w:t>
            </w:r>
          </w:p>
        </w:tc>
        <w:tc>
          <w:tcPr>
            <w:tcW w:w="1366" w:type="pct"/>
            <w:gridSpan w:val="2"/>
            <w:shd w:val="clear" w:color="auto" w:fill="D9D9D9" w:themeFill="background1" w:themeFillShade="D9"/>
            <w:vAlign w:val="center"/>
          </w:tcPr>
          <w:p w:rsidR="000D3334" w:rsidRPr="005E7B85" w:rsidRDefault="000D3334" w:rsidP="00F3634B">
            <w:pPr>
              <w:widowControl/>
              <w:adjustRightInd w:val="0"/>
              <w:jc w:val="center"/>
              <w:textAlignment w:val="center"/>
              <w:rPr>
                <w:rFonts w:eastAsiaTheme="minorEastAsia"/>
                <w:b/>
                <w:bCs/>
                <w:szCs w:val="21"/>
              </w:rPr>
            </w:pPr>
            <w:r w:rsidRPr="005E7B85">
              <w:rPr>
                <w:rFonts w:eastAsiaTheme="minorEastAsia"/>
                <w:b/>
                <w:bCs/>
                <w:szCs w:val="21"/>
              </w:rPr>
              <w:t>项目进展</w:t>
            </w:r>
          </w:p>
        </w:tc>
      </w:tr>
      <w:tr w:rsidR="000D3334" w:rsidRPr="005E7B85" w:rsidTr="00F3634B">
        <w:trPr>
          <w:trHeight w:val="545"/>
          <w:tblHeader/>
        </w:trPr>
        <w:tc>
          <w:tcPr>
            <w:tcW w:w="316"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731"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1210"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8"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9"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w:t>
            </w:r>
            <w:r>
              <w:rPr>
                <w:rFonts w:eastAsiaTheme="minorEastAsia" w:hint="eastAsia"/>
                <w:b/>
                <w:bCs/>
                <w:szCs w:val="21"/>
              </w:rPr>
              <w:t>2</w:t>
            </w:r>
            <w:r w:rsidRPr="005E7B85">
              <w:rPr>
                <w:rFonts w:eastAsiaTheme="minorEastAsia"/>
                <w:b/>
                <w:bCs/>
                <w:szCs w:val="21"/>
              </w:rPr>
              <w:t>年末</w:t>
            </w: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2024</w:t>
            </w:r>
            <w:r w:rsidRPr="005E7B85">
              <w:rPr>
                <w:rFonts w:eastAsiaTheme="minorEastAsia"/>
                <w:b/>
                <w:bCs/>
                <w:szCs w:val="21"/>
              </w:rPr>
              <w:t>年末</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1</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合肥祥瀚房地产开发有限公司</w:t>
            </w:r>
            <w:r w:rsidRPr="005E7B85">
              <w:rPr>
                <w:rFonts w:eastAsiaTheme="minorEastAsia"/>
                <w:color w:val="000000"/>
                <w:szCs w:val="21"/>
                <w:lang w:bidi="ar"/>
              </w:rPr>
              <w:t xml:space="preserve"> </w:t>
            </w:r>
          </w:p>
        </w:tc>
        <w:tc>
          <w:tcPr>
            <w:tcW w:w="1210" w:type="pct"/>
            <w:vAlign w:val="center"/>
          </w:tcPr>
          <w:p w:rsidR="000D3334" w:rsidRPr="00146C00" w:rsidRDefault="000D3334" w:rsidP="00F3634B">
            <w:pPr>
              <w:adjustRightInd w:val="0"/>
              <w:rPr>
                <w:szCs w:val="21"/>
              </w:rPr>
            </w:pPr>
            <w:proofErr w:type="gramStart"/>
            <w:r w:rsidRPr="00146C00">
              <w:rPr>
                <w:szCs w:val="21"/>
              </w:rPr>
              <w:t>祥源花世界湖悦项目</w:t>
            </w:r>
            <w:proofErr w:type="gramEnd"/>
            <w:r w:rsidRPr="00146C00">
              <w:rPr>
                <w:szCs w:val="21"/>
              </w:rPr>
              <w:t>18#</w:t>
            </w:r>
            <w:r w:rsidRPr="00146C00">
              <w:rPr>
                <w:szCs w:val="21"/>
              </w:rPr>
              <w:t>地块建筑施工总承包工程</w:t>
            </w:r>
            <w:r w:rsidRPr="00146C00">
              <w:rPr>
                <w:szCs w:val="21"/>
              </w:rPr>
              <w:t xml:space="preserve"> </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10,657.91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3,447.40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Pr>
                <w:rFonts w:eastAsiaTheme="minorEastAsia" w:hint="eastAsia"/>
                <w:szCs w:val="21"/>
              </w:rPr>
              <w:t>/</w:t>
            </w:r>
            <w:r>
              <w:rPr>
                <w:rFonts w:eastAsiaTheme="minorEastAsia" w:hint="eastAsia"/>
                <w:szCs w:val="21"/>
              </w:rPr>
              <w:t>完工</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2</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宁波</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源旅游开发有限公司</w:t>
            </w:r>
            <w:r w:rsidRPr="005E7B85">
              <w:rPr>
                <w:rFonts w:eastAsiaTheme="minorEastAsia"/>
                <w:color w:val="000000"/>
                <w:szCs w:val="21"/>
                <w:lang w:bidi="ar"/>
              </w:rPr>
              <w:t xml:space="preserve"> </w:t>
            </w:r>
          </w:p>
        </w:tc>
        <w:tc>
          <w:tcPr>
            <w:tcW w:w="1210" w:type="pct"/>
            <w:vAlign w:val="center"/>
          </w:tcPr>
          <w:p w:rsidR="000D3334" w:rsidRPr="00146C00" w:rsidRDefault="000D3334" w:rsidP="00F3634B">
            <w:pPr>
              <w:adjustRightInd w:val="0"/>
              <w:rPr>
                <w:szCs w:val="21"/>
              </w:rPr>
            </w:pPr>
            <w:r w:rsidRPr="00146C00">
              <w:rPr>
                <w:szCs w:val="21"/>
              </w:rPr>
              <w:t>宁波杭州湾</w:t>
            </w:r>
            <w:proofErr w:type="gramStart"/>
            <w:r w:rsidRPr="00146C00">
              <w:rPr>
                <w:szCs w:val="21"/>
              </w:rPr>
              <w:t>新区文创宜</w:t>
            </w:r>
            <w:proofErr w:type="gramEnd"/>
            <w:r w:rsidRPr="00146C00">
              <w:rPr>
                <w:szCs w:val="21"/>
              </w:rPr>
              <w:t>居区块</w:t>
            </w:r>
            <w:r w:rsidRPr="00146C00">
              <w:rPr>
                <w:szCs w:val="21"/>
              </w:rPr>
              <w:t>5#-b</w:t>
            </w:r>
            <w:r w:rsidRPr="00146C00">
              <w:rPr>
                <w:szCs w:val="21"/>
              </w:rPr>
              <w:t>、</w:t>
            </w:r>
            <w:r w:rsidRPr="00146C00">
              <w:rPr>
                <w:szCs w:val="21"/>
              </w:rPr>
              <w:t>5#-f</w:t>
            </w:r>
            <w:r w:rsidRPr="00146C00">
              <w:rPr>
                <w:szCs w:val="21"/>
              </w:rPr>
              <w:t>地块项目总承包工程</w:t>
            </w:r>
            <w:r w:rsidRPr="00146C00">
              <w:rPr>
                <w:szCs w:val="21"/>
              </w:rPr>
              <w:t xml:space="preserve"> </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4,976.97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宁波杭州湾</w:t>
            </w:r>
            <w:proofErr w:type="gramStart"/>
            <w:r w:rsidRPr="00146C00">
              <w:rPr>
                <w:szCs w:val="21"/>
              </w:rPr>
              <w:t>新区文创宜</w:t>
            </w:r>
            <w:proofErr w:type="gramEnd"/>
            <w:r w:rsidRPr="00146C00">
              <w:rPr>
                <w:szCs w:val="21"/>
              </w:rPr>
              <w:t>居区块</w:t>
            </w:r>
            <w:r w:rsidRPr="00146C00">
              <w:rPr>
                <w:szCs w:val="21"/>
              </w:rPr>
              <w:t>6#-d</w:t>
            </w:r>
            <w:r w:rsidRPr="00146C00">
              <w:rPr>
                <w:szCs w:val="21"/>
              </w:rPr>
              <w:t>、</w:t>
            </w:r>
            <w:r w:rsidRPr="00146C00">
              <w:rPr>
                <w:szCs w:val="21"/>
              </w:rPr>
              <w:t>8#</w:t>
            </w:r>
            <w:r w:rsidRPr="00146C00">
              <w:rPr>
                <w:szCs w:val="21"/>
              </w:rPr>
              <w:t>地块总承包工程</w:t>
            </w:r>
            <w:r w:rsidRPr="00146C00">
              <w:rPr>
                <w:szCs w:val="21"/>
              </w:rPr>
              <w:t xml:space="preserve"> </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2,600.05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3,510.48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3</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阜南县城北</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源房地产开发有限公司</w:t>
            </w:r>
          </w:p>
        </w:tc>
        <w:tc>
          <w:tcPr>
            <w:tcW w:w="1210" w:type="pct"/>
            <w:vAlign w:val="center"/>
          </w:tcPr>
          <w:p w:rsidR="000D3334" w:rsidRPr="00146C00" w:rsidRDefault="000D3334" w:rsidP="00F3634B">
            <w:pPr>
              <w:adjustRightInd w:val="0"/>
              <w:rPr>
                <w:szCs w:val="21"/>
              </w:rPr>
            </w:pPr>
            <w:r w:rsidRPr="00146C00">
              <w:rPr>
                <w:szCs w:val="21"/>
              </w:rPr>
              <w:t>阜南</w:t>
            </w:r>
            <w:r w:rsidRPr="00146C00">
              <w:rPr>
                <w:szCs w:val="21"/>
              </w:rPr>
              <w:t>65#</w:t>
            </w:r>
            <w:r w:rsidRPr="00146C00">
              <w:rPr>
                <w:szCs w:val="21"/>
              </w:rPr>
              <w:t>地块陶源</w:t>
            </w:r>
            <w:proofErr w:type="gramStart"/>
            <w:r w:rsidRPr="00146C00">
              <w:rPr>
                <w:szCs w:val="21"/>
              </w:rPr>
              <w:t>里项目</w:t>
            </w:r>
            <w:proofErr w:type="gramEnd"/>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6,403.18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r w:rsidRPr="00146C00">
              <w:rPr>
                <w:szCs w:val="21"/>
              </w:rPr>
              <w:t>/</w:t>
            </w:r>
            <w:r w:rsidRPr="00146C00">
              <w:rPr>
                <w:szCs w:val="21"/>
              </w:rPr>
              <w:t>设计</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4,501.59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4</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安徽新祥源房地产开发有限公司</w:t>
            </w:r>
            <w:r w:rsidRPr="005E7B85">
              <w:rPr>
                <w:rFonts w:eastAsiaTheme="minorEastAsia"/>
                <w:color w:val="000000"/>
                <w:szCs w:val="21"/>
                <w:lang w:bidi="ar"/>
              </w:rPr>
              <w:t xml:space="preserve"> </w:t>
            </w:r>
          </w:p>
        </w:tc>
        <w:tc>
          <w:tcPr>
            <w:tcW w:w="1210" w:type="pct"/>
            <w:vAlign w:val="center"/>
          </w:tcPr>
          <w:p w:rsidR="000D3334" w:rsidRPr="00146C00" w:rsidRDefault="000D3334" w:rsidP="00F3634B">
            <w:pPr>
              <w:adjustRightInd w:val="0"/>
              <w:rPr>
                <w:szCs w:val="21"/>
              </w:rPr>
            </w:pPr>
            <w:proofErr w:type="gramStart"/>
            <w:r w:rsidRPr="00146C00">
              <w:rPr>
                <w:szCs w:val="21"/>
              </w:rPr>
              <w:t>祥</w:t>
            </w:r>
            <w:proofErr w:type="gramEnd"/>
            <w:r w:rsidRPr="00146C00">
              <w:rPr>
                <w:szCs w:val="21"/>
              </w:rPr>
              <w:t>源城二期西区别墅项目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8,210.44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330.50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lastRenderedPageBreak/>
              <w:t>5</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五河</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源投资开发有限公司</w:t>
            </w:r>
            <w:r w:rsidRPr="005E7B85">
              <w:rPr>
                <w:rFonts w:eastAsiaTheme="minorEastAsia"/>
                <w:color w:val="000000"/>
                <w:szCs w:val="21"/>
                <w:lang w:bidi="ar"/>
              </w:rPr>
              <w:t xml:space="preserve"> </w:t>
            </w:r>
          </w:p>
        </w:tc>
        <w:tc>
          <w:tcPr>
            <w:tcW w:w="1210" w:type="pct"/>
            <w:vAlign w:val="center"/>
          </w:tcPr>
          <w:p w:rsidR="000D3334" w:rsidRPr="00146C00" w:rsidRDefault="000D3334" w:rsidP="00F3634B">
            <w:pPr>
              <w:adjustRightInd w:val="0"/>
              <w:rPr>
                <w:szCs w:val="21"/>
              </w:rPr>
            </w:pPr>
            <w:r w:rsidRPr="00146C00">
              <w:rPr>
                <w:szCs w:val="21"/>
              </w:rPr>
              <w:t>五河</w:t>
            </w:r>
            <w:r w:rsidRPr="00146C00">
              <w:rPr>
                <w:szCs w:val="21"/>
              </w:rPr>
              <w:t>CH13-3</w:t>
            </w:r>
            <w:r w:rsidRPr="00146C00">
              <w:rPr>
                <w:szCs w:val="21"/>
              </w:rPr>
              <w:t>新都项目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3,660.00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2,716.87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bl>
    <w:p w:rsidR="000D3334" w:rsidRDefault="000D3334" w:rsidP="000D3334">
      <w:pPr>
        <w:spacing w:beforeLines="50" w:before="120" w:line="360" w:lineRule="auto"/>
        <w:ind w:firstLineChars="200" w:firstLine="480"/>
        <w:outlineLvl w:val="2"/>
        <w:rPr>
          <w:sz w:val="24"/>
        </w:rPr>
      </w:pPr>
      <w:r>
        <w:rPr>
          <w:rFonts w:hint="eastAsia"/>
          <w:sz w:val="24"/>
        </w:rPr>
        <w:t>3</w:t>
      </w:r>
      <w:r>
        <w:rPr>
          <w:rFonts w:hint="eastAsia"/>
          <w:sz w:val="24"/>
        </w:rPr>
        <w:t>、</w:t>
      </w:r>
      <w:r>
        <w:rPr>
          <w:rFonts w:hint="eastAsia"/>
          <w:sz w:val="24"/>
        </w:rPr>
        <w:t>2023</w:t>
      </w:r>
      <w:r>
        <w:rPr>
          <w:rFonts w:hint="eastAsia"/>
          <w:sz w:val="24"/>
        </w:rPr>
        <w:t>年度</w:t>
      </w:r>
    </w:p>
    <w:p w:rsidR="000D3334" w:rsidRPr="00A922AC" w:rsidRDefault="000D3334" w:rsidP="000D3334">
      <w:pPr>
        <w:spacing w:beforeLines="50" w:before="120"/>
        <w:ind w:firstLineChars="200" w:firstLine="420"/>
        <w:jc w:val="right"/>
        <w:rPr>
          <w:szCs w:val="21"/>
        </w:rPr>
      </w:pPr>
      <w:r w:rsidRPr="00A922AC">
        <w:rPr>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1316"/>
        <w:gridCol w:w="2179"/>
        <w:gridCol w:w="1239"/>
        <w:gridCol w:w="1241"/>
        <w:gridCol w:w="1230"/>
        <w:gridCol w:w="1230"/>
      </w:tblGrid>
      <w:tr w:rsidR="000D3334" w:rsidRPr="005E7B85" w:rsidTr="00F3634B">
        <w:trPr>
          <w:trHeight w:val="432"/>
          <w:tblHeader/>
        </w:trPr>
        <w:tc>
          <w:tcPr>
            <w:tcW w:w="316"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Pr>
                <w:rFonts w:eastAsiaTheme="minorEastAsia" w:hint="eastAsia"/>
                <w:b/>
                <w:bCs/>
                <w:szCs w:val="21"/>
              </w:rPr>
              <w:t>序号</w:t>
            </w:r>
          </w:p>
        </w:tc>
        <w:tc>
          <w:tcPr>
            <w:tcW w:w="731"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客户名称</w:t>
            </w:r>
          </w:p>
        </w:tc>
        <w:tc>
          <w:tcPr>
            <w:tcW w:w="1210"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项目名称</w:t>
            </w:r>
          </w:p>
        </w:tc>
        <w:tc>
          <w:tcPr>
            <w:tcW w:w="688"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业务类型</w:t>
            </w:r>
          </w:p>
        </w:tc>
        <w:tc>
          <w:tcPr>
            <w:tcW w:w="689" w:type="pct"/>
            <w:vMerge w:val="restar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销售金额</w:t>
            </w:r>
          </w:p>
        </w:tc>
        <w:tc>
          <w:tcPr>
            <w:tcW w:w="1366" w:type="pct"/>
            <w:gridSpan w:val="2"/>
            <w:shd w:val="clear" w:color="auto" w:fill="D9D9D9" w:themeFill="background1" w:themeFillShade="D9"/>
            <w:vAlign w:val="center"/>
          </w:tcPr>
          <w:p w:rsidR="000D3334" w:rsidRPr="005E7B85" w:rsidRDefault="000D3334" w:rsidP="00F3634B">
            <w:pPr>
              <w:widowControl/>
              <w:adjustRightInd w:val="0"/>
              <w:jc w:val="center"/>
              <w:textAlignment w:val="center"/>
              <w:rPr>
                <w:rFonts w:eastAsiaTheme="minorEastAsia"/>
                <w:b/>
                <w:bCs/>
                <w:szCs w:val="21"/>
              </w:rPr>
            </w:pPr>
            <w:r w:rsidRPr="005E7B85">
              <w:rPr>
                <w:rFonts w:eastAsiaTheme="minorEastAsia"/>
                <w:b/>
                <w:bCs/>
                <w:szCs w:val="21"/>
              </w:rPr>
              <w:t>项目进展</w:t>
            </w:r>
          </w:p>
        </w:tc>
      </w:tr>
      <w:tr w:rsidR="000D3334" w:rsidRPr="005E7B85" w:rsidTr="00F3634B">
        <w:trPr>
          <w:trHeight w:val="545"/>
          <w:tblHeader/>
        </w:trPr>
        <w:tc>
          <w:tcPr>
            <w:tcW w:w="316"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731"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1210"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8"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9" w:type="pct"/>
            <w:vMerge/>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w:t>
            </w:r>
            <w:r>
              <w:rPr>
                <w:rFonts w:eastAsiaTheme="minorEastAsia" w:hint="eastAsia"/>
                <w:b/>
                <w:bCs/>
                <w:szCs w:val="21"/>
              </w:rPr>
              <w:t>3</w:t>
            </w:r>
            <w:r w:rsidRPr="005E7B85">
              <w:rPr>
                <w:rFonts w:eastAsiaTheme="minorEastAsia"/>
                <w:b/>
                <w:bCs/>
                <w:szCs w:val="21"/>
              </w:rPr>
              <w:t>年末</w:t>
            </w:r>
          </w:p>
        </w:tc>
        <w:tc>
          <w:tcPr>
            <w:tcW w:w="683" w:type="pct"/>
            <w:shd w:val="clear" w:color="auto" w:fill="D9D9D9" w:themeFill="background1" w:themeFillShade="D9"/>
            <w:vAlign w:val="center"/>
          </w:tcPr>
          <w:p w:rsidR="000D3334" w:rsidRPr="005E7B85" w:rsidRDefault="000D3334" w:rsidP="00F3634B">
            <w:pPr>
              <w:adjustRightInd w:val="0"/>
              <w:jc w:val="center"/>
              <w:rPr>
                <w:rFonts w:eastAsiaTheme="minorEastAsia"/>
                <w:b/>
                <w:bCs/>
                <w:szCs w:val="21"/>
              </w:rPr>
            </w:pPr>
            <w:r w:rsidRPr="005E7B85">
              <w:rPr>
                <w:rFonts w:eastAsiaTheme="minorEastAsia"/>
                <w:b/>
                <w:bCs/>
                <w:szCs w:val="21"/>
              </w:rPr>
              <w:t>截至</w:t>
            </w:r>
            <w:r w:rsidRPr="005E7B85">
              <w:rPr>
                <w:rFonts w:eastAsiaTheme="minorEastAsia"/>
                <w:b/>
                <w:bCs/>
                <w:szCs w:val="21"/>
              </w:rPr>
              <w:t>2024</w:t>
            </w:r>
            <w:r w:rsidRPr="005E7B85">
              <w:rPr>
                <w:rFonts w:eastAsiaTheme="minorEastAsia"/>
                <w:b/>
                <w:bCs/>
                <w:szCs w:val="21"/>
              </w:rPr>
              <w:t>年末</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1</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宁波</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源旅游开发有限公司</w:t>
            </w:r>
          </w:p>
        </w:tc>
        <w:tc>
          <w:tcPr>
            <w:tcW w:w="1210" w:type="pct"/>
            <w:vAlign w:val="center"/>
          </w:tcPr>
          <w:p w:rsidR="000D3334" w:rsidRPr="00146C00" w:rsidRDefault="000D3334" w:rsidP="00F3634B">
            <w:pPr>
              <w:adjustRightInd w:val="0"/>
              <w:rPr>
                <w:szCs w:val="21"/>
              </w:rPr>
            </w:pPr>
            <w:r w:rsidRPr="00146C00">
              <w:rPr>
                <w:szCs w:val="21"/>
              </w:rPr>
              <w:t>宁波杭州湾</w:t>
            </w:r>
            <w:proofErr w:type="gramStart"/>
            <w:r w:rsidRPr="00146C00">
              <w:rPr>
                <w:szCs w:val="21"/>
              </w:rPr>
              <w:t>新区文创宜</w:t>
            </w:r>
            <w:proofErr w:type="gramEnd"/>
            <w:r w:rsidRPr="00146C00">
              <w:rPr>
                <w:szCs w:val="21"/>
              </w:rPr>
              <w:t>居区块</w:t>
            </w:r>
            <w:r w:rsidRPr="00146C00">
              <w:rPr>
                <w:szCs w:val="21"/>
              </w:rPr>
              <w:t>6#-d</w:t>
            </w:r>
            <w:r w:rsidRPr="00146C00">
              <w:rPr>
                <w:szCs w:val="21"/>
              </w:rPr>
              <w:t>、</w:t>
            </w:r>
            <w:r w:rsidRPr="00146C00">
              <w:rPr>
                <w:szCs w:val="21"/>
              </w:rPr>
              <w:t>8#</w:t>
            </w:r>
            <w:r w:rsidRPr="00146C00">
              <w:rPr>
                <w:szCs w:val="21"/>
              </w:rPr>
              <w:t>地块总承包工程</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12,308.35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6,260.57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2</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合肥祥瀚房地产开发有限公司</w:t>
            </w:r>
          </w:p>
        </w:tc>
        <w:tc>
          <w:tcPr>
            <w:tcW w:w="1210" w:type="pct"/>
            <w:vAlign w:val="center"/>
          </w:tcPr>
          <w:p w:rsidR="000D3334" w:rsidRPr="00146C00" w:rsidRDefault="000D3334" w:rsidP="00F3634B">
            <w:pPr>
              <w:adjustRightInd w:val="0"/>
              <w:rPr>
                <w:szCs w:val="21"/>
              </w:rPr>
            </w:pPr>
            <w:proofErr w:type="gramStart"/>
            <w:r w:rsidRPr="00146C00">
              <w:rPr>
                <w:szCs w:val="21"/>
              </w:rPr>
              <w:t>祥源花世界湖悦项目</w:t>
            </w:r>
            <w:proofErr w:type="gramEnd"/>
            <w:r w:rsidRPr="00146C00">
              <w:rPr>
                <w:szCs w:val="21"/>
              </w:rPr>
              <w:t>18#</w:t>
            </w:r>
            <w:r w:rsidRPr="00146C00">
              <w:rPr>
                <w:szCs w:val="21"/>
              </w:rPr>
              <w:t>地块建筑施工总承包工程</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4,145.15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proofErr w:type="gramStart"/>
            <w:r w:rsidRPr="00146C00">
              <w:rPr>
                <w:szCs w:val="21"/>
              </w:rPr>
              <w:t>祥源花世界湖悦</w:t>
            </w:r>
            <w:proofErr w:type="gramEnd"/>
            <w:r w:rsidRPr="00146C00">
              <w:rPr>
                <w:szCs w:val="21"/>
              </w:rPr>
              <w:t>S3</w:t>
            </w:r>
            <w:r w:rsidRPr="00146C00">
              <w:rPr>
                <w:szCs w:val="21"/>
              </w:rPr>
              <w:t>、</w:t>
            </w:r>
            <w:r w:rsidRPr="00146C00">
              <w:rPr>
                <w:szCs w:val="21"/>
              </w:rPr>
              <w:t>S4</w:t>
            </w:r>
            <w:r w:rsidRPr="00146C00">
              <w:rPr>
                <w:szCs w:val="21"/>
              </w:rPr>
              <w:t>商业小镇建筑施工总承包工程</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2,404.73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r w:rsidRPr="00146C00">
              <w:rPr>
                <w:szCs w:val="21"/>
              </w:rPr>
              <w:t>/</w:t>
            </w:r>
            <w:r w:rsidRPr="00146C00">
              <w:rPr>
                <w:szCs w:val="21"/>
              </w:rPr>
              <w:t>设计</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2,674.85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3</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阜南县城北</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源房地产开发有限公司</w:t>
            </w:r>
          </w:p>
        </w:tc>
        <w:tc>
          <w:tcPr>
            <w:tcW w:w="1210" w:type="pct"/>
            <w:vAlign w:val="center"/>
          </w:tcPr>
          <w:p w:rsidR="000D3334" w:rsidRPr="00146C00" w:rsidRDefault="000D3334" w:rsidP="00F3634B">
            <w:pPr>
              <w:adjustRightInd w:val="0"/>
              <w:rPr>
                <w:szCs w:val="21"/>
              </w:rPr>
            </w:pPr>
            <w:r w:rsidRPr="00146C00">
              <w:rPr>
                <w:szCs w:val="21"/>
              </w:rPr>
              <w:t>阜南</w:t>
            </w:r>
            <w:r w:rsidRPr="00146C00">
              <w:rPr>
                <w:szCs w:val="21"/>
              </w:rPr>
              <w:t>65#</w:t>
            </w:r>
            <w:r w:rsidRPr="00146C00">
              <w:rPr>
                <w:szCs w:val="21"/>
              </w:rPr>
              <w:t>地块陶源</w:t>
            </w:r>
            <w:proofErr w:type="gramStart"/>
            <w:r w:rsidRPr="00146C00">
              <w:rPr>
                <w:szCs w:val="21"/>
              </w:rPr>
              <w:t>里项目</w:t>
            </w:r>
            <w:proofErr w:type="gramEnd"/>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2,858.30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阜南</w:t>
            </w:r>
            <w:r w:rsidRPr="00146C00">
              <w:rPr>
                <w:szCs w:val="21"/>
              </w:rPr>
              <w:t>65#-2</w:t>
            </w:r>
            <w:r w:rsidRPr="00146C00">
              <w:rPr>
                <w:szCs w:val="21"/>
              </w:rPr>
              <w:t>地块陶源</w:t>
            </w:r>
            <w:proofErr w:type="gramStart"/>
            <w:r w:rsidRPr="00146C00">
              <w:rPr>
                <w:szCs w:val="21"/>
              </w:rPr>
              <w:t>里项目</w:t>
            </w:r>
            <w:proofErr w:type="gramEnd"/>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2,107.24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1,620.38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4</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五河</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源投资开发有限公司</w:t>
            </w:r>
          </w:p>
        </w:tc>
        <w:tc>
          <w:tcPr>
            <w:tcW w:w="1210" w:type="pct"/>
            <w:vAlign w:val="center"/>
          </w:tcPr>
          <w:p w:rsidR="000D3334" w:rsidRPr="00146C00" w:rsidRDefault="000D3334" w:rsidP="00F3634B">
            <w:pPr>
              <w:adjustRightInd w:val="0"/>
              <w:rPr>
                <w:szCs w:val="21"/>
              </w:rPr>
            </w:pPr>
            <w:r w:rsidRPr="00146C00">
              <w:rPr>
                <w:szCs w:val="21"/>
              </w:rPr>
              <w:t>五河</w:t>
            </w:r>
            <w:r w:rsidRPr="00146C00">
              <w:rPr>
                <w:szCs w:val="21"/>
              </w:rPr>
              <w:t>CH13-3</w:t>
            </w:r>
            <w:r w:rsidRPr="00146C00">
              <w:rPr>
                <w:szCs w:val="21"/>
              </w:rPr>
              <w:t>新都项目</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3,107.64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p>
        </w:tc>
      </w:tr>
      <w:tr w:rsidR="000D3334" w:rsidRPr="005E7B85" w:rsidTr="00F3634B">
        <w:trPr>
          <w:trHeight w:val="397"/>
        </w:trPr>
        <w:tc>
          <w:tcPr>
            <w:tcW w:w="316" w:type="pct"/>
            <w:vMerge/>
            <w:vAlign w:val="center"/>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236.65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在建</w:t>
            </w:r>
            <w:r w:rsidRPr="005E7B85">
              <w:rPr>
                <w:rFonts w:eastAsiaTheme="minorEastAsia"/>
                <w:szCs w:val="21"/>
              </w:rPr>
              <w:t>/</w:t>
            </w: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r>
      <w:tr w:rsidR="000D3334" w:rsidRPr="005E7B85" w:rsidTr="00F3634B">
        <w:trPr>
          <w:trHeight w:val="397"/>
        </w:trPr>
        <w:tc>
          <w:tcPr>
            <w:tcW w:w="316" w:type="pct"/>
            <w:vMerge w:val="restart"/>
            <w:vAlign w:val="center"/>
          </w:tcPr>
          <w:p w:rsidR="000D3334" w:rsidRPr="005E7B85" w:rsidRDefault="000D3334" w:rsidP="00F3634B">
            <w:pPr>
              <w:widowControl/>
              <w:jc w:val="center"/>
              <w:textAlignment w:val="center"/>
              <w:rPr>
                <w:rFonts w:eastAsiaTheme="minorEastAsia"/>
                <w:color w:val="000000"/>
                <w:szCs w:val="21"/>
                <w:lang w:bidi="ar"/>
              </w:rPr>
            </w:pPr>
            <w:r>
              <w:rPr>
                <w:rFonts w:eastAsiaTheme="minorEastAsia" w:hint="eastAsia"/>
                <w:color w:val="000000"/>
                <w:szCs w:val="21"/>
                <w:lang w:bidi="ar"/>
              </w:rPr>
              <w:t>5</w:t>
            </w:r>
          </w:p>
        </w:tc>
        <w:tc>
          <w:tcPr>
            <w:tcW w:w="731" w:type="pct"/>
            <w:vMerge w:val="restart"/>
            <w:vAlign w:val="center"/>
          </w:tcPr>
          <w:p w:rsidR="000D3334" w:rsidRPr="005E7B85" w:rsidRDefault="000D3334" w:rsidP="00F3634B">
            <w:pPr>
              <w:widowControl/>
              <w:textAlignment w:val="center"/>
              <w:rPr>
                <w:rFonts w:eastAsiaTheme="minorEastAsia"/>
                <w:color w:val="000000"/>
                <w:szCs w:val="21"/>
                <w:lang w:bidi="ar"/>
              </w:rPr>
            </w:pPr>
            <w:r w:rsidRPr="005E7B85">
              <w:rPr>
                <w:rFonts w:eastAsiaTheme="minorEastAsia"/>
                <w:color w:val="000000"/>
                <w:szCs w:val="21"/>
                <w:lang w:bidi="ar"/>
              </w:rPr>
              <w:t>阜南县</w:t>
            </w:r>
            <w:proofErr w:type="gramStart"/>
            <w:r w:rsidRPr="005E7B85">
              <w:rPr>
                <w:rFonts w:eastAsiaTheme="minorEastAsia"/>
                <w:color w:val="000000"/>
                <w:szCs w:val="21"/>
                <w:lang w:bidi="ar"/>
              </w:rPr>
              <w:t>祥</w:t>
            </w:r>
            <w:proofErr w:type="gramEnd"/>
            <w:r w:rsidRPr="005E7B85">
              <w:rPr>
                <w:rFonts w:eastAsiaTheme="minorEastAsia"/>
                <w:color w:val="000000"/>
                <w:szCs w:val="21"/>
                <w:lang w:bidi="ar"/>
              </w:rPr>
              <w:t>源生态文化旅游开发有限公司</w:t>
            </w:r>
          </w:p>
        </w:tc>
        <w:tc>
          <w:tcPr>
            <w:tcW w:w="1210" w:type="pct"/>
            <w:vAlign w:val="center"/>
          </w:tcPr>
          <w:p w:rsidR="000D3334" w:rsidRPr="00146C00" w:rsidRDefault="000D3334" w:rsidP="00F3634B">
            <w:pPr>
              <w:adjustRightInd w:val="0"/>
              <w:rPr>
                <w:szCs w:val="21"/>
              </w:rPr>
            </w:pPr>
            <w:r w:rsidRPr="00146C00">
              <w:rPr>
                <w:szCs w:val="21"/>
              </w:rPr>
              <w:t>阜南</w:t>
            </w:r>
            <w:r w:rsidRPr="00146C00">
              <w:rPr>
                <w:szCs w:val="21"/>
              </w:rPr>
              <w:t>47#</w:t>
            </w:r>
            <w:r w:rsidRPr="00146C00">
              <w:rPr>
                <w:szCs w:val="21"/>
              </w:rPr>
              <w:t>地块商业、幼儿园地块</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859.68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r>
      <w:tr w:rsidR="000D3334" w:rsidRPr="005E7B85" w:rsidTr="00F3634B">
        <w:trPr>
          <w:trHeight w:val="397"/>
        </w:trPr>
        <w:tc>
          <w:tcPr>
            <w:tcW w:w="316" w:type="pct"/>
            <w:vMerge/>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阜南公园城项目部</w:t>
            </w:r>
          </w:p>
        </w:tc>
        <w:tc>
          <w:tcPr>
            <w:tcW w:w="688" w:type="pct"/>
            <w:vAlign w:val="center"/>
          </w:tcPr>
          <w:p w:rsidR="000D3334" w:rsidRPr="00146C00" w:rsidRDefault="000D3334" w:rsidP="00F3634B">
            <w:pPr>
              <w:adjustRightInd w:val="0"/>
              <w:jc w:val="center"/>
              <w:rPr>
                <w:szCs w:val="21"/>
              </w:rPr>
            </w:pPr>
            <w:r w:rsidRPr="00146C00">
              <w:rPr>
                <w:szCs w:val="21"/>
              </w:rPr>
              <w:t>土建</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692.06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r>
      <w:tr w:rsidR="000D3334" w:rsidRPr="005E7B85" w:rsidTr="00F3634B">
        <w:trPr>
          <w:trHeight w:val="397"/>
        </w:trPr>
        <w:tc>
          <w:tcPr>
            <w:tcW w:w="316" w:type="pct"/>
            <w:vMerge/>
          </w:tcPr>
          <w:p w:rsidR="000D3334" w:rsidRPr="005E7B85" w:rsidRDefault="000D3334" w:rsidP="00F3634B">
            <w:pPr>
              <w:jc w:val="center"/>
              <w:rPr>
                <w:rFonts w:eastAsiaTheme="minorEastAsia"/>
                <w:color w:val="000000"/>
                <w:szCs w:val="21"/>
                <w:lang w:bidi="ar"/>
              </w:rPr>
            </w:pPr>
          </w:p>
        </w:tc>
        <w:tc>
          <w:tcPr>
            <w:tcW w:w="731" w:type="pct"/>
            <w:vMerge/>
            <w:vAlign w:val="center"/>
          </w:tcPr>
          <w:p w:rsidR="000D3334" w:rsidRPr="005E7B85" w:rsidRDefault="000D3334" w:rsidP="00F3634B">
            <w:pPr>
              <w:jc w:val="center"/>
              <w:rPr>
                <w:rFonts w:eastAsiaTheme="minorEastAsia"/>
                <w:color w:val="000000"/>
                <w:szCs w:val="21"/>
                <w:lang w:bidi="ar"/>
              </w:rPr>
            </w:pPr>
          </w:p>
        </w:tc>
        <w:tc>
          <w:tcPr>
            <w:tcW w:w="1210" w:type="pct"/>
            <w:vAlign w:val="center"/>
          </w:tcPr>
          <w:p w:rsidR="000D3334" w:rsidRPr="00146C00" w:rsidRDefault="000D3334" w:rsidP="00F3634B">
            <w:pPr>
              <w:adjustRightInd w:val="0"/>
              <w:rPr>
                <w:szCs w:val="21"/>
              </w:rPr>
            </w:pPr>
            <w:r w:rsidRPr="00146C00">
              <w:rPr>
                <w:szCs w:val="21"/>
              </w:rPr>
              <w:t>其他项目</w:t>
            </w:r>
          </w:p>
        </w:tc>
        <w:tc>
          <w:tcPr>
            <w:tcW w:w="688" w:type="pct"/>
            <w:vAlign w:val="center"/>
          </w:tcPr>
          <w:p w:rsidR="000D3334" w:rsidRPr="00146C00" w:rsidRDefault="000D3334" w:rsidP="00F3634B">
            <w:pPr>
              <w:adjustRightInd w:val="0"/>
              <w:jc w:val="center"/>
              <w:rPr>
                <w:szCs w:val="21"/>
              </w:rPr>
            </w:pPr>
            <w:r w:rsidRPr="00146C00">
              <w:rPr>
                <w:szCs w:val="21"/>
              </w:rPr>
              <w:t>土建</w:t>
            </w:r>
            <w:r w:rsidRPr="00146C00">
              <w:rPr>
                <w:szCs w:val="21"/>
              </w:rPr>
              <w:t>/</w:t>
            </w:r>
            <w:r w:rsidRPr="00146C00">
              <w:rPr>
                <w:szCs w:val="21"/>
              </w:rPr>
              <w:t>装饰</w:t>
            </w:r>
          </w:p>
        </w:tc>
        <w:tc>
          <w:tcPr>
            <w:tcW w:w="689" w:type="pct"/>
            <w:vAlign w:val="center"/>
          </w:tcPr>
          <w:p w:rsidR="000D3334" w:rsidRPr="005E7B85" w:rsidRDefault="000D3334" w:rsidP="00F3634B">
            <w:pPr>
              <w:adjustRightInd w:val="0"/>
              <w:jc w:val="right"/>
              <w:rPr>
                <w:rFonts w:eastAsiaTheme="minorEastAsia"/>
                <w:szCs w:val="21"/>
              </w:rPr>
            </w:pPr>
            <w:r w:rsidRPr="005E7B85">
              <w:rPr>
                <w:rFonts w:eastAsiaTheme="minorEastAsia"/>
                <w:szCs w:val="21"/>
              </w:rPr>
              <w:t xml:space="preserve"> 370.89 </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完工</w:t>
            </w:r>
            <w:r w:rsidRPr="005E7B85">
              <w:rPr>
                <w:rFonts w:eastAsiaTheme="minorEastAsia"/>
                <w:szCs w:val="21"/>
              </w:rPr>
              <w:t>/</w:t>
            </w:r>
            <w:r w:rsidRPr="005E7B85">
              <w:rPr>
                <w:rFonts w:eastAsiaTheme="minorEastAsia"/>
                <w:szCs w:val="21"/>
              </w:rPr>
              <w:t>决算</w:t>
            </w:r>
          </w:p>
        </w:tc>
        <w:tc>
          <w:tcPr>
            <w:tcW w:w="683" w:type="pct"/>
            <w:vAlign w:val="center"/>
          </w:tcPr>
          <w:p w:rsidR="000D3334" w:rsidRPr="005E7B85" w:rsidRDefault="000D3334" w:rsidP="00F3634B">
            <w:pPr>
              <w:adjustRightInd w:val="0"/>
              <w:jc w:val="center"/>
              <w:rPr>
                <w:rFonts w:eastAsiaTheme="minorEastAsia"/>
                <w:szCs w:val="21"/>
              </w:rPr>
            </w:pPr>
            <w:r w:rsidRPr="005E7B85">
              <w:rPr>
                <w:rFonts w:eastAsiaTheme="minorEastAsia"/>
                <w:szCs w:val="21"/>
              </w:rPr>
              <w:t>决算</w:t>
            </w:r>
          </w:p>
        </w:tc>
      </w:tr>
    </w:tbl>
    <w:p w:rsidR="000D3334" w:rsidRDefault="000D3334" w:rsidP="000D3334">
      <w:pPr>
        <w:spacing w:beforeLines="50" w:before="120" w:line="360" w:lineRule="auto"/>
        <w:ind w:firstLineChars="200" w:firstLine="480"/>
        <w:rPr>
          <w:sz w:val="24"/>
        </w:rPr>
      </w:pPr>
      <w:r>
        <w:rPr>
          <w:sz w:val="24"/>
        </w:rPr>
        <w:t>如上表所示，</w:t>
      </w:r>
      <w:r>
        <w:rPr>
          <w:sz w:val="24"/>
        </w:rPr>
        <w:t>2021-2023</w:t>
      </w:r>
      <w:r>
        <w:rPr>
          <w:sz w:val="24"/>
        </w:rPr>
        <w:t>年度业绩承诺期间收购标的每年前五名关联方的项目进展均处于正常状态。</w:t>
      </w:r>
      <w:bookmarkStart w:id="5" w:name="_Toc168611953"/>
    </w:p>
    <w:p w:rsidR="000D3334" w:rsidRDefault="000D3334" w:rsidP="000D3334">
      <w:pPr>
        <w:spacing w:beforeLines="50" w:before="120" w:line="360" w:lineRule="auto"/>
        <w:ind w:firstLineChars="200" w:firstLine="482"/>
        <w:outlineLvl w:val="0"/>
        <w:rPr>
          <w:b/>
          <w:bCs/>
          <w:sz w:val="24"/>
        </w:rPr>
      </w:pPr>
      <w:r>
        <w:rPr>
          <w:b/>
          <w:bCs/>
          <w:sz w:val="24"/>
        </w:rPr>
        <w:t>二、</w:t>
      </w:r>
      <w:bookmarkStart w:id="6" w:name="_Toc168611954"/>
      <w:bookmarkEnd w:id="5"/>
      <w:r w:rsidRPr="004D440A">
        <w:rPr>
          <w:rFonts w:hint="eastAsia"/>
          <w:b/>
          <w:bCs/>
          <w:sz w:val="24"/>
        </w:rPr>
        <w:t>说明</w:t>
      </w:r>
      <w:proofErr w:type="gramStart"/>
      <w:r w:rsidRPr="004D440A">
        <w:rPr>
          <w:rFonts w:hint="eastAsia"/>
          <w:b/>
          <w:bCs/>
          <w:sz w:val="24"/>
        </w:rPr>
        <w:t>祥源建设</w:t>
      </w:r>
      <w:proofErr w:type="gramEnd"/>
      <w:r w:rsidRPr="004D440A">
        <w:rPr>
          <w:rFonts w:hint="eastAsia"/>
          <w:b/>
          <w:bCs/>
          <w:sz w:val="24"/>
        </w:rPr>
        <w:t>业绩承诺期内关联业务收入形成的应收账款前十名情况，包括关联应收账款欠款方名称、形成时间、金额、形成后至</w:t>
      </w:r>
      <w:r w:rsidRPr="004D440A">
        <w:rPr>
          <w:rFonts w:hint="eastAsia"/>
          <w:b/>
          <w:bCs/>
          <w:sz w:val="24"/>
        </w:rPr>
        <w:t>2024</w:t>
      </w:r>
      <w:r w:rsidRPr="004D440A">
        <w:rPr>
          <w:rFonts w:hint="eastAsia"/>
          <w:b/>
          <w:bCs/>
          <w:sz w:val="24"/>
        </w:rPr>
        <w:t>年每年年末余额与坏</w:t>
      </w:r>
      <w:r w:rsidRPr="004D440A">
        <w:rPr>
          <w:rFonts w:hint="eastAsia"/>
          <w:b/>
          <w:bCs/>
          <w:sz w:val="24"/>
        </w:rPr>
        <w:lastRenderedPageBreak/>
        <w:t>账计提金额，说明是否存在承诺期内坏账计提不充分、承诺期满大额计提坏账的情况</w:t>
      </w:r>
    </w:p>
    <w:p w:rsidR="000D3334" w:rsidRPr="008E123F" w:rsidRDefault="000D3334" w:rsidP="000D3334">
      <w:pPr>
        <w:spacing w:beforeLines="50" w:before="120" w:line="360" w:lineRule="auto"/>
        <w:ind w:firstLineChars="200" w:firstLine="482"/>
        <w:outlineLvl w:val="1"/>
        <w:rPr>
          <w:b/>
          <w:bCs/>
          <w:sz w:val="24"/>
        </w:rPr>
      </w:pPr>
      <w:r>
        <w:rPr>
          <w:b/>
          <w:bCs/>
          <w:sz w:val="24"/>
        </w:rPr>
        <w:t>（一）</w:t>
      </w:r>
      <w:bookmarkStart w:id="7" w:name="_Toc168611955"/>
      <w:bookmarkEnd w:id="6"/>
      <w:proofErr w:type="gramStart"/>
      <w:r w:rsidRPr="00E72FB3">
        <w:rPr>
          <w:rFonts w:hint="eastAsia"/>
          <w:b/>
          <w:bCs/>
          <w:sz w:val="24"/>
        </w:rPr>
        <w:t>祥源建设</w:t>
      </w:r>
      <w:proofErr w:type="gramEnd"/>
      <w:r>
        <w:rPr>
          <w:b/>
          <w:bCs/>
          <w:sz w:val="24"/>
        </w:rPr>
        <w:t>业绩承诺期内关联业务收入形成的应收账款前十名情况</w:t>
      </w:r>
    </w:p>
    <w:p w:rsidR="000D3334" w:rsidRPr="00A87C50" w:rsidRDefault="000D3334" w:rsidP="000D3334">
      <w:pPr>
        <w:spacing w:beforeLines="50" w:before="120" w:line="360" w:lineRule="auto"/>
        <w:ind w:firstLineChars="200" w:firstLine="480"/>
        <w:rPr>
          <w:sz w:val="24"/>
        </w:rPr>
        <w:sectPr w:rsidR="000D3334" w:rsidRPr="00A87C50" w:rsidSect="00F3634B">
          <w:headerReference w:type="default" r:id="rId8"/>
          <w:footerReference w:type="default" r:id="rId9"/>
          <w:pgSz w:w="11906" w:h="16838"/>
          <w:pgMar w:top="1814" w:right="1418" w:bottom="1418" w:left="1701" w:header="851" w:footer="992" w:gutter="0"/>
          <w:pgNumType w:start="1"/>
          <w:cols w:space="425"/>
          <w:docGrid w:linePitch="312"/>
        </w:sectPr>
      </w:pPr>
      <w:r w:rsidRPr="00155811">
        <w:rPr>
          <w:rFonts w:hint="eastAsia"/>
          <w:sz w:val="24"/>
        </w:rPr>
        <w:t>2021-2023</w:t>
      </w:r>
      <w:r w:rsidRPr="00155811">
        <w:rPr>
          <w:rFonts w:hint="eastAsia"/>
          <w:sz w:val="24"/>
        </w:rPr>
        <w:t>年度业绩承诺期间，</w:t>
      </w:r>
      <w:proofErr w:type="gramStart"/>
      <w:r>
        <w:rPr>
          <w:rFonts w:hint="eastAsia"/>
          <w:sz w:val="24"/>
        </w:rPr>
        <w:t>祥</w:t>
      </w:r>
      <w:proofErr w:type="gramEnd"/>
      <w:r>
        <w:rPr>
          <w:rFonts w:hint="eastAsia"/>
          <w:sz w:val="24"/>
        </w:rPr>
        <w:t>源建设（</w:t>
      </w:r>
      <w:r w:rsidRPr="00693C92">
        <w:rPr>
          <w:rFonts w:hint="eastAsia"/>
          <w:sz w:val="24"/>
        </w:rPr>
        <w:t>2024</w:t>
      </w:r>
      <w:r w:rsidRPr="00693C92">
        <w:rPr>
          <w:rFonts w:hint="eastAsia"/>
          <w:sz w:val="24"/>
        </w:rPr>
        <w:t>年</w:t>
      </w:r>
      <w:proofErr w:type="gramStart"/>
      <w:r w:rsidRPr="00693C92">
        <w:rPr>
          <w:rFonts w:hint="eastAsia"/>
          <w:sz w:val="24"/>
        </w:rPr>
        <w:t>祥源建设</w:t>
      </w:r>
      <w:proofErr w:type="gramEnd"/>
      <w:r>
        <w:rPr>
          <w:rFonts w:hint="eastAsia"/>
          <w:sz w:val="24"/>
        </w:rPr>
        <w:t>更名</w:t>
      </w:r>
      <w:r w:rsidRPr="00693C92">
        <w:rPr>
          <w:rFonts w:hint="eastAsia"/>
          <w:sz w:val="24"/>
        </w:rPr>
        <w:t>为</w:t>
      </w:r>
      <w:proofErr w:type="gramStart"/>
      <w:r w:rsidRPr="00693C92">
        <w:rPr>
          <w:rFonts w:hint="eastAsia"/>
          <w:sz w:val="24"/>
        </w:rPr>
        <w:t>安徽交建建筑工程</w:t>
      </w:r>
      <w:proofErr w:type="gramEnd"/>
      <w:r w:rsidRPr="00693C92">
        <w:rPr>
          <w:rFonts w:hint="eastAsia"/>
          <w:sz w:val="24"/>
        </w:rPr>
        <w:t>有限责任公司</w:t>
      </w:r>
      <w:r>
        <w:rPr>
          <w:rFonts w:hint="eastAsia"/>
          <w:sz w:val="24"/>
        </w:rPr>
        <w:t>，本回复中“</w:t>
      </w:r>
      <w:r w:rsidRPr="00107437">
        <w:rPr>
          <w:rFonts w:hint="eastAsia"/>
          <w:sz w:val="24"/>
        </w:rPr>
        <w:t>祥源建设</w:t>
      </w:r>
      <w:r>
        <w:rPr>
          <w:rFonts w:hint="eastAsia"/>
          <w:sz w:val="24"/>
        </w:rPr>
        <w:t>”、“</w:t>
      </w:r>
      <w:r w:rsidRPr="00107437">
        <w:rPr>
          <w:rFonts w:hint="eastAsia"/>
          <w:sz w:val="24"/>
        </w:rPr>
        <w:t>交建工程</w:t>
      </w:r>
      <w:r>
        <w:rPr>
          <w:rFonts w:hint="eastAsia"/>
          <w:sz w:val="24"/>
        </w:rPr>
        <w:t>”及“</w:t>
      </w:r>
      <w:r w:rsidRPr="00107437">
        <w:rPr>
          <w:rFonts w:hint="eastAsia"/>
          <w:sz w:val="24"/>
        </w:rPr>
        <w:t>交建</w:t>
      </w:r>
      <w:r>
        <w:rPr>
          <w:rFonts w:hint="eastAsia"/>
          <w:sz w:val="24"/>
        </w:rPr>
        <w:t>建筑”均为同一家公司）</w:t>
      </w:r>
      <w:r w:rsidRPr="00170BFD">
        <w:rPr>
          <w:rFonts w:hint="eastAsia"/>
          <w:sz w:val="24"/>
        </w:rPr>
        <w:t>关联业务收入形成的应收账款前十名</w:t>
      </w:r>
      <w:r>
        <w:rPr>
          <w:rFonts w:hint="eastAsia"/>
          <w:sz w:val="24"/>
        </w:rPr>
        <w:t>，包括</w:t>
      </w:r>
      <w:r w:rsidRPr="004B2A3A">
        <w:rPr>
          <w:rFonts w:hint="eastAsia"/>
          <w:sz w:val="24"/>
        </w:rPr>
        <w:t>关联应收账款欠款方名称、</w:t>
      </w:r>
      <w:r>
        <w:rPr>
          <w:rFonts w:hint="eastAsia"/>
          <w:sz w:val="24"/>
        </w:rPr>
        <w:t>金额、</w:t>
      </w:r>
      <w:r w:rsidRPr="004B2A3A">
        <w:rPr>
          <w:rFonts w:hint="eastAsia"/>
          <w:sz w:val="24"/>
        </w:rPr>
        <w:t>形成时间、</w:t>
      </w:r>
      <w:r w:rsidRPr="00997800">
        <w:rPr>
          <w:rFonts w:hint="eastAsia"/>
          <w:sz w:val="24"/>
        </w:rPr>
        <w:t>形成后至</w:t>
      </w:r>
      <w:r w:rsidRPr="00997800">
        <w:rPr>
          <w:rFonts w:hint="eastAsia"/>
          <w:sz w:val="24"/>
        </w:rPr>
        <w:t>2024</w:t>
      </w:r>
      <w:r w:rsidRPr="00997800">
        <w:rPr>
          <w:rFonts w:hint="eastAsia"/>
          <w:sz w:val="24"/>
        </w:rPr>
        <w:t>年每年年末余额</w:t>
      </w:r>
      <w:r w:rsidRPr="00E83067">
        <w:rPr>
          <w:rFonts w:hint="eastAsia"/>
          <w:sz w:val="24"/>
        </w:rPr>
        <w:t>与坏账计提金额</w:t>
      </w:r>
      <w:r>
        <w:rPr>
          <w:rFonts w:hint="eastAsia"/>
          <w:sz w:val="24"/>
        </w:rPr>
        <w:t>，具体情况如下：</w:t>
      </w:r>
    </w:p>
    <w:p w:rsidR="000D3334" w:rsidRDefault="000D3334" w:rsidP="000D3334">
      <w:pPr>
        <w:spacing w:beforeLines="50" w:before="120" w:line="360" w:lineRule="auto"/>
        <w:ind w:firstLineChars="200" w:firstLine="480"/>
        <w:outlineLvl w:val="2"/>
        <w:rPr>
          <w:sz w:val="24"/>
        </w:rPr>
      </w:pPr>
      <w:r>
        <w:rPr>
          <w:sz w:val="24"/>
        </w:rPr>
        <w:lastRenderedPageBreak/>
        <w:t>1</w:t>
      </w:r>
      <w:r>
        <w:rPr>
          <w:sz w:val="24"/>
        </w:rPr>
        <w:t>、</w:t>
      </w:r>
      <w:r>
        <w:rPr>
          <w:sz w:val="24"/>
        </w:rPr>
        <w:t>2021</w:t>
      </w:r>
      <w:r>
        <w:rPr>
          <w:rFonts w:hint="eastAsia"/>
          <w:sz w:val="24"/>
        </w:rPr>
        <w:t>年末</w:t>
      </w:r>
    </w:p>
    <w:p w:rsidR="000D3334" w:rsidRPr="000558EF" w:rsidRDefault="000D3334" w:rsidP="000D3334">
      <w:pPr>
        <w:spacing w:beforeLines="50" w:before="120"/>
        <w:ind w:firstLineChars="200" w:firstLine="420"/>
        <w:jc w:val="right"/>
        <w:rPr>
          <w:szCs w:val="21"/>
        </w:rPr>
      </w:pPr>
      <w:r w:rsidRPr="000558EF">
        <w:rPr>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
        <w:gridCol w:w="2294"/>
        <w:gridCol w:w="1077"/>
        <w:gridCol w:w="1076"/>
        <w:gridCol w:w="1076"/>
        <w:gridCol w:w="1076"/>
        <w:gridCol w:w="1076"/>
        <w:gridCol w:w="1076"/>
        <w:gridCol w:w="1076"/>
        <w:gridCol w:w="1076"/>
        <w:gridCol w:w="1076"/>
        <w:gridCol w:w="1071"/>
      </w:tblGrid>
      <w:tr w:rsidR="000D3334" w:rsidTr="00F3634B">
        <w:trPr>
          <w:trHeight w:val="454"/>
          <w:tblHeader/>
        </w:trPr>
        <w:tc>
          <w:tcPr>
            <w:tcW w:w="162" w:type="pct"/>
            <w:vMerge w:val="restart"/>
            <w:shd w:val="clear" w:color="auto" w:fill="D9D9D9" w:themeFill="background1" w:themeFillShade="D9"/>
            <w:vAlign w:val="center"/>
          </w:tcPr>
          <w:p w:rsidR="000D3334" w:rsidRDefault="000D3334" w:rsidP="00F3634B">
            <w:pPr>
              <w:jc w:val="center"/>
              <w:rPr>
                <w:b/>
                <w:bCs/>
                <w:color w:val="000000"/>
                <w:szCs w:val="21"/>
              </w:rPr>
            </w:pPr>
            <w:r>
              <w:rPr>
                <w:b/>
                <w:bCs/>
                <w:color w:val="000000"/>
                <w:szCs w:val="21"/>
              </w:rPr>
              <w:t>序号</w:t>
            </w:r>
          </w:p>
        </w:tc>
        <w:tc>
          <w:tcPr>
            <w:tcW w:w="850" w:type="pct"/>
            <w:vMerge w:val="restar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欠款方名称</w:t>
            </w:r>
          </w:p>
        </w:tc>
        <w:tc>
          <w:tcPr>
            <w:tcW w:w="797"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2021</w:t>
            </w:r>
            <w:r>
              <w:rPr>
                <w:b/>
                <w:bCs/>
                <w:color w:val="000000"/>
                <w:szCs w:val="21"/>
                <w:lang w:bidi="ar"/>
              </w:rPr>
              <w:t>年末</w:t>
            </w:r>
          </w:p>
        </w:tc>
        <w:tc>
          <w:tcPr>
            <w:tcW w:w="797"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形成时间</w:t>
            </w:r>
          </w:p>
        </w:tc>
        <w:tc>
          <w:tcPr>
            <w:tcW w:w="797"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rFonts w:hint="eastAsia"/>
                <w:b/>
                <w:bCs/>
                <w:color w:val="000000"/>
                <w:szCs w:val="21"/>
                <w:lang w:bidi="ar"/>
              </w:rPr>
              <w:t>截至</w:t>
            </w:r>
            <w:r>
              <w:rPr>
                <w:b/>
                <w:bCs/>
                <w:color w:val="000000"/>
                <w:szCs w:val="21"/>
                <w:lang w:bidi="ar"/>
              </w:rPr>
              <w:t>2022</w:t>
            </w:r>
            <w:r>
              <w:rPr>
                <w:b/>
                <w:bCs/>
                <w:color w:val="000000"/>
                <w:szCs w:val="21"/>
                <w:lang w:bidi="ar"/>
              </w:rPr>
              <w:t>年末</w:t>
            </w:r>
          </w:p>
        </w:tc>
        <w:tc>
          <w:tcPr>
            <w:tcW w:w="797"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rFonts w:hint="eastAsia"/>
                <w:b/>
                <w:bCs/>
                <w:color w:val="000000"/>
                <w:szCs w:val="21"/>
                <w:lang w:bidi="ar"/>
              </w:rPr>
              <w:t>截至</w:t>
            </w:r>
            <w:r>
              <w:rPr>
                <w:b/>
                <w:bCs/>
                <w:color w:val="000000"/>
                <w:szCs w:val="21"/>
                <w:lang w:bidi="ar"/>
              </w:rPr>
              <w:t>2023</w:t>
            </w:r>
            <w:r>
              <w:rPr>
                <w:b/>
                <w:bCs/>
                <w:color w:val="000000"/>
                <w:szCs w:val="21"/>
                <w:lang w:bidi="ar"/>
              </w:rPr>
              <w:t>年末</w:t>
            </w:r>
          </w:p>
        </w:tc>
        <w:tc>
          <w:tcPr>
            <w:tcW w:w="798"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rFonts w:hint="eastAsia"/>
                <w:b/>
                <w:bCs/>
                <w:color w:val="000000"/>
                <w:szCs w:val="21"/>
                <w:lang w:bidi="ar"/>
              </w:rPr>
              <w:t>截至</w:t>
            </w:r>
            <w:r>
              <w:rPr>
                <w:b/>
                <w:bCs/>
                <w:color w:val="000000"/>
                <w:szCs w:val="21"/>
                <w:lang w:bidi="ar"/>
              </w:rPr>
              <w:t>2024</w:t>
            </w:r>
            <w:r>
              <w:rPr>
                <w:b/>
                <w:bCs/>
                <w:color w:val="000000"/>
                <w:szCs w:val="21"/>
                <w:lang w:bidi="ar"/>
              </w:rPr>
              <w:t>年末</w:t>
            </w:r>
          </w:p>
        </w:tc>
      </w:tr>
      <w:tr w:rsidR="000D3334" w:rsidTr="00F3634B">
        <w:trPr>
          <w:trHeight w:val="516"/>
          <w:tblHeader/>
        </w:trPr>
        <w:tc>
          <w:tcPr>
            <w:tcW w:w="162" w:type="pct"/>
            <w:vMerge/>
            <w:vAlign w:val="center"/>
          </w:tcPr>
          <w:p w:rsidR="000D3334" w:rsidRDefault="000D3334" w:rsidP="00F3634B">
            <w:pPr>
              <w:widowControl/>
              <w:jc w:val="center"/>
              <w:rPr>
                <w:b/>
                <w:bCs/>
                <w:color w:val="000000"/>
                <w:szCs w:val="21"/>
              </w:rPr>
            </w:pPr>
          </w:p>
        </w:tc>
        <w:tc>
          <w:tcPr>
            <w:tcW w:w="850" w:type="pct"/>
            <w:vMerge/>
            <w:vAlign w:val="center"/>
          </w:tcPr>
          <w:p w:rsidR="000D3334" w:rsidRDefault="000D3334" w:rsidP="00F3634B">
            <w:pPr>
              <w:widowControl/>
              <w:jc w:val="center"/>
              <w:rPr>
                <w:b/>
                <w:bCs/>
                <w:color w:val="000000"/>
                <w:szCs w:val="21"/>
              </w:rPr>
            </w:pPr>
          </w:p>
        </w:tc>
        <w:tc>
          <w:tcPr>
            <w:tcW w:w="39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应收账款</w:t>
            </w:r>
            <w:r>
              <w:rPr>
                <w:rFonts w:hint="eastAsia"/>
                <w:b/>
                <w:bCs/>
                <w:color w:val="000000"/>
                <w:szCs w:val="21"/>
                <w:lang w:bidi="ar"/>
              </w:rPr>
              <w:t>余额</w:t>
            </w:r>
          </w:p>
        </w:tc>
        <w:tc>
          <w:tcPr>
            <w:tcW w:w="39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39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2021</w:t>
            </w:r>
            <w:r>
              <w:rPr>
                <w:b/>
                <w:bCs/>
                <w:color w:val="000000"/>
                <w:szCs w:val="21"/>
              </w:rPr>
              <w:t>年</w:t>
            </w:r>
          </w:p>
        </w:tc>
        <w:tc>
          <w:tcPr>
            <w:tcW w:w="39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2020</w:t>
            </w:r>
            <w:r>
              <w:rPr>
                <w:b/>
                <w:bCs/>
                <w:color w:val="000000"/>
                <w:szCs w:val="21"/>
              </w:rPr>
              <w:t>年及以前</w:t>
            </w:r>
          </w:p>
        </w:tc>
        <w:tc>
          <w:tcPr>
            <w:tcW w:w="399" w:type="pct"/>
            <w:shd w:val="clear" w:color="auto" w:fill="D8D8D8" w:themeFill="background1" w:themeFillShade="D8"/>
            <w:vAlign w:val="center"/>
          </w:tcPr>
          <w:p w:rsidR="000D3334" w:rsidRDefault="000D3334" w:rsidP="00F3634B">
            <w:pPr>
              <w:widowControl/>
              <w:jc w:val="center"/>
              <w:textAlignment w:val="center"/>
              <w:rPr>
                <w:b/>
                <w:bCs/>
                <w:color w:val="000000"/>
                <w:szCs w:val="21"/>
                <w:lang w:bidi="ar"/>
              </w:rPr>
            </w:pPr>
            <w:r>
              <w:rPr>
                <w:b/>
                <w:bCs/>
                <w:color w:val="000000"/>
                <w:szCs w:val="21"/>
                <w:lang w:bidi="ar"/>
              </w:rPr>
              <w:t>应收账款</w:t>
            </w:r>
            <w:r>
              <w:rPr>
                <w:rFonts w:hint="eastAsia"/>
                <w:b/>
                <w:bCs/>
                <w:color w:val="000000"/>
                <w:szCs w:val="21"/>
                <w:lang w:bidi="ar"/>
              </w:rPr>
              <w:t>余额</w:t>
            </w:r>
          </w:p>
        </w:tc>
        <w:tc>
          <w:tcPr>
            <w:tcW w:w="399" w:type="pct"/>
            <w:shd w:val="clear" w:color="auto" w:fill="D8D8D8" w:themeFill="background1" w:themeFillShade="D8"/>
            <w:vAlign w:val="center"/>
          </w:tcPr>
          <w:p w:rsidR="000D3334" w:rsidRDefault="000D3334" w:rsidP="00F3634B">
            <w:pPr>
              <w:widowControl/>
              <w:jc w:val="center"/>
              <w:textAlignment w:val="center"/>
              <w:rPr>
                <w:b/>
                <w:bCs/>
                <w:color w:val="000000"/>
                <w:szCs w:val="21"/>
                <w:lang w:bidi="ar"/>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399" w:type="pct"/>
            <w:shd w:val="clear" w:color="auto" w:fill="D9D9D9" w:themeFill="background1" w:themeFillShade="D9"/>
            <w:vAlign w:val="center"/>
          </w:tcPr>
          <w:p w:rsidR="000D3334" w:rsidRDefault="000D3334" w:rsidP="00F3634B">
            <w:pPr>
              <w:widowControl/>
              <w:jc w:val="center"/>
              <w:textAlignment w:val="center"/>
              <w:rPr>
                <w:b/>
                <w:bCs/>
                <w:szCs w:val="21"/>
              </w:rPr>
            </w:pPr>
            <w:r>
              <w:rPr>
                <w:b/>
                <w:bCs/>
                <w:color w:val="000000"/>
                <w:szCs w:val="21"/>
                <w:lang w:bidi="ar"/>
              </w:rPr>
              <w:t>应收账款</w:t>
            </w:r>
            <w:r>
              <w:rPr>
                <w:rFonts w:hint="eastAsia"/>
                <w:b/>
                <w:bCs/>
                <w:color w:val="000000"/>
                <w:szCs w:val="21"/>
                <w:lang w:bidi="ar"/>
              </w:rPr>
              <w:t>余额</w:t>
            </w:r>
          </w:p>
        </w:tc>
        <w:tc>
          <w:tcPr>
            <w:tcW w:w="399"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399"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应收账款</w:t>
            </w:r>
            <w:r>
              <w:rPr>
                <w:rFonts w:hint="eastAsia"/>
                <w:b/>
                <w:bCs/>
                <w:color w:val="000000"/>
                <w:szCs w:val="21"/>
                <w:lang w:bidi="ar"/>
              </w:rPr>
              <w:t>余额</w:t>
            </w:r>
          </w:p>
        </w:tc>
        <w:tc>
          <w:tcPr>
            <w:tcW w:w="399"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1</w:t>
            </w:r>
          </w:p>
        </w:tc>
        <w:tc>
          <w:tcPr>
            <w:tcW w:w="850" w:type="pct"/>
            <w:vAlign w:val="center"/>
          </w:tcPr>
          <w:p w:rsidR="000D3334" w:rsidRDefault="000D3334" w:rsidP="00F3634B">
            <w:pPr>
              <w:widowControl/>
              <w:jc w:val="left"/>
              <w:textAlignment w:val="center"/>
              <w:rPr>
                <w:szCs w:val="21"/>
              </w:rPr>
            </w:pPr>
            <w:r>
              <w:rPr>
                <w:color w:val="000000"/>
                <w:szCs w:val="21"/>
                <w:lang w:bidi="ar"/>
              </w:rPr>
              <w:t>五河</w:t>
            </w:r>
            <w:proofErr w:type="gramStart"/>
            <w:r>
              <w:rPr>
                <w:color w:val="000000"/>
                <w:szCs w:val="21"/>
                <w:lang w:bidi="ar"/>
              </w:rPr>
              <w:t>祥</w:t>
            </w:r>
            <w:proofErr w:type="gramEnd"/>
            <w:r>
              <w:rPr>
                <w:color w:val="000000"/>
                <w:szCs w:val="21"/>
                <w:lang w:bidi="ar"/>
              </w:rPr>
              <w:t>源投资开发有限公司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5,812.87</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179.64</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5,609.97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202.90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2,787.34</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151.86</w:t>
            </w:r>
          </w:p>
        </w:tc>
        <w:tc>
          <w:tcPr>
            <w:tcW w:w="399" w:type="pct"/>
            <w:vAlign w:val="center"/>
          </w:tcPr>
          <w:p w:rsidR="000D3334" w:rsidRDefault="000D3334" w:rsidP="00F3634B">
            <w:pPr>
              <w:widowControl/>
              <w:jc w:val="right"/>
              <w:textAlignment w:val="center"/>
              <w:rPr>
                <w:szCs w:val="21"/>
              </w:rPr>
            </w:pPr>
            <w:r>
              <w:rPr>
                <w:color w:val="000000"/>
                <w:szCs w:val="21"/>
                <w:lang w:bidi="ar"/>
              </w:rPr>
              <w:t>469.94</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33.11</w:t>
            </w:r>
          </w:p>
        </w:tc>
        <w:tc>
          <w:tcPr>
            <w:tcW w:w="399" w:type="pct"/>
            <w:vAlign w:val="center"/>
          </w:tcPr>
          <w:p w:rsidR="000D3334" w:rsidRDefault="000D3334" w:rsidP="00F3634B">
            <w:pPr>
              <w:widowControl/>
              <w:jc w:val="right"/>
              <w:textAlignment w:val="center"/>
              <w:rPr>
                <w:szCs w:val="21"/>
              </w:rPr>
            </w:pPr>
            <w:r>
              <w:rPr>
                <w:color w:val="000000"/>
                <w:szCs w:val="21"/>
                <w:lang w:bidi="ar"/>
              </w:rPr>
              <w:t>277.59</w:t>
            </w:r>
          </w:p>
        </w:tc>
        <w:tc>
          <w:tcPr>
            <w:tcW w:w="399" w:type="pct"/>
            <w:vAlign w:val="center"/>
          </w:tcPr>
          <w:p w:rsidR="000D3334" w:rsidRDefault="000D3334" w:rsidP="00F3634B">
            <w:pPr>
              <w:widowControl/>
              <w:jc w:val="right"/>
              <w:textAlignment w:val="center"/>
              <w:rPr>
                <w:szCs w:val="21"/>
              </w:rPr>
            </w:pPr>
            <w:r>
              <w:rPr>
                <w:color w:val="000000"/>
                <w:szCs w:val="21"/>
                <w:lang w:bidi="ar"/>
              </w:rPr>
              <w:t>26.04</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2</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阜南县城北</w:t>
            </w:r>
            <w:proofErr w:type="gramStart"/>
            <w:r>
              <w:rPr>
                <w:color w:val="000000"/>
                <w:szCs w:val="21"/>
                <w:lang w:bidi="ar"/>
              </w:rPr>
              <w:t>祥</w:t>
            </w:r>
            <w:proofErr w:type="gramEnd"/>
            <w:r>
              <w:rPr>
                <w:color w:val="000000"/>
                <w:szCs w:val="21"/>
                <w:lang w:bidi="ar"/>
              </w:rPr>
              <w:t>源房地产开发有限公司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5,720.94</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120.16</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5,720.35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0.59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722.16</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39.18</w:t>
            </w:r>
          </w:p>
        </w:tc>
        <w:tc>
          <w:tcPr>
            <w:tcW w:w="399" w:type="pct"/>
            <w:vAlign w:val="center"/>
          </w:tcPr>
          <w:p w:rsidR="000D3334" w:rsidRDefault="000D3334" w:rsidP="00F3634B">
            <w:pPr>
              <w:widowControl/>
              <w:jc w:val="right"/>
              <w:textAlignment w:val="center"/>
              <w:rPr>
                <w:szCs w:val="21"/>
              </w:rPr>
            </w:pPr>
            <w:r>
              <w:rPr>
                <w:color w:val="000000"/>
                <w:szCs w:val="21"/>
                <w:lang w:bidi="ar"/>
              </w:rPr>
              <w:t>643.34</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44.33</w:t>
            </w:r>
          </w:p>
        </w:tc>
        <w:tc>
          <w:tcPr>
            <w:tcW w:w="399" w:type="pct"/>
            <w:vAlign w:val="center"/>
          </w:tcPr>
          <w:p w:rsidR="000D3334" w:rsidRDefault="000D3334" w:rsidP="00F3634B">
            <w:pPr>
              <w:widowControl/>
              <w:jc w:val="right"/>
              <w:textAlignment w:val="center"/>
              <w:rPr>
                <w:szCs w:val="21"/>
              </w:rPr>
            </w:pPr>
            <w:r>
              <w:rPr>
                <w:color w:val="000000"/>
                <w:szCs w:val="21"/>
                <w:lang w:bidi="ar"/>
              </w:rPr>
              <w:t>163.40</w:t>
            </w:r>
          </w:p>
        </w:tc>
        <w:tc>
          <w:tcPr>
            <w:tcW w:w="399" w:type="pct"/>
            <w:vAlign w:val="center"/>
          </w:tcPr>
          <w:p w:rsidR="000D3334" w:rsidRDefault="000D3334" w:rsidP="00F3634B">
            <w:pPr>
              <w:widowControl/>
              <w:jc w:val="right"/>
              <w:textAlignment w:val="center"/>
              <w:rPr>
                <w:szCs w:val="21"/>
              </w:rPr>
            </w:pPr>
            <w:r>
              <w:rPr>
                <w:color w:val="000000"/>
                <w:szCs w:val="21"/>
                <w:lang w:bidi="ar"/>
              </w:rPr>
              <w:t>14.98</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3</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阜南县</w:t>
            </w:r>
            <w:proofErr w:type="gramStart"/>
            <w:r>
              <w:rPr>
                <w:color w:val="000000"/>
                <w:szCs w:val="21"/>
                <w:lang w:bidi="ar"/>
              </w:rPr>
              <w:t>祥</w:t>
            </w:r>
            <w:proofErr w:type="gramEnd"/>
            <w:r>
              <w:rPr>
                <w:color w:val="000000"/>
                <w:szCs w:val="21"/>
                <w:lang w:bidi="ar"/>
              </w:rPr>
              <w:t>源生态文化旅游开发有限公司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5,693.80</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128.58</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5,467.38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226.42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5,037.41</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286.04</w:t>
            </w:r>
          </w:p>
        </w:tc>
        <w:tc>
          <w:tcPr>
            <w:tcW w:w="399" w:type="pct"/>
            <w:vAlign w:val="center"/>
          </w:tcPr>
          <w:p w:rsidR="000D3334" w:rsidRDefault="000D3334" w:rsidP="00F3634B">
            <w:pPr>
              <w:widowControl/>
              <w:jc w:val="right"/>
              <w:textAlignment w:val="center"/>
              <w:rPr>
                <w:szCs w:val="21"/>
              </w:rPr>
            </w:pPr>
            <w:r>
              <w:rPr>
                <w:color w:val="000000"/>
                <w:szCs w:val="21"/>
                <w:lang w:bidi="ar"/>
              </w:rPr>
              <w:t>2,693.37</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208.78</w:t>
            </w:r>
          </w:p>
        </w:tc>
        <w:tc>
          <w:tcPr>
            <w:tcW w:w="399" w:type="pct"/>
            <w:vAlign w:val="center"/>
          </w:tcPr>
          <w:p w:rsidR="000D3334" w:rsidRDefault="000D3334" w:rsidP="00F3634B">
            <w:pPr>
              <w:widowControl/>
              <w:jc w:val="right"/>
              <w:textAlignment w:val="center"/>
              <w:rPr>
                <w:szCs w:val="21"/>
              </w:rPr>
            </w:pPr>
            <w:r>
              <w:rPr>
                <w:color w:val="000000"/>
                <w:szCs w:val="21"/>
                <w:lang w:bidi="ar"/>
              </w:rPr>
              <w:t>50.53</w:t>
            </w:r>
          </w:p>
        </w:tc>
        <w:tc>
          <w:tcPr>
            <w:tcW w:w="399" w:type="pct"/>
            <w:vAlign w:val="center"/>
          </w:tcPr>
          <w:p w:rsidR="000D3334" w:rsidRDefault="000D3334" w:rsidP="00F3634B">
            <w:pPr>
              <w:widowControl/>
              <w:jc w:val="right"/>
              <w:textAlignment w:val="center"/>
              <w:rPr>
                <w:szCs w:val="21"/>
              </w:rPr>
            </w:pPr>
            <w:r>
              <w:rPr>
                <w:color w:val="000000"/>
                <w:szCs w:val="21"/>
                <w:lang w:bidi="ar"/>
              </w:rPr>
              <w:t>6.70</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4</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上海万锦置业发展有限公司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4,328.43</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90.90</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4,328.43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797.90</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43.25</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5</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安徽</w:t>
            </w:r>
            <w:proofErr w:type="gramStart"/>
            <w:r>
              <w:rPr>
                <w:color w:val="000000"/>
                <w:szCs w:val="21"/>
                <w:lang w:bidi="ar"/>
              </w:rPr>
              <w:t>祥</w:t>
            </w:r>
            <w:proofErr w:type="gramEnd"/>
            <w:r>
              <w:rPr>
                <w:color w:val="000000"/>
                <w:szCs w:val="21"/>
                <w:lang w:bidi="ar"/>
              </w:rPr>
              <w:t>源城市更新有限公司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4,266.32</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216.95</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1,296.47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2,969.85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2,049.43</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181.45</w:t>
            </w:r>
          </w:p>
        </w:tc>
        <w:tc>
          <w:tcPr>
            <w:tcW w:w="399" w:type="pct"/>
            <w:vAlign w:val="center"/>
          </w:tcPr>
          <w:p w:rsidR="000D3334" w:rsidRDefault="000D3334" w:rsidP="00F3634B">
            <w:pPr>
              <w:widowControl/>
              <w:jc w:val="right"/>
              <w:textAlignment w:val="center"/>
              <w:rPr>
                <w:szCs w:val="21"/>
              </w:rPr>
            </w:pPr>
            <w:r>
              <w:rPr>
                <w:color w:val="000000"/>
                <w:szCs w:val="21"/>
                <w:lang w:bidi="ar"/>
              </w:rPr>
              <w:t>583.29</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60.05</w:t>
            </w:r>
          </w:p>
        </w:tc>
        <w:tc>
          <w:tcPr>
            <w:tcW w:w="399" w:type="pct"/>
            <w:vAlign w:val="center"/>
          </w:tcPr>
          <w:p w:rsidR="000D3334" w:rsidRDefault="000D3334" w:rsidP="00F3634B">
            <w:pPr>
              <w:widowControl/>
              <w:jc w:val="right"/>
              <w:textAlignment w:val="center"/>
              <w:rPr>
                <w:szCs w:val="21"/>
              </w:rPr>
            </w:pPr>
            <w:r>
              <w:rPr>
                <w:color w:val="000000"/>
                <w:szCs w:val="21"/>
                <w:lang w:bidi="ar"/>
              </w:rPr>
              <w:t>23.21</w:t>
            </w:r>
          </w:p>
        </w:tc>
        <w:tc>
          <w:tcPr>
            <w:tcW w:w="399" w:type="pct"/>
            <w:vAlign w:val="center"/>
          </w:tcPr>
          <w:p w:rsidR="000D3334" w:rsidRDefault="000D3334" w:rsidP="00F3634B">
            <w:pPr>
              <w:widowControl/>
              <w:jc w:val="right"/>
              <w:textAlignment w:val="center"/>
              <w:rPr>
                <w:szCs w:val="21"/>
              </w:rPr>
            </w:pPr>
            <w:r>
              <w:rPr>
                <w:color w:val="000000"/>
                <w:szCs w:val="21"/>
                <w:lang w:bidi="ar"/>
              </w:rPr>
              <w:t>2.33</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6</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宁波</w:t>
            </w:r>
            <w:proofErr w:type="gramStart"/>
            <w:r>
              <w:rPr>
                <w:color w:val="000000"/>
                <w:szCs w:val="21"/>
                <w:lang w:bidi="ar"/>
              </w:rPr>
              <w:t>祥</w:t>
            </w:r>
            <w:proofErr w:type="gramEnd"/>
            <w:r>
              <w:rPr>
                <w:color w:val="000000"/>
                <w:szCs w:val="21"/>
                <w:lang w:bidi="ar"/>
              </w:rPr>
              <w:t>源旅游开发有限公司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3,350.64</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70.36</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3,350.64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2,727.14</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147.81</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7</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绍兴市</w:t>
            </w:r>
            <w:proofErr w:type="gramStart"/>
            <w:r>
              <w:rPr>
                <w:color w:val="000000"/>
                <w:szCs w:val="21"/>
                <w:lang w:bidi="ar"/>
              </w:rPr>
              <w:t>祥源绿信</w:t>
            </w:r>
            <w:proofErr w:type="gramEnd"/>
            <w:r>
              <w:rPr>
                <w:color w:val="000000"/>
                <w:szCs w:val="21"/>
                <w:lang w:bidi="ar"/>
              </w:rPr>
              <w:t>置业有限公司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3,237.91</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68.00</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3,237.91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563.81</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30.56</w:t>
            </w:r>
          </w:p>
        </w:tc>
        <w:tc>
          <w:tcPr>
            <w:tcW w:w="399" w:type="pct"/>
            <w:vAlign w:val="center"/>
          </w:tcPr>
          <w:p w:rsidR="000D3334" w:rsidRDefault="000D3334" w:rsidP="00F3634B">
            <w:pPr>
              <w:widowControl/>
              <w:jc w:val="right"/>
              <w:textAlignment w:val="center"/>
              <w:rPr>
                <w:szCs w:val="21"/>
              </w:rPr>
            </w:pPr>
            <w:r>
              <w:rPr>
                <w:color w:val="000000"/>
                <w:szCs w:val="21"/>
                <w:lang w:bidi="ar"/>
              </w:rPr>
              <w:t>153.81</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10.58</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c>
          <w:tcPr>
            <w:tcW w:w="399"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8</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安徽祥源公园城开发有限公司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3,203.58</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67.73</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3,192.22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11.36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465.76</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26.01</w:t>
            </w:r>
          </w:p>
        </w:tc>
        <w:tc>
          <w:tcPr>
            <w:tcW w:w="399" w:type="pct"/>
            <w:vAlign w:val="center"/>
          </w:tcPr>
          <w:p w:rsidR="000D3334" w:rsidRDefault="000D3334" w:rsidP="00F3634B">
            <w:pPr>
              <w:widowControl/>
              <w:jc w:val="right"/>
              <w:textAlignment w:val="center"/>
              <w:rPr>
                <w:szCs w:val="21"/>
              </w:rPr>
            </w:pPr>
            <w:r>
              <w:rPr>
                <w:color w:val="000000"/>
                <w:szCs w:val="21"/>
                <w:lang w:bidi="ar"/>
              </w:rPr>
              <w:t>206.26</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15.56</w:t>
            </w:r>
          </w:p>
        </w:tc>
        <w:tc>
          <w:tcPr>
            <w:tcW w:w="399" w:type="pct"/>
            <w:vAlign w:val="center"/>
          </w:tcPr>
          <w:p w:rsidR="000D3334" w:rsidRDefault="000D3334" w:rsidP="00F3634B">
            <w:pPr>
              <w:widowControl/>
              <w:jc w:val="right"/>
              <w:textAlignment w:val="center"/>
              <w:rPr>
                <w:szCs w:val="21"/>
              </w:rPr>
            </w:pPr>
            <w:r>
              <w:rPr>
                <w:color w:val="000000"/>
                <w:szCs w:val="21"/>
                <w:lang w:bidi="ar"/>
              </w:rPr>
              <w:t>11.36</w:t>
            </w:r>
          </w:p>
        </w:tc>
        <w:tc>
          <w:tcPr>
            <w:tcW w:w="399" w:type="pct"/>
            <w:vAlign w:val="center"/>
          </w:tcPr>
          <w:p w:rsidR="000D3334" w:rsidRDefault="000D3334" w:rsidP="00F3634B">
            <w:pPr>
              <w:widowControl/>
              <w:jc w:val="right"/>
              <w:textAlignment w:val="center"/>
              <w:rPr>
                <w:szCs w:val="21"/>
              </w:rPr>
            </w:pPr>
            <w:r>
              <w:rPr>
                <w:color w:val="000000"/>
                <w:szCs w:val="21"/>
                <w:lang w:bidi="ar"/>
              </w:rPr>
              <w:t>2.90</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9</w:t>
            </w:r>
          </w:p>
        </w:tc>
        <w:tc>
          <w:tcPr>
            <w:tcW w:w="850" w:type="pct"/>
            <w:vAlign w:val="center"/>
          </w:tcPr>
          <w:p w:rsidR="000D3334" w:rsidRDefault="000D3334" w:rsidP="00F3634B">
            <w:pPr>
              <w:widowControl/>
              <w:jc w:val="left"/>
              <w:textAlignment w:val="center"/>
              <w:rPr>
                <w:color w:val="000000"/>
                <w:szCs w:val="21"/>
                <w:lang w:bidi="ar"/>
              </w:rPr>
            </w:pPr>
            <w:proofErr w:type="gramStart"/>
            <w:r>
              <w:rPr>
                <w:color w:val="000000"/>
                <w:szCs w:val="21"/>
                <w:lang w:bidi="ar"/>
              </w:rPr>
              <w:t>祥源花</w:t>
            </w:r>
            <w:proofErr w:type="gramEnd"/>
            <w:r>
              <w:rPr>
                <w:color w:val="000000"/>
                <w:szCs w:val="21"/>
                <w:lang w:bidi="ar"/>
              </w:rPr>
              <w:t>世界生态文化旅游区开发有限公司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1,267.13</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28.09</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1,229.65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37.48 </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504.65</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27.36</w:t>
            </w:r>
          </w:p>
        </w:tc>
        <w:tc>
          <w:tcPr>
            <w:tcW w:w="399" w:type="pct"/>
            <w:vAlign w:val="center"/>
          </w:tcPr>
          <w:p w:rsidR="000D3334" w:rsidRDefault="000D3334" w:rsidP="00F3634B">
            <w:pPr>
              <w:widowControl/>
              <w:jc w:val="right"/>
              <w:textAlignment w:val="center"/>
              <w:rPr>
                <w:szCs w:val="21"/>
              </w:rPr>
            </w:pPr>
            <w:r>
              <w:rPr>
                <w:color w:val="000000"/>
                <w:szCs w:val="21"/>
                <w:lang w:bidi="ar"/>
              </w:rPr>
              <w:t>349.97</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24.09</w:t>
            </w:r>
          </w:p>
        </w:tc>
        <w:tc>
          <w:tcPr>
            <w:tcW w:w="399" w:type="pct"/>
            <w:vAlign w:val="center"/>
          </w:tcPr>
          <w:p w:rsidR="000D3334" w:rsidRDefault="000D3334" w:rsidP="00F3634B">
            <w:pPr>
              <w:widowControl/>
              <w:jc w:val="right"/>
              <w:textAlignment w:val="center"/>
              <w:rPr>
                <w:szCs w:val="21"/>
              </w:rPr>
            </w:pPr>
            <w:r>
              <w:rPr>
                <w:color w:val="000000"/>
                <w:szCs w:val="21"/>
                <w:lang w:bidi="ar"/>
              </w:rPr>
              <w:t>85.42</w:t>
            </w:r>
          </w:p>
        </w:tc>
        <w:tc>
          <w:tcPr>
            <w:tcW w:w="399" w:type="pct"/>
            <w:vAlign w:val="center"/>
          </w:tcPr>
          <w:p w:rsidR="000D3334" w:rsidRDefault="000D3334" w:rsidP="00F3634B">
            <w:pPr>
              <w:widowControl/>
              <w:jc w:val="right"/>
              <w:textAlignment w:val="center"/>
              <w:rPr>
                <w:szCs w:val="21"/>
              </w:rPr>
            </w:pPr>
            <w:r>
              <w:rPr>
                <w:color w:val="000000"/>
                <w:szCs w:val="21"/>
                <w:lang w:bidi="ar"/>
              </w:rPr>
              <w:t>7.80</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10</w:t>
            </w:r>
          </w:p>
        </w:tc>
        <w:tc>
          <w:tcPr>
            <w:tcW w:w="850" w:type="pct"/>
            <w:vAlign w:val="center"/>
          </w:tcPr>
          <w:p w:rsidR="000D3334" w:rsidRDefault="000D3334" w:rsidP="00F3634B">
            <w:pPr>
              <w:widowControl/>
              <w:jc w:val="left"/>
              <w:textAlignment w:val="center"/>
              <w:rPr>
                <w:color w:val="000000"/>
                <w:szCs w:val="21"/>
                <w:lang w:bidi="ar"/>
              </w:rPr>
            </w:pPr>
            <w:r>
              <w:rPr>
                <w:color w:val="000000"/>
                <w:szCs w:val="21"/>
                <w:lang w:bidi="ar"/>
              </w:rPr>
              <w:t>滁州</w:t>
            </w:r>
            <w:proofErr w:type="gramStart"/>
            <w:r>
              <w:rPr>
                <w:color w:val="000000"/>
                <w:szCs w:val="21"/>
                <w:lang w:bidi="ar"/>
              </w:rPr>
              <w:t>祥</w:t>
            </w:r>
            <w:proofErr w:type="gramEnd"/>
            <w:r>
              <w:rPr>
                <w:color w:val="000000"/>
                <w:szCs w:val="21"/>
                <w:lang w:bidi="ar"/>
              </w:rPr>
              <w:t>源旅游发展有限公司</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1,205.35</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30.07</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1,085.11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120.24 </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67.47</w:t>
            </w:r>
          </w:p>
        </w:tc>
        <w:tc>
          <w:tcPr>
            <w:tcW w:w="399" w:type="pct"/>
            <w:vAlign w:val="center"/>
          </w:tcPr>
          <w:p w:rsidR="000D3334" w:rsidRDefault="000D3334" w:rsidP="00F3634B">
            <w:pPr>
              <w:widowControl/>
              <w:jc w:val="right"/>
              <w:textAlignment w:val="center"/>
              <w:rPr>
                <w:color w:val="000000"/>
                <w:szCs w:val="21"/>
                <w:lang w:bidi="ar"/>
              </w:rPr>
            </w:pPr>
            <w:r>
              <w:rPr>
                <w:color w:val="000000"/>
                <w:szCs w:val="21"/>
                <w:lang w:bidi="ar"/>
              </w:rPr>
              <w:t>7.68</w:t>
            </w:r>
          </w:p>
        </w:tc>
        <w:tc>
          <w:tcPr>
            <w:tcW w:w="399" w:type="pct"/>
            <w:vAlign w:val="center"/>
          </w:tcPr>
          <w:p w:rsidR="000D3334" w:rsidRDefault="000D3334" w:rsidP="00F3634B">
            <w:pPr>
              <w:widowControl/>
              <w:jc w:val="right"/>
              <w:textAlignment w:val="center"/>
              <w:rPr>
                <w:szCs w:val="21"/>
              </w:rPr>
            </w:pPr>
            <w:r>
              <w:rPr>
                <w:color w:val="000000"/>
                <w:szCs w:val="21"/>
                <w:lang w:bidi="ar"/>
              </w:rPr>
              <w:t>7.50</w:t>
            </w:r>
          </w:p>
        </w:tc>
        <w:tc>
          <w:tcPr>
            <w:tcW w:w="399" w:type="pct"/>
            <w:vAlign w:val="center"/>
          </w:tcPr>
          <w:p w:rsidR="000D3334" w:rsidRDefault="000D3334" w:rsidP="00F3634B">
            <w:pPr>
              <w:widowControl/>
              <w:jc w:val="right"/>
              <w:textAlignment w:val="center"/>
              <w:rPr>
                <w:color w:val="000000"/>
                <w:szCs w:val="21"/>
              </w:rPr>
            </w:pPr>
            <w:r>
              <w:rPr>
                <w:color w:val="000000"/>
                <w:szCs w:val="21"/>
                <w:lang w:bidi="ar"/>
              </w:rPr>
              <w:t>0.52</w:t>
            </w:r>
          </w:p>
        </w:tc>
        <w:tc>
          <w:tcPr>
            <w:tcW w:w="399" w:type="pct"/>
            <w:vAlign w:val="center"/>
          </w:tcPr>
          <w:p w:rsidR="000D3334" w:rsidRDefault="000D3334" w:rsidP="00F3634B">
            <w:pPr>
              <w:widowControl/>
              <w:jc w:val="right"/>
              <w:textAlignment w:val="center"/>
              <w:rPr>
                <w:szCs w:val="21"/>
              </w:rPr>
            </w:pPr>
            <w:r>
              <w:rPr>
                <w:color w:val="000000"/>
                <w:szCs w:val="21"/>
                <w:lang w:bidi="ar"/>
              </w:rPr>
              <w:t>7.50</w:t>
            </w:r>
          </w:p>
        </w:tc>
        <w:tc>
          <w:tcPr>
            <w:tcW w:w="399" w:type="pct"/>
            <w:vAlign w:val="center"/>
          </w:tcPr>
          <w:p w:rsidR="000D3334" w:rsidRDefault="000D3334" w:rsidP="00F3634B">
            <w:pPr>
              <w:widowControl/>
              <w:jc w:val="right"/>
              <w:textAlignment w:val="center"/>
              <w:rPr>
                <w:szCs w:val="21"/>
              </w:rPr>
            </w:pPr>
            <w:r>
              <w:rPr>
                <w:color w:val="000000"/>
                <w:szCs w:val="21"/>
                <w:lang w:bidi="ar"/>
              </w:rPr>
              <w:t>0.68</w:t>
            </w:r>
          </w:p>
        </w:tc>
      </w:tr>
    </w:tbl>
    <w:p w:rsidR="000D3334" w:rsidRDefault="000D3334" w:rsidP="000D3334">
      <w:pPr>
        <w:spacing w:beforeLines="50" w:before="120" w:line="360" w:lineRule="auto"/>
        <w:ind w:firstLineChars="200" w:firstLine="480"/>
        <w:rPr>
          <w:sz w:val="24"/>
        </w:rPr>
        <w:sectPr w:rsidR="000D3334" w:rsidSect="00F3634B">
          <w:pgSz w:w="16838" w:h="11906" w:orient="landscape"/>
          <w:pgMar w:top="1984" w:right="2126" w:bottom="1417" w:left="1440" w:header="850" w:footer="992" w:gutter="0"/>
          <w:cols w:space="425"/>
          <w:docGrid w:linePitch="312"/>
        </w:sectPr>
      </w:pPr>
    </w:p>
    <w:p w:rsidR="000D3334" w:rsidRDefault="000D3334" w:rsidP="000D3334">
      <w:pPr>
        <w:spacing w:beforeLines="50" w:before="120" w:line="360" w:lineRule="auto"/>
        <w:ind w:firstLineChars="200" w:firstLine="480"/>
        <w:outlineLvl w:val="2"/>
        <w:rPr>
          <w:sz w:val="24"/>
        </w:rPr>
      </w:pPr>
      <w:r>
        <w:rPr>
          <w:rFonts w:hint="eastAsia"/>
          <w:sz w:val="24"/>
        </w:rPr>
        <w:lastRenderedPageBreak/>
        <w:t>2</w:t>
      </w:r>
      <w:r>
        <w:rPr>
          <w:sz w:val="24"/>
        </w:rPr>
        <w:t>、</w:t>
      </w:r>
      <w:r>
        <w:rPr>
          <w:rFonts w:hint="eastAsia"/>
          <w:sz w:val="24"/>
        </w:rPr>
        <w:t>2022</w:t>
      </w:r>
      <w:r>
        <w:rPr>
          <w:rFonts w:hint="eastAsia"/>
          <w:sz w:val="24"/>
        </w:rPr>
        <w:t>年末</w:t>
      </w:r>
    </w:p>
    <w:p w:rsidR="000D3334" w:rsidRPr="000558EF" w:rsidRDefault="000D3334" w:rsidP="000D3334">
      <w:pPr>
        <w:spacing w:beforeLines="50" w:before="120"/>
        <w:ind w:firstLineChars="200" w:firstLine="420"/>
        <w:jc w:val="right"/>
        <w:rPr>
          <w:szCs w:val="21"/>
        </w:rPr>
      </w:pPr>
      <w:r w:rsidRPr="000558EF">
        <w:rPr>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
        <w:gridCol w:w="2871"/>
        <w:gridCol w:w="1131"/>
        <w:gridCol w:w="1130"/>
        <w:gridCol w:w="1130"/>
        <w:gridCol w:w="1130"/>
        <w:gridCol w:w="1130"/>
        <w:gridCol w:w="1130"/>
        <w:gridCol w:w="1130"/>
        <w:gridCol w:w="1130"/>
        <w:gridCol w:w="1138"/>
      </w:tblGrid>
      <w:tr w:rsidR="000D3334" w:rsidTr="00F3634B">
        <w:trPr>
          <w:trHeight w:val="454"/>
          <w:tblHeader/>
        </w:trPr>
        <w:tc>
          <w:tcPr>
            <w:tcW w:w="162" w:type="pct"/>
            <w:vMerge w:val="restart"/>
            <w:shd w:val="clear" w:color="auto" w:fill="D9D9D9" w:themeFill="background1" w:themeFillShade="D9"/>
            <w:vAlign w:val="center"/>
          </w:tcPr>
          <w:p w:rsidR="000D3334" w:rsidRDefault="000D3334" w:rsidP="00F3634B">
            <w:pPr>
              <w:jc w:val="center"/>
              <w:rPr>
                <w:b/>
                <w:bCs/>
                <w:color w:val="000000"/>
                <w:szCs w:val="21"/>
              </w:rPr>
            </w:pPr>
            <w:r>
              <w:rPr>
                <w:b/>
                <w:bCs/>
                <w:color w:val="000000"/>
                <w:szCs w:val="21"/>
              </w:rPr>
              <w:t>序号</w:t>
            </w:r>
          </w:p>
        </w:tc>
        <w:tc>
          <w:tcPr>
            <w:tcW w:w="1064" w:type="pct"/>
            <w:vMerge w:val="restar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欠款方名称</w:t>
            </w:r>
          </w:p>
        </w:tc>
        <w:tc>
          <w:tcPr>
            <w:tcW w:w="838"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2022</w:t>
            </w:r>
            <w:r>
              <w:rPr>
                <w:b/>
                <w:bCs/>
                <w:color w:val="000000"/>
                <w:szCs w:val="21"/>
                <w:lang w:bidi="ar"/>
              </w:rPr>
              <w:t>年末</w:t>
            </w:r>
          </w:p>
        </w:tc>
        <w:tc>
          <w:tcPr>
            <w:tcW w:w="1257" w:type="pct"/>
            <w:gridSpan w:val="3"/>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形成时间</w:t>
            </w:r>
          </w:p>
        </w:tc>
        <w:tc>
          <w:tcPr>
            <w:tcW w:w="838" w:type="pct"/>
            <w:gridSpan w:val="2"/>
            <w:shd w:val="clear" w:color="auto" w:fill="D9D9D9" w:themeFill="background1" w:themeFillShade="D9"/>
            <w:vAlign w:val="center"/>
          </w:tcPr>
          <w:p w:rsidR="000D3334" w:rsidRDefault="000D3334" w:rsidP="00F3634B">
            <w:pPr>
              <w:widowControl/>
              <w:jc w:val="center"/>
              <w:textAlignment w:val="center"/>
              <w:rPr>
                <w:b/>
                <w:bCs/>
                <w:szCs w:val="21"/>
              </w:rPr>
            </w:pPr>
            <w:r>
              <w:rPr>
                <w:rFonts w:hint="eastAsia"/>
                <w:b/>
                <w:bCs/>
                <w:color w:val="000000"/>
                <w:szCs w:val="21"/>
                <w:lang w:bidi="ar"/>
              </w:rPr>
              <w:t>截至</w:t>
            </w:r>
            <w:r>
              <w:rPr>
                <w:b/>
                <w:bCs/>
                <w:color w:val="000000"/>
                <w:szCs w:val="21"/>
                <w:lang w:bidi="ar"/>
              </w:rPr>
              <w:t>2023</w:t>
            </w:r>
            <w:r>
              <w:rPr>
                <w:b/>
                <w:bCs/>
                <w:color w:val="000000"/>
                <w:szCs w:val="21"/>
                <w:lang w:bidi="ar"/>
              </w:rPr>
              <w:t>年末</w:t>
            </w:r>
          </w:p>
        </w:tc>
        <w:tc>
          <w:tcPr>
            <w:tcW w:w="841"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rFonts w:hint="eastAsia"/>
                <w:b/>
                <w:bCs/>
                <w:color w:val="000000"/>
                <w:szCs w:val="21"/>
                <w:lang w:bidi="ar"/>
              </w:rPr>
              <w:t>截至</w:t>
            </w:r>
            <w:r>
              <w:rPr>
                <w:b/>
                <w:bCs/>
                <w:color w:val="000000"/>
                <w:szCs w:val="21"/>
                <w:lang w:bidi="ar"/>
              </w:rPr>
              <w:t>202</w:t>
            </w:r>
            <w:r>
              <w:rPr>
                <w:rFonts w:hint="eastAsia"/>
                <w:b/>
                <w:bCs/>
                <w:color w:val="000000"/>
                <w:szCs w:val="21"/>
                <w:lang w:bidi="ar"/>
              </w:rPr>
              <w:t>4</w:t>
            </w:r>
            <w:r>
              <w:rPr>
                <w:b/>
                <w:bCs/>
                <w:color w:val="000000"/>
                <w:szCs w:val="21"/>
                <w:lang w:bidi="ar"/>
              </w:rPr>
              <w:t>年末</w:t>
            </w:r>
          </w:p>
        </w:tc>
      </w:tr>
      <w:tr w:rsidR="000D3334" w:rsidTr="00F3634B">
        <w:trPr>
          <w:trHeight w:val="371"/>
          <w:tblHeader/>
        </w:trPr>
        <w:tc>
          <w:tcPr>
            <w:tcW w:w="162" w:type="pct"/>
            <w:vMerge/>
            <w:vAlign w:val="center"/>
          </w:tcPr>
          <w:p w:rsidR="000D3334" w:rsidRDefault="000D3334" w:rsidP="00F3634B">
            <w:pPr>
              <w:widowControl/>
              <w:jc w:val="left"/>
              <w:rPr>
                <w:b/>
                <w:bCs/>
                <w:color w:val="000000"/>
                <w:szCs w:val="21"/>
              </w:rPr>
            </w:pPr>
          </w:p>
        </w:tc>
        <w:tc>
          <w:tcPr>
            <w:tcW w:w="1064" w:type="pct"/>
            <w:vMerge/>
            <w:vAlign w:val="center"/>
          </w:tcPr>
          <w:p w:rsidR="000D3334" w:rsidRDefault="000D3334" w:rsidP="00F3634B">
            <w:pPr>
              <w:widowControl/>
              <w:jc w:val="left"/>
              <w:rPr>
                <w:b/>
                <w:bCs/>
                <w:color w:val="000000"/>
                <w:szCs w:val="21"/>
              </w:rPr>
            </w:pPr>
          </w:p>
        </w:tc>
        <w:tc>
          <w:tcPr>
            <w:tcW w:w="41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应收账款</w:t>
            </w:r>
            <w:r>
              <w:rPr>
                <w:rFonts w:hint="eastAsia"/>
                <w:b/>
                <w:bCs/>
                <w:color w:val="000000"/>
                <w:szCs w:val="21"/>
                <w:lang w:bidi="ar"/>
              </w:rPr>
              <w:t>余额</w:t>
            </w:r>
          </w:p>
        </w:tc>
        <w:tc>
          <w:tcPr>
            <w:tcW w:w="41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41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2022</w:t>
            </w:r>
            <w:r>
              <w:rPr>
                <w:b/>
                <w:bCs/>
                <w:color w:val="000000"/>
                <w:szCs w:val="21"/>
              </w:rPr>
              <w:t>年</w:t>
            </w:r>
          </w:p>
        </w:tc>
        <w:tc>
          <w:tcPr>
            <w:tcW w:w="41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2021</w:t>
            </w:r>
            <w:r>
              <w:rPr>
                <w:b/>
                <w:bCs/>
                <w:color w:val="000000"/>
                <w:szCs w:val="21"/>
              </w:rPr>
              <w:t>年</w:t>
            </w:r>
          </w:p>
        </w:tc>
        <w:tc>
          <w:tcPr>
            <w:tcW w:w="419"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2020</w:t>
            </w:r>
            <w:r>
              <w:rPr>
                <w:b/>
                <w:bCs/>
                <w:color w:val="000000"/>
                <w:szCs w:val="21"/>
              </w:rPr>
              <w:t>年及以前</w:t>
            </w:r>
          </w:p>
        </w:tc>
        <w:tc>
          <w:tcPr>
            <w:tcW w:w="419" w:type="pct"/>
            <w:shd w:val="clear" w:color="auto" w:fill="D9D9D9" w:themeFill="background1" w:themeFillShade="D9"/>
            <w:vAlign w:val="center"/>
          </w:tcPr>
          <w:p w:rsidR="000D3334" w:rsidRDefault="000D3334" w:rsidP="00F3634B">
            <w:pPr>
              <w:widowControl/>
              <w:jc w:val="center"/>
              <w:textAlignment w:val="center"/>
              <w:rPr>
                <w:b/>
                <w:bCs/>
                <w:szCs w:val="21"/>
              </w:rPr>
            </w:pPr>
            <w:r>
              <w:rPr>
                <w:b/>
                <w:bCs/>
                <w:color w:val="000000"/>
                <w:szCs w:val="21"/>
                <w:lang w:bidi="ar"/>
              </w:rPr>
              <w:t>应收账款</w:t>
            </w:r>
            <w:r>
              <w:rPr>
                <w:rFonts w:hint="eastAsia"/>
                <w:b/>
                <w:bCs/>
                <w:color w:val="000000"/>
                <w:szCs w:val="21"/>
                <w:lang w:bidi="ar"/>
              </w:rPr>
              <w:t>余额</w:t>
            </w:r>
          </w:p>
        </w:tc>
        <w:tc>
          <w:tcPr>
            <w:tcW w:w="419" w:type="pct"/>
            <w:shd w:val="clear" w:color="auto" w:fill="D9D9D9" w:themeFill="background1" w:themeFillShade="D9"/>
            <w:vAlign w:val="center"/>
          </w:tcPr>
          <w:p w:rsidR="000D3334" w:rsidRDefault="000D3334" w:rsidP="00F3634B">
            <w:pPr>
              <w:widowControl/>
              <w:jc w:val="center"/>
              <w:textAlignment w:val="center"/>
              <w:rPr>
                <w:b/>
                <w:bCs/>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419"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应收账款</w:t>
            </w:r>
            <w:r>
              <w:rPr>
                <w:rFonts w:hint="eastAsia"/>
                <w:b/>
                <w:bCs/>
                <w:color w:val="000000"/>
                <w:szCs w:val="21"/>
                <w:lang w:bidi="ar"/>
              </w:rPr>
              <w:t>余额</w:t>
            </w:r>
          </w:p>
        </w:tc>
        <w:tc>
          <w:tcPr>
            <w:tcW w:w="422"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1</w:t>
            </w:r>
          </w:p>
        </w:tc>
        <w:tc>
          <w:tcPr>
            <w:tcW w:w="1064" w:type="pct"/>
            <w:vAlign w:val="center"/>
          </w:tcPr>
          <w:p w:rsidR="000D3334" w:rsidRDefault="000D3334" w:rsidP="00F3634B">
            <w:pPr>
              <w:widowControl/>
              <w:jc w:val="left"/>
              <w:textAlignment w:val="center"/>
              <w:rPr>
                <w:szCs w:val="21"/>
              </w:rPr>
            </w:pPr>
            <w:r>
              <w:rPr>
                <w:color w:val="000000"/>
                <w:szCs w:val="21"/>
                <w:lang w:bidi="ar"/>
              </w:rPr>
              <w:t>宁波</w:t>
            </w:r>
            <w:proofErr w:type="gramStart"/>
            <w:r>
              <w:rPr>
                <w:color w:val="000000"/>
                <w:szCs w:val="21"/>
                <w:lang w:bidi="ar"/>
              </w:rPr>
              <w:t>祥</w:t>
            </w:r>
            <w:proofErr w:type="gramEnd"/>
            <w:r>
              <w:rPr>
                <w:color w:val="000000"/>
                <w:szCs w:val="21"/>
                <w:lang w:bidi="ar"/>
              </w:rPr>
              <w:t>源旅游开发有限公司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10,179.03</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261.08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7,451.90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2,727.14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19" w:type="pct"/>
            <w:vAlign w:val="center"/>
          </w:tcPr>
          <w:p w:rsidR="000D3334" w:rsidRDefault="000D3334" w:rsidP="00F3634B">
            <w:pPr>
              <w:widowControl/>
              <w:jc w:val="right"/>
              <w:textAlignment w:val="center"/>
              <w:rPr>
                <w:szCs w:val="21"/>
              </w:rPr>
            </w:pPr>
            <w:r>
              <w:rPr>
                <w:color w:val="000000"/>
                <w:szCs w:val="21"/>
                <w:lang w:bidi="ar"/>
              </w:rPr>
              <w:t>284.32</w:t>
            </w:r>
          </w:p>
        </w:tc>
        <w:tc>
          <w:tcPr>
            <w:tcW w:w="419" w:type="pct"/>
            <w:vAlign w:val="center"/>
          </w:tcPr>
          <w:p w:rsidR="000D3334" w:rsidRDefault="000D3334" w:rsidP="00F3634B">
            <w:pPr>
              <w:widowControl/>
              <w:jc w:val="right"/>
              <w:textAlignment w:val="center"/>
              <w:rPr>
                <w:szCs w:val="21"/>
              </w:rPr>
            </w:pPr>
            <w:r>
              <w:rPr>
                <w:color w:val="000000"/>
                <w:szCs w:val="21"/>
                <w:lang w:bidi="ar"/>
              </w:rPr>
              <w:t>6.62</w:t>
            </w:r>
          </w:p>
        </w:tc>
        <w:tc>
          <w:tcPr>
            <w:tcW w:w="419" w:type="pct"/>
            <w:vAlign w:val="center"/>
          </w:tcPr>
          <w:p w:rsidR="000D3334" w:rsidRDefault="000D3334" w:rsidP="00F3634B">
            <w:pPr>
              <w:widowControl/>
              <w:jc w:val="right"/>
              <w:textAlignment w:val="center"/>
              <w:rPr>
                <w:szCs w:val="21"/>
              </w:rPr>
            </w:pPr>
            <w:r>
              <w:rPr>
                <w:color w:val="000000"/>
                <w:szCs w:val="21"/>
                <w:lang w:bidi="ar"/>
              </w:rPr>
              <w:t>207.36</w:t>
            </w:r>
          </w:p>
        </w:tc>
        <w:tc>
          <w:tcPr>
            <w:tcW w:w="422" w:type="pct"/>
            <w:vAlign w:val="center"/>
          </w:tcPr>
          <w:p w:rsidR="000D3334" w:rsidRDefault="000D3334" w:rsidP="00F3634B">
            <w:pPr>
              <w:widowControl/>
              <w:jc w:val="right"/>
              <w:textAlignment w:val="center"/>
              <w:rPr>
                <w:szCs w:val="21"/>
              </w:rPr>
            </w:pPr>
            <w:r>
              <w:rPr>
                <w:color w:val="000000"/>
                <w:szCs w:val="21"/>
                <w:lang w:bidi="ar"/>
              </w:rPr>
              <w:t>7.61</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2</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五河</w:t>
            </w:r>
            <w:proofErr w:type="gramStart"/>
            <w:r>
              <w:rPr>
                <w:color w:val="000000"/>
                <w:szCs w:val="21"/>
                <w:lang w:bidi="ar"/>
              </w:rPr>
              <w:t>祥</w:t>
            </w:r>
            <w:proofErr w:type="gramEnd"/>
            <w:r>
              <w:rPr>
                <w:color w:val="000000"/>
                <w:szCs w:val="21"/>
                <w:lang w:bidi="ar"/>
              </w:rPr>
              <w:t>源投资开发有限公司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7,847.29</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228.96</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5,055.13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2,791.33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0.83 </w:t>
            </w:r>
          </w:p>
        </w:tc>
        <w:tc>
          <w:tcPr>
            <w:tcW w:w="419" w:type="pct"/>
            <w:vAlign w:val="center"/>
          </w:tcPr>
          <w:p w:rsidR="000D3334" w:rsidRDefault="000D3334" w:rsidP="00F3634B">
            <w:pPr>
              <w:widowControl/>
              <w:jc w:val="right"/>
              <w:textAlignment w:val="center"/>
              <w:rPr>
                <w:szCs w:val="21"/>
              </w:rPr>
            </w:pPr>
            <w:r>
              <w:rPr>
                <w:color w:val="000000"/>
                <w:szCs w:val="21"/>
                <w:lang w:bidi="ar"/>
              </w:rPr>
              <w:t>3,206.19</w:t>
            </w:r>
          </w:p>
        </w:tc>
        <w:tc>
          <w:tcPr>
            <w:tcW w:w="419" w:type="pct"/>
            <w:vAlign w:val="center"/>
          </w:tcPr>
          <w:p w:rsidR="000D3334" w:rsidRDefault="000D3334" w:rsidP="00F3634B">
            <w:pPr>
              <w:widowControl/>
              <w:jc w:val="right"/>
              <w:textAlignment w:val="center"/>
              <w:rPr>
                <w:szCs w:val="21"/>
              </w:rPr>
            </w:pPr>
            <w:r>
              <w:rPr>
                <w:color w:val="000000"/>
                <w:szCs w:val="21"/>
                <w:lang w:bidi="ar"/>
              </w:rPr>
              <w:t>96.38</w:t>
            </w:r>
          </w:p>
        </w:tc>
        <w:tc>
          <w:tcPr>
            <w:tcW w:w="419" w:type="pct"/>
            <w:vAlign w:val="center"/>
          </w:tcPr>
          <w:p w:rsidR="000D3334" w:rsidRDefault="000D3334" w:rsidP="00F3634B">
            <w:pPr>
              <w:widowControl/>
              <w:jc w:val="right"/>
              <w:textAlignment w:val="center"/>
              <w:rPr>
                <w:szCs w:val="21"/>
              </w:rPr>
            </w:pPr>
            <w:r>
              <w:rPr>
                <w:color w:val="000000"/>
                <w:szCs w:val="21"/>
                <w:lang w:bidi="ar"/>
              </w:rPr>
              <w:t>2,624.85</w:t>
            </w:r>
          </w:p>
        </w:tc>
        <w:tc>
          <w:tcPr>
            <w:tcW w:w="422" w:type="pct"/>
            <w:vAlign w:val="center"/>
          </w:tcPr>
          <w:p w:rsidR="000D3334" w:rsidRDefault="000D3334" w:rsidP="00F3634B">
            <w:pPr>
              <w:widowControl/>
              <w:jc w:val="right"/>
              <w:textAlignment w:val="center"/>
              <w:rPr>
                <w:szCs w:val="21"/>
              </w:rPr>
            </w:pPr>
            <w:r>
              <w:rPr>
                <w:color w:val="000000"/>
                <w:szCs w:val="21"/>
                <w:lang w:bidi="ar"/>
              </w:rPr>
              <w:t>111.61</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3</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阜南县城北</w:t>
            </w:r>
            <w:proofErr w:type="gramStart"/>
            <w:r>
              <w:rPr>
                <w:color w:val="000000"/>
                <w:szCs w:val="21"/>
                <w:lang w:bidi="ar"/>
              </w:rPr>
              <w:t>祥</w:t>
            </w:r>
            <w:proofErr w:type="gramEnd"/>
            <w:r>
              <w:rPr>
                <w:color w:val="000000"/>
                <w:szCs w:val="21"/>
                <w:lang w:bidi="ar"/>
              </w:rPr>
              <w:t>源房地产开发有限公司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5,721.18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115.68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4,985.72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734.88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0.59 </w:t>
            </w:r>
          </w:p>
        </w:tc>
        <w:tc>
          <w:tcPr>
            <w:tcW w:w="419" w:type="pct"/>
            <w:vAlign w:val="center"/>
          </w:tcPr>
          <w:p w:rsidR="000D3334" w:rsidRDefault="000D3334" w:rsidP="00F3634B">
            <w:pPr>
              <w:widowControl/>
              <w:jc w:val="right"/>
              <w:textAlignment w:val="center"/>
              <w:rPr>
                <w:szCs w:val="21"/>
              </w:rPr>
            </w:pPr>
            <w:r>
              <w:rPr>
                <w:color w:val="000000"/>
                <w:szCs w:val="21"/>
                <w:lang w:bidi="ar"/>
              </w:rPr>
              <w:t>752.70</w:t>
            </w:r>
          </w:p>
        </w:tc>
        <w:tc>
          <w:tcPr>
            <w:tcW w:w="419" w:type="pct"/>
            <w:vAlign w:val="center"/>
          </w:tcPr>
          <w:p w:rsidR="000D3334" w:rsidRDefault="000D3334" w:rsidP="00F3634B">
            <w:pPr>
              <w:widowControl/>
              <w:jc w:val="right"/>
              <w:textAlignment w:val="center"/>
              <w:rPr>
                <w:szCs w:val="21"/>
              </w:rPr>
            </w:pPr>
            <w:r>
              <w:rPr>
                <w:color w:val="000000"/>
                <w:szCs w:val="21"/>
                <w:lang w:bidi="ar"/>
              </w:rPr>
              <w:t>46.88</w:t>
            </w:r>
          </w:p>
        </w:tc>
        <w:tc>
          <w:tcPr>
            <w:tcW w:w="419" w:type="pct"/>
            <w:vAlign w:val="center"/>
          </w:tcPr>
          <w:p w:rsidR="000D3334" w:rsidRDefault="000D3334" w:rsidP="00F3634B">
            <w:pPr>
              <w:widowControl/>
              <w:jc w:val="right"/>
              <w:textAlignment w:val="center"/>
              <w:rPr>
                <w:szCs w:val="21"/>
              </w:rPr>
            </w:pPr>
            <w:r>
              <w:rPr>
                <w:color w:val="000000"/>
                <w:szCs w:val="21"/>
                <w:lang w:bidi="ar"/>
              </w:rPr>
              <w:t>227.90</w:t>
            </w:r>
          </w:p>
        </w:tc>
        <w:tc>
          <w:tcPr>
            <w:tcW w:w="422" w:type="pct"/>
            <w:vAlign w:val="center"/>
          </w:tcPr>
          <w:p w:rsidR="000D3334" w:rsidRDefault="000D3334" w:rsidP="00F3634B">
            <w:pPr>
              <w:widowControl/>
              <w:jc w:val="right"/>
              <w:textAlignment w:val="center"/>
              <w:rPr>
                <w:szCs w:val="21"/>
              </w:rPr>
            </w:pPr>
            <w:r>
              <w:rPr>
                <w:color w:val="000000"/>
                <w:szCs w:val="21"/>
                <w:lang w:bidi="ar"/>
              </w:rPr>
              <w:t>17.35</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4</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阜南县</w:t>
            </w:r>
            <w:proofErr w:type="gramStart"/>
            <w:r>
              <w:rPr>
                <w:color w:val="000000"/>
                <w:szCs w:val="21"/>
                <w:lang w:bidi="ar"/>
              </w:rPr>
              <w:t>祥</w:t>
            </w:r>
            <w:proofErr w:type="gramEnd"/>
            <w:r>
              <w:rPr>
                <w:color w:val="000000"/>
                <w:szCs w:val="21"/>
                <w:lang w:bidi="ar"/>
              </w:rPr>
              <w:t>源生态文化旅游开发有限公司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5,939.44</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302.08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896.83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4,817.19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225.42 </w:t>
            </w:r>
          </w:p>
        </w:tc>
        <w:tc>
          <w:tcPr>
            <w:tcW w:w="419" w:type="pct"/>
            <w:vAlign w:val="center"/>
          </w:tcPr>
          <w:p w:rsidR="000D3334" w:rsidRDefault="000D3334" w:rsidP="00F3634B">
            <w:pPr>
              <w:widowControl/>
              <w:jc w:val="right"/>
              <w:textAlignment w:val="center"/>
              <w:rPr>
                <w:szCs w:val="21"/>
              </w:rPr>
            </w:pPr>
            <w:r>
              <w:rPr>
                <w:color w:val="000000"/>
                <w:szCs w:val="21"/>
                <w:lang w:bidi="ar"/>
              </w:rPr>
              <w:t>3,595.40</w:t>
            </w:r>
          </w:p>
        </w:tc>
        <w:tc>
          <w:tcPr>
            <w:tcW w:w="419" w:type="pct"/>
            <w:vAlign w:val="center"/>
          </w:tcPr>
          <w:p w:rsidR="000D3334" w:rsidRDefault="000D3334" w:rsidP="00F3634B">
            <w:pPr>
              <w:widowControl/>
              <w:jc w:val="right"/>
              <w:textAlignment w:val="center"/>
              <w:rPr>
                <w:szCs w:val="21"/>
              </w:rPr>
            </w:pPr>
            <w:r>
              <w:rPr>
                <w:color w:val="000000"/>
                <w:szCs w:val="21"/>
                <w:lang w:bidi="ar"/>
              </w:rPr>
              <w:t>475.17</w:t>
            </w:r>
          </w:p>
        </w:tc>
        <w:tc>
          <w:tcPr>
            <w:tcW w:w="419" w:type="pct"/>
            <w:vAlign w:val="center"/>
          </w:tcPr>
          <w:p w:rsidR="000D3334" w:rsidRDefault="000D3334" w:rsidP="00F3634B">
            <w:pPr>
              <w:widowControl/>
              <w:jc w:val="right"/>
              <w:textAlignment w:val="center"/>
              <w:rPr>
                <w:szCs w:val="21"/>
              </w:rPr>
            </w:pPr>
            <w:r>
              <w:rPr>
                <w:color w:val="000000"/>
                <w:szCs w:val="21"/>
                <w:lang w:bidi="ar"/>
              </w:rPr>
              <w:t>281.17</w:t>
            </w:r>
          </w:p>
        </w:tc>
        <w:tc>
          <w:tcPr>
            <w:tcW w:w="422" w:type="pct"/>
            <w:vAlign w:val="center"/>
          </w:tcPr>
          <w:p w:rsidR="000D3334" w:rsidRDefault="000D3334" w:rsidP="00F3634B">
            <w:pPr>
              <w:widowControl/>
              <w:jc w:val="right"/>
              <w:textAlignment w:val="center"/>
              <w:rPr>
                <w:szCs w:val="21"/>
              </w:rPr>
            </w:pPr>
            <w:r>
              <w:rPr>
                <w:color w:val="000000"/>
                <w:szCs w:val="21"/>
                <w:lang w:bidi="ar"/>
              </w:rPr>
              <w:t>16.28</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5</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安徽新祥源房地产开发有限公司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4,489.08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75.88</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4,293.09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196.00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19" w:type="pct"/>
            <w:vAlign w:val="center"/>
          </w:tcPr>
          <w:p w:rsidR="000D3334" w:rsidRDefault="000D3334" w:rsidP="00F3634B">
            <w:pPr>
              <w:widowControl/>
              <w:jc w:val="right"/>
              <w:textAlignment w:val="center"/>
              <w:rPr>
                <w:szCs w:val="21"/>
              </w:rPr>
            </w:pPr>
            <w:r>
              <w:rPr>
                <w:color w:val="000000"/>
                <w:szCs w:val="21"/>
                <w:lang w:bidi="ar"/>
              </w:rPr>
              <w:t>575.28</w:t>
            </w:r>
          </w:p>
        </w:tc>
        <w:tc>
          <w:tcPr>
            <w:tcW w:w="419" w:type="pct"/>
            <w:vAlign w:val="center"/>
          </w:tcPr>
          <w:p w:rsidR="000D3334" w:rsidRDefault="000D3334" w:rsidP="00F3634B">
            <w:pPr>
              <w:widowControl/>
              <w:jc w:val="right"/>
              <w:textAlignment w:val="center"/>
              <w:rPr>
                <w:szCs w:val="21"/>
              </w:rPr>
            </w:pPr>
            <w:r>
              <w:rPr>
                <w:color w:val="000000"/>
                <w:szCs w:val="21"/>
                <w:lang w:bidi="ar"/>
              </w:rPr>
              <w:t>13.97</w:t>
            </w:r>
          </w:p>
        </w:tc>
        <w:tc>
          <w:tcPr>
            <w:tcW w:w="419" w:type="pct"/>
            <w:vAlign w:val="center"/>
          </w:tcPr>
          <w:p w:rsidR="000D3334" w:rsidRDefault="000D3334" w:rsidP="00F3634B">
            <w:pPr>
              <w:widowControl/>
              <w:jc w:val="right"/>
              <w:textAlignment w:val="center"/>
              <w:rPr>
                <w:szCs w:val="21"/>
              </w:rPr>
            </w:pPr>
            <w:r>
              <w:rPr>
                <w:color w:val="000000"/>
                <w:szCs w:val="21"/>
                <w:lang w:bidi="ar"/>
              </w:rPr>
              <w:t>412.44</w:t>
            </w:r>
          </w:p>
        </w:tc>
        <w:tc>
          <w:tcPr>
            <w:tcW w:w="422" w:type="pct"/>
            <w:vAlign w:val="center"/>
          </w:tcPr>
          <w:p w:rsidR="000D3334" w:rsidRDefault="000D3334" w:rsidP="00F3634B">
            <w:pPr>
              <w:widowControl/>
              <w:jc w:val="right"/>
              <w:textAlignment w:val="center"/>
              <w:rPr>
                <w:szCs w:val="21"/>
              </w:rPr>
            </w:pPr>
            <w:r>
              <w:rPr>
                <w:color w:val="000000"/>
                <w:szCs w:val="21"/>
                <w:lang w:bidi="ar"/>
              </w:rPr>
              <w:t>23.90</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6</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合肥祥瀚房地产开发有限公司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4,433.31</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69.15</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4,388.17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45.13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19" w:type="pct"/>
            <w:vAlign w:val="center"/>
          </w:tcPr>
          <w:p w:rsidR="000D3334" w:rsidRDefault="000D3334" w:rsidP="00F3634B">
            <w:pPr>
              <w:widowControl/>
              <w:jc w:val="right"/>
              <w:textAlignment w:val="center"/>
              <w:rPr>
                <w:szCs w:val="21"/>
              </w:rPr>
            </w:pPr>
            <w:r>
              <w:rPr>
                <w:color w:val="000000"/>
                <w:szCs w:val="21"/>
                <w:lang w:bidi="ar"/>
              </w:rPr>
              <w:t>-</w:t>
            </w:r>
          </w:p>
        </w:tc>
        <w:tc>
          <w:tcPr>
            <w:tcW w:w="419" w:type="pct"/>
            <w:vAlign w:val="center"/>
          </w:tcPr>
          <w:p w:rsidR="000D3334" w:rsidRDefault="000D3334" w:rsidP="00F3634B">
            <w:pPr>
              <w:widowControl/>
              <w:jc w:val="right"/>
              <w:textAlignment w:val="center"/>
              <w:rPr>
                <w:szCs w:val="21"/>
              </w:rPr>
            </w:pPr>
            <w:r>
              <w:rPr>
                <w:color w:val="000000"/>
                <w:szCs w:val="21"/>
                <w:lang w:bidi="ar"/>
              </w:rPr>
              <w:t>-</w:t>
            </w:r>
          </w:p>
        </w:tc>
        <w:tc>
          <w:tcPr>
            <w:tcW w:w="419" w:type="pct"/>
            <w:vAlign w:val="center"/>
          </w:tcPr>
          <w:p w:rsidR="000D3334" w:rsidRDefault="000D3334" w:rsidP="00F3634B">
            <w:pPr>
              <w:widowControl/>
              <w:jc w:val="right"/>
              <w:textAlignment w:val="center"/>
              <w:rPr>
                <w:szCs w:val="21"/>
              </w:rPr>
            </w:pPr>
            <w:r>
              <w:rPr>
                <w:color w:val="000000"/>
                <w:szCs w:val="21"/>
                <w:lang w:bidi="ar"/>
              </w:rPr>
              <w:t>-</w:t>
            </w:r>
          </w:p>
        </w:tc>
        <w:tc>
          <w:tcPr>
            <w:tcW w:w="422"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7</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上海万锦置业发展有限公司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3,650.92</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86.61</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2,853.02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797.90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19" w:type="pct"/>
            <w:vAlign w:val="center"/>
          </w:tcPr>
          <w:p w:rsidR="000D3334" w:rsidRDefault="000D3334" w:rsidP="00F3634B">
            <w:pPr>
              <w:widowControl/>
              <w:jc w:val="right"/>
              <w:textAlignment w:val="center"/>
              <w:rPr>
                <w:szCs w:val="21"/>
              </w:rPr>
            </w:pPr>
            <w:r>
              <w:rPr>
                <w:color w:val="000000"/>
                <w:szCs w:val="21"/>
                <w:lang w:bidi="ar"/>
              </w:rPr>
              <w:t>392.54</w:t>
            </w:r>
          </w:p>
        </w:tc>
        <w:tc>
          <w:tcPr>
            <w:tcW w:w="419" w:type="pct"/>
            <w:vAlign w:val="center"/>
          </w:tcPr>
          <w:p w:rsidR="000D3334" w:rsidRDefault="000D3334" w:rsidP="00F3634B">
            <w:pPr>
              <w:widowControl/>
              <w:jc w:val="right"/>
              <w:textAlignment w:val="center"/>
              <w:rPr>
                <w:szCs w:val="21"/>
              </w:rPr>
            </w:pPr>
            <w:r>
              <w:rPr>
                <w:color w:val="000000"/>
                <w:szCs w:val="21"/>
                <w:lang w:bidi="ar"/>
              </w:rPr>
              <w:t>9.15</w:t>
            </w:r>
          </w:p>
        </w:tc>
        <w:tc>
          <w:tcPr>
            <w:tcW w:w="419" w:type="pct"/>
            <w:vAlign w:val="center"/>
          </w:tcPr>
          <w:p w:rsidR="000D3334" w:rsidRDefault="000D3334" w:rsidP="00F3634B">
            <w:pPr>
              <w:widowControl/>
              <w:jc w:val="right"/>
              <w:textAlignment w:val="center"/>
              <w:rPr>
                <w:szCs w:val="21"/>
              </w:rPr>
            </w:pPr>
            <w:r>
              <w:rPr>
                <w:color w:val="000000"/>
                <w:szCs w:val="21"/>
                <w:lang w:bidi="ar"/>
              </w:rPr>
              <w:t>-</w:t>
            </w:r>
          </w:p>
        </w:tc>
        <w:tc>
          <w:tcPr>
            <w:tcW w:w="422"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8</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安徽祥源公园城开发有限公司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2,622.51</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69.13</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2,156.75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454.40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11.36 </w:t>
            </w:r>
          </w:p>
        </w:tc>
        <w:tc>
          <w:tcPr>
            <w:tcW w:w="419" w:type="pct"/>
            <w:vAlign w:val="center"/>
          </w:tcPr>
          <w:p w:rsidR="000D3334" w:rsidRDefault="000D3334" w:rsidP="00F3634B">
            <w:pPr>
              <w:widowControl/>
              <w:jc w:val="right"/>
              <w:textAlignment w:val="center"/>
              <w:rPr>
                <w:szCs w:val="21"/>
              </w:rPr>
            </w:pPr>
            <w:r>
              <w:rPr>
                <w:color w:val="000000"/>
                <w:szCs w:val="21"/>
                <w:lang w:bidi="ar"/>
              </w:rPr>
              <w:t>1,764.76</w:t>
            </w:r>
          </w:p>
        </w:tc>
        <w:tc>
          <w:tcPr>
            <w:tcW w:w="419" w:type="pct"/>
            <w:vAlign w:val="center"/>
          </w:tcPr>
          <w:p w:rsidR="000D3334" w:rsidRDefault="000D3334" w:rsidP="00F3634B">
            <w:pPr>
              <w:widowControl/>
              <w:jc w:val="right"/>
              <w:textAlignment w:val="center"/>
              <w:rPr>
                <w:szCs w:val="21"/>
              </w:rPr>
            </w:pPr>
            <w:r>
              <w:rPr>
                <w:color w:val="000000"/>
                <w:szCs w:val="21"/>
                <w:lang w:bidi="ar"/>
              </w:rPr>
              <w:t>51.87</w:t>
            </w:r>
          </w:p>
        </w:tc>
        <w:tc>
          <w:tcPr>
            <w:tcW w:w="419" w:type="pct"/>
            <w:vAlign w:val="center"/>
          </w:tcPr>
          <w:p w:rsidR="000D3334" w:rsidRDefault="000D3334" w:rsidP="00F3634B">
            <w:pPr>
              <w:widowControl/>
              <w:jc w:val="right"/>
              <w:textAlignment w:val="center"/>
              <w:rPr>
                <w:szCs w:val="21"/>
              </w:rPr>
            </w:pPr>
            <w:r>
              <w:rPr>
                <w:color w:val="000000"/>
                <w:szCs w:val="21"/>
                <w:lang w:bidi="ar"/>
              </w:rPr>
              <w:t>720.55</w:t>
            </w:r>
          </w:p>
        </w:tc>
        <w:tc>
          <w:tcPr>
            <w:tcW w:w="422" w:type="pct"/>
            <w:vAlign w:val="center"/>
          </w:tcPr>
          <w:p w:rsidR="000D3334" w:rsidRDefault="000D3334" w:rsidP="00F3634B">
            <w:pPr>
              <w:widowControl/>
              <w:jc w:val="right"/>
              <w:textAlignment w:val="center"/>
              <w:rPr>
                <w:szCs w:val="21"/>
              </w:rPr>
            </w:pPr>
            <w:r>
              <w:rPr>
                <w:color w:val="000000"/>
                <w:szCs w:val="21"/>
                <w:lang w:bidi="ar"/>
              </w:rPr>
              <w:t>28.93</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9</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绍兴市</w:t>
            </w:r>
            <w:proofErr w:type="gramStart"/>
            <w:r>
              <w:rPr>
                <w:color w:val="000000"/>
                <w:szCs w:val="21"/>
                <w:lang w:bidi="ar"/>
              </w:rPr>
              <w:t>祥源绿信</w:t>
            </w:r>
            <w:proofErr w:type="gramEnd"/>
            <w:r>
              <w:rPr>
                <w:color w:val="000000"/>
                <w:szCs w:val="21"/>
                <w:lang w:bidi="ar"/>
              </w:rPr>
              <w:t>置业有限公司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2,673.24</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62.62</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2,109.43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563.81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19" w:type="pct"/>
            <w:vAlign w:val="center"/>
          </w:tcPr>
          <w:p w:rsidR="000D3334" w:rsidRDefault="000D3334" w:rsidP="00F3634B">
            <w:pPr>
              <w:widowControl/>
              <w:jc w:val="right"/>
              <w:textAlignment w:val="center"/>
              <w:rPr>
                <w:szCs w:val="21"/>
              </w:rPr>
            </w:pPr>
            <w:r>
              <w:rPr>
                <w:color w:val="000000"/>
                <w:szCs w:val="21"/>
                <w:lang w:bidi="ar"/>
              </w:rPr>
              <w:t>1,754.80</w:t>
            </w:r>
          </w:p>
        </w:tc>
        <w:tc>
          <w:tcPr>
            <w:tcW w:w="419" w:type="pct"/>
            <w:vAlign w:val="center"/>
          </w:tcPr>
          <w:p w:rsidR="000D3334" w:rsidRDefault="000D3334" w:rsidP="00F3634B">
            <w:pPr>
              <w:widowControl/>
              <w:jc w:val="right"/>
              <w:textAlignment w:val="center"/>
              <w:rPr>
                <w:szCs w:val="21"/>
              </w:rPr>
            </w:pPr>
            <w:r>
              <w:rPr>
                <w:color w:val="000000"/>
                <w:szCs w:val="21"/>
                <w:lang w:bidi="ar"/>
              </w:rPr>
              <w:t>40.89</w:t>
            </w:r>
          </w:p>
        </w:tc>
        <w:tc>
          <w:tcPr>
            <w:tcW w:w="419" w:type="pct"/>
            <w:vAlign w:val="center"/>
          </w:tcPr>
          <w:p w:rsidR="000D3334" w:rsidRDefault="000D3334" w:rsidP="00F3634B">
            <w:pPr>
              <w:widowControl/>
              <w:jc w:val="right"/>
              <w:textAlignment w:val="center"/>
              <w:rPr>
                <w:szCs w:val="21"/>
              </w:rPr>
            </w:pPr>
            <w:r>
              <w:rPr>
                <w:color w:val="000000"/>
                <w:szCs w:val="21"/>
                <w:lang w:bidi="ar"/>
              </w:rPr>
              <w:t>-</w:t>
            </w:r>
          </w:p>
        </w:tc>
        <w:tc>
          <w:tcPr>
            <w:tcW w:w="422" w:type="pct"/>
            <w:vAlign w:val="center"/>
          </w:tcPr>
          <w:p w:rsidR="000D3334" w:rsidRDefault="000D3334" w:rsidP="00F3634B">
            <w:pPr>
              <w:widowControl/>
              <w:jc w:val="right"/>
              <w:textAlignment w:val="center"/>
              <w:rPr>
                <w:szCs w:val="21"/>
              </w:rPr>
            </w:pPr>
            <w:r>
              <w:rPr>
                <w:color w:val="000000"/>
                <w:szCs w:val="21"/>
                <w:lang w:bidi="ar"/>
              </w:rPr>
              <w:t>-</w:t>
            </w:r>
          </w:p>
        </w:tc>
      </w:tr>
      <w:tr w:rsidR="000D3334" w:rsidTr="00F3634B">
        <w:trPr>
          <w:trHeight w:val="397"/>
        </w:trPr>
        <w:tc>
          <w:tcPr>
            <w:tcW w:w="162" w:type="pct"/>
            <w:vAlign w:val="center"/>
          </w:tcPr>
          <w:p w:rsidR="000D3334" w:rsidRDefault="000D3334" w:rsidP="00F3634B">
            <w:pPr>
              <w:widowControl/>
              <w:jc w:val="center"/>
              <w:textAlignment w:val="center"/>
              <w:rPr>
                <w:color w:val="000000"/>
                <w:szCs w:val="21"/>
              </w:rPr>
            </w:pPr>
            <w:r>
              <w:rPr>
                <w:color w:val="000000"/>
                <w:szCs w:val="21"/>
                <w:lang w:bidi="ar"/>
              </w:rPr>
              <w:t>10</w:t>
            </w:r>
          </w:p>
        </w:tc>
        <w:tc>
          <w:tcPr>
            <w:tcW w:w="1064" w:type="pct"/>
            <w:vAlign w:val="center"/>
          </w:tcPr>
          <w:p w:rsidR="000D3334" w:rsidRDefault="000D3334" w:rsidP="00F3634B">
            <w:pPr>
              <w:widowControl/>
              <w:jc w:val="left"/>
              <w:textAlignment w:val="center"/>
              <w:rPr>
                <w:color w:val="000000"/>
                <w:szCs w:val="21"/>
                <w:lang w:bidi="ar"/>
              </w:rPr>
            </w:pPr>
            <w:r>
              <w:rPr>
                <w:color w:val="000000"/>
                <w:szCs w:val="21"/>
                <w:lang w:bidi="ar"/>
              </w:rPr>
              <w:t>安徽</w:t>
            </w:r>
            <w:proofErr w:type="gramStart"/>
            <w:r>
              <w:rPr>
                <w:color w:val="000000"/>
                <w:szCs w:val="21"/>
                <w:lang w:bidi="ar"/>
              </w:rPr>
              <w:t>祥</w:t>
            </w:r>
            <w:proofErr w:type="gramEnd"/>
            <w:r>
              <w:rPr>
                <w:color w:val="000000"/>
                <w:szCs w:val="21"/>
                <w:lang w:bidi="ar"/>
              </w:rPr>
              <w:t>源城市更新有限公司</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2,460.99</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198.36</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411.52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881.15 </w:t>
            </w:r>
          </w:p>
        </w:tc>
        <w:tc>
          <w:tcPr>
            <w:tcW w:w="419"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1,168.32 </w:t>
            </w:r>
          </w:p>
        </w:tc>
        <w:tc>
          <w:tcPr>
            <w:tcW w:w="419" w:type="pct"/>
            <w:vAlign w:val="center"/>
          </w:tcPr>
          <w:p w:rsidR="000D3334" w:rsidRDefault="000D3334" w:rsidP="00F3634B">
            <w:pPr>
              <w:widowControl/>
              <w:jc w:val="right"/>
              <w:textAlignment w:val="center"/>
              <w:rPr>
                <w:szCs w:val="21"/>
              </w:rPr>
            </w:pPr>
            <w:r>
              <w:rPr>
                <w:color w:val="000000"/>
                <w:szCs w:val="21"/>
                <w:lang w:bidi="ar"/>
              </w:rPr>
              <w:t>870.64</w:t>
            </w:r>
          </w:p>
        </w:tc>
        <w:tc>
          <w:tcPr>
            <w:tcW w:w="419" w:type="pct"/>
            <w:vAlign w:val="center"/>
          </w:tcPr>
          <w:p w:rsidR="000D3334" w:rsidRDefault="000D3334" w:rsidP="00F3634B">
            <w:pPr>
              <w:widowControl/>
              <w:jc w:val="right"/>
              <w:textAlignment w:val="center"/>
              <w:rPr>
                <w:szCs w:val="21"/>
              </w:rPr>
            </w:pPr>
            <w:r>
              <w:rPr>
                <w:color w:val="000000"/>
                <w:szCs w:val="21"/>
                <w:lang w:bidi="ar"/>
              </w:rPr>
              <w:t>66.75</w:t>
            </w:r>
          </w:p>
        </w:tc>
        <w:tc>
          <w:tcPr>
            <w:tcW w:w="419" w:type="pct"/>
            <w:vAlign w:val="center"/>
          </w:tcPr>
          <w:p w:rsidR="000D3334" w:rsidRDefault="000D3334" w:rsidP="00F3634B">
            <w:pPr>
              <w:widowControl/>
              <w:jc w:val="right"/>
              <w:textAlignment w:val="center"/>
              <w:rPr>
                <w:szCs w:val="21"/>
              </w:rPr>
            </w:pPr>
            <w:r>
              <w:rPr>
                <w:color w:val="000000"/>
                <w:szCs w:val="21"/>
                <w:lang w:bidi="ar"/>
              </w:rPr>
              <w:t>218.34</w:t>
            </w:r>
          </w:p>
        </w:tc>
        <w:tc>
          <w:tcPr>
            <w:tcW w:w="422" w:type="pct"/>
            <w:vAlign w:val="center"/>
          </w:tcPr>
          <w:p w:rsidR="000D3334" w:rsidRDefault="000D3334" w:rsidP="00F3634B">
            <w:pPr>
              <w:widowControl/>
              <w:jc w:val="right"/>
              <w:textAlignment w:val="center"/>
              <w:rPr>
                <w:szCs w:val="21"/>
              </w:rPr>
            </w:pPr>
            <w:r>
              <w:rPr>
                <w:color w:val="000000"/>
                <w:szCs w:val="21"/>
                <w:lang w:bidi="ar"/>
              </w:rPr>
              <w:t>11.46</w:t>
            </w:r>
          </w:p>
        </w:tc>
      </w:tr>
    </w:tbl>
    <w:p w:rsidR="000D3334" w:rsidRDefault="000D3334" w:rsidP="000D3334">
      <w:pPr>
        <w:widowControl/>
        <w:jc w:val="left"/>
        <w:rPr>
          <w:sz w:val="24"/>
        </w:rPr>
      </w:pPr>
      <w:r>
        <w:rPr>
          <w:sz w:val="24"/>
        </w:rPr>
        <w:br w:type="page"/>
      </w:r>
    </w:p>
    <w:p w:rsidR="000D3334" w:rsidRDefault="000D3334" w:rsidP="000D3334">
      <w:pPr>
        <w:spacing w:beforeLines="50" w:before="120" w:line="360" w:lineRule="auto"/>
        <w:ind w:firstLineChars="200" w:firstLine="480"/>
        <w:outlineLvl w:val="2"/>
        <w:rPr>
          <w:sz w:val="24"/>
        </w:rPr>
      </w:pPr>
      <w:r>
        <w:rPr>
          <w:rFonts w:hint="eastAsia"/>
          <w:sz w:val="24"/>
        </w:rPr>
        <w:lastRenderedPageBreak/>
        <w:t>3</w:t>
      </w:r>
      <w:r>
        <w:rPr>
          <w:rFonts w:hint="eastAsia"/>
          <w:sz w:val="24"/>
        </w:rPr>
        <w:t>、</w:t>
      </w:r>
      <w:r>
        <w:rPr>
          <w:rFonts w:hint="eastAsia"/>
          <w:sz w:val="24"/>
        </w:rPr>
        <w:t>2023</w:t>
      </w:r>
      <w:r>
        <w:rPr>
          <w:rFonts w:hint="eastAsia"/>
          <w:sz w:val="24"/>
        </w:rPr>
        <w:t>年末</w:t>
      </w:r>
    </w:p>
    <w:p w:rsidR="000D3334" w:rsidRPr="008E123F" w:rsidRDefault="000D3334" w:rsidP="000D3334">
      <w:pPr>
        <w:spacing w:beforeLines="50" w:before="120"/>
        <w:ind w:firstLineChars="200" w:firstLine="420"/>
        <w:jc w:val="right"/>
        <w:rPr>
          <w:szCs w:val="21"/>
        </w:rPr>
      </w:pPr>
      <w:r w:rsidRPr="008E123F">
        <w:rPr>
          <w:rFonts w:hint="eastAsia"/>
          <w:szCs w:val="21"/>
        </w:rPr>
        <w:t>单位：万元</w:t>
      </w:r>
    </w:p>
    <w:tbl>
      <w:tblPr>
        <w:tblStyle w:val="a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5"/>
        <w:gridCol w:w="3235"/>
        <w:gridCol w:w="1220"/>
        <w:gridCol w:w="1219"/>
        <w:gridCol w:w="1219"/>
        <w:gridCol w:w="1219"/>
        <w:gridCol w:w="1219"/>
        <w:gridCol w:w="1219"/>
        <w:gridCol w:w="1219"/>
        <w:gridCol w:w="1214"/>
      </w:tblGrid>
      <w:tr w:rsidR="000D3334" w:rsidTr="00F3634B">
        <w:trPr>
          <w:trHeight w:val="454"/>
          <w:tblHeader/>
        </w:trPr>
        <w:tc>
          <w:tcPr>
            <w:tcW w:w="187" w:type="pct"/>
            <w:vMerge w:val="restart"/>
            <w:shd w:val="clear" w:color="auto" w:fill="D9D9D9" w:themeFill="background1" w:themeFillShade="D9"/>
            <w:vAlign w:val="center"/>
          </w:tcPr>
          <w:p w:rsidR="000D3334" w:rsidRDefault="000D3334" w:rsidP="00F3634B">
            <w:pPr>
              <w:jc w:val="center"/>
              <w:rPr>
                <w:b/>
                <w:bCs/>
                <w:color w:val="000000"/>
                <w:szCs w:val="21"/>
              </w:rPr>
            </w:pPr>
            <w:r>
              <w:rPr>
                <w:b/>
                <w:bCs/>
                <w:color w:val="000000"/>
                <w:szCs w:val="21"/>
              </w:rPr>
              <w:t>序号</w:t>
            </w:r>
          </w:p>
        </w:tc>
        <w:tc>
          <w:tcPr>
            <w:tcW w:w="1199" w:type="pct"/>
            <w:vMerge w:val="restar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欠款方名称</w:t>
            </w:r>
          </w:p>
        </w:tc>
        <w:tc>
          <w:tcPr>
            <w:tcW w:w="904" w:type="pct"/>
            <w:gridSpan w:val="2"/>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2023</w:t>
            </w:r>
            <w:r>
              <w:rPr>
                <w:b/>
                <w:bCs/>
                <w:color w:val="000000"/>
                <w:szCs w:val="21"/>
                <w:lang w:bidi="ar"/>
              </w:rPr>
              <w:t>年末</w:t>
            </w:r>
          </w:p>
        </w:tc>
        <w:tc>
          <w:tcPr>
            <w:tcW w:w="1808" w:type="pct"/>
            <w:gridSpan w:val="4"/>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形成时间</w:t>
            </w:r>
          </w:p>
        </w:tc>
        <w:tc>
          <w:tcPr>
            <w:tcW w:w="902" w:type="pct"/>
            <w:gridSpan w:val="2"/>
            <w:shd w:val="clear" w:color="auto" w:fill="D9D9D9" w:themeFill="background1" w:themeFillShade="D9"/>
            <w:vAlign w:val="center"/>
          </w:tcPr>
          <w:p w:rsidR="000D3334" w:rsidRDefault="000D3334" w:rsidP="00F3634B">
            <w:pPr>
              <w:widowControl/>
              <w:jc w:val="center"/>
              <w:textAlignment w:val="center"/>
              <w:rPr>
                <w:b/>
                <w:bCs/>
                <w:szCs w:val="21"/>
              </w:rPr>
            </w:pPr>
            <w:r>
              <w:rPr>
                <w:rFonts w:hint="eastAsia"/>
                <w:b/>
                <w:bCs/>
                <w:color w:val="000000"/>
                <w:szCs w:val="21"/>
                <w:lang w:bidi="ar"/>
              </w:rPr>
              <w:t>截至</w:t>
            </w:r>
            <w:r>
              <w:rPr>
                <w:b/>
                <w:bCs/>
                <w:color w:val="000000"/>
                <w:szCs w:val="21"/>
                <w:lang w:bidi="ar"/>
              </w:rPr>
              <w:t>2024</w:t>
            </w:r>
            <w:r>
              <w:rPr>
                <w:b/>
                <w:bCs/>
                <w:color w:val="000000"/>
                <w:szCs w:val="21"/>
                <w:lang w:bidi="ar"/>
              </w:rPr>
              <w:t>年末</w:t>
            </w:r>
          </w:p>
        </w:tc>
      </w:tr>
      <w:tr w:rsidR="000D3334" w:rsidTr="00F3634B">
        <w:trPr>
          <w:tblHeader/>
        </w:trPr>
        <w:tc>
          <w:tcPr>
            <w:tcW w:w="187" w:type="pct"/>
            <w:vMerge/>
            <w:vAlign w:val="center"/>
          </w:tcPr>
          <w:p w:rsidR="000D3334" w:rsidRDefault="000D3334" w:rsidP="00F3634B">
            <w:pPr>
              <w:widowControl/>
              <w:jc w:val="left"/>
              <w:rPr>
                <w:b/>
                <w:bCs/>
                <w:color w:val="000000"/>
                <w:szCs w:val="21"/>
              </w:rPr>
            </w:pPr>
          </w:p>
        </w:tc>
        <w:tc>
          <w:tcPr>
            <w:tcW w:w="1199" w:type="pct"/>
            <w:vMerge/>
            <w:vAlign w:val="center"/>
          </w:tcPr>
          <w:p w:rsidR="000D3334" w:rsidRDefault="000D3334" w:rsidP="00F3634B">
            <w:pPr>
              <w:widowControl/>
              <w:jc w:val="left"/>
              <w:rPr>
                <w:b/>
                <w:bCs/>
                <w:color w:val="000000"/>
                <w:szCs w:val="21"/>
              </w:rPr>
            </w:pPr>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应收账款</w:t>
            </w:r>
            <w:r>
              <w:rPr>
                <w:rFonts w:hint="eastAsia"/>
                <w:b/>
                <w:bCs/>
                <w:color w:val="000000"/>
                <w:szCs w:val="21"/>
                <w:lang w:bidi="ar"/>
              </w:rPr>
              <w:t>余额</w:t>
            </w:r>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2023</w:t>
            </w:r>
            <w:r>
              <w:rPr>
                <w:b/>
                <w:bCs/>
                <w:color w:val="000000"/>
                <w:szCs w:val="21"/>
              </w:rPr>
              <w:t>年</w:t>
            </w:r>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2022</w:t>
            </w:r>
            <w:r>
              <w:rPr>
                <w:b/>
                <w:bCs/>
                <w:color w:val="000000"/>
                <w:szCs w:val="21"/>
              </w:rPr>
              <w:t>年</w:t>
            </w:r>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2021</w:t>
            </w:r>
            <w:r>
              <w:rPr>
                <w:b/>
                <w:bCs/>
                <w:color w:val="000000"/>
                <w:szCs w:val="21"/>
              </w:rPr>
              <w:t>年</w:t>
            </w:r>
          </w:p>
        </w:tc>
        <w:tc>
          <w:tcPr>
            <w:tcW w:w="452" w:type="pct"/>
            <w:shd w:val="clear" w:color="auto" w:fill="D8D8D8" w:themeFill="background1" w:themeFillShade="D8"/>
            <w:vAlign w:val="center"/>
          </w:tcPr>
          <w:p w:rsidR="000D3334" w:rsidRDefault="000D3334" w:rsidP="00F3634B">
            <w:pPr>
              <w:widowControl/>
              <w:jc w:val="center"/>
              <w:rPr>
                <w:b/>
                <w:bCs/>
                <w:color w:val="000000"/>
                <w:szCs w:val="21"/>
              </w:rPr>
            </w:pPr>
            <w:r>
              <w:rPr>
                <w:b/>
                <w:bCs/>
                <w:color w:val="000000"/>
                <w:szCs w:val="21"/>
              </w:rPr>
              <w:t>2020</w:t>
            </w:r>
            <w:r>
              <w:rPr>
                <w:b/>
                <w:bCs/>
                <w:color w:val="000000"/>
                <w:szCs w:val="21"/>
              </w:rPr>
              <w:t>年及以前</w:t>
            </w:r>
          </w:p>
        </w:tc>
        <w:tc>
          <w:tcPr>
            <w:tcW w:w="452" w:type="pct"/>
            <w:shd w:val="clear" w:color="auto" w:fill="D9D9D9" w:themeFill="background1" w:themeFillShade="D9"/>
            <w:vAlign w:val="center"/>
          </w:tcPr>
          <w:p w:rsidR="000D3334" w:rsidRDefault="000D3334" w:rsidP="00F3634B">
            <w:pPr>
              <w:widowControl/>
              <w:jc w:val="center"/>
              <w:textAlignment w:val="center"/>
              <w:rPr>
                <w:b/>
                <w:bCs/>
                <w:szCs w:val="21"/>
              </w:rPr>
            </w:pPr>
            <w:r>
              <w:rPr>
                <w:b/>
                <w:bCs/>
                <w:color w:val="000000"/>
                <w:szCs w:val="21"/>
                <w:lang w:bidi="ar"/>
              </w:rPr>
              <w:t>应收账款</w:t>
            </w:r>
            <w:r>
              <w:rPr>
                <w:rFonts w:hint="eastAsia"/>
                <w:b/>
                <w:bCs/>
                <w:color w:val="000000"/>
                <w:szCs w:val="21"/>
                <w:lang w:bidi="ar"/>
              </w:rPr>
              <w:t>余额</w:t>
            </w:r>
          </w:p>
        </w:tc>
        <w:tc>
          <w:tcPr>
            <w:tcW w:w="450" w:type="pct"/>
            <w:shd w:val="clear" w:color="auto" w:fill="D9D9D9" w:themeFill="background1" w:themeFillShade="D9"/>
            <w:vAlign w:val="center"/>
          </w:tcPr>
          <w:p w:rsidR="000D3334" w:rsidRDefault="000D3334" w:rsidP="00F3634B">
            <w:pPr>
              <w:widowControl/>
              <w:jc w:val="center"/>
              <w:textAlignment w:val="center"/>
              <w:rPr>
                <w:b/>
                <w:bCs/>
                <w:szCs w:val="21"/>
              </w:rPr>
            </w:pPr>
            <w:r>
              <w:rPr>
                <w:b/>
                <w:bCs/>
                <w:color w:val="000000"/>
                <w:szCs w:val="21"/>
                <w:lang w:bidi="ar"/>
              </w:rPr>
              <w:t>坏账</w:t>
            </w:r>
            <w:proofErr w:type="gramStart"/>
            <w:r>
              <w:rPr>
                <w:b/>
                <w:bCs/>
                <w:color w:val="000000"/>
                <w:szCs w:val="21"/>
                <w:lang w:bidi="ar"/>
              </w:rPr>
              <w:t>准备</w:t>
            </w:r>
            <w:r>
              <w:rPr>
                <w:rFonts w:hint="eastAsia"/>
                <w:b/>
                <w:bCs/>
                <w:color w:val="000000"/>
                <w:szCs w:val="21"/>
                <w:lang w:bidi="ar"/>
              </w:rPr>
              <w:t>余额</w:t>
            </w:r>
            <w:proofErr w:type="gramEnd"/>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1</w:t>
            </w:r>
          </w:p>
        </w:tc>
        <w:tc>
          <w:tcPr>
            <w:tcW w:w="1199" w:type="pct"/>
            <w:vAlign w:val="center"/>
          </w:tcPr>
          <w:p w:rsidR="000D3334" w:rsidRDefault="000D3334" w:rsidP="00F3634B">
            <w:pPr>
              <w:widowControl/>
              <w:jc w:val="left"/>
              <w:textAlignment w:val="center"/>
              <w:rPr>
                <w:szCs w:val="21"/>
              </w:rPr>
            </w:pPr>
            <w:r>
              <w:rPr>
                <w:color w:val="000000"/>
                <w:szCs w:val="21"/>
                <w:lang w:bidi="ar"/>
              </w:rPr>
              <w:t>合肥祥瀚房地产开发有限公司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10,739.73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55.85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10,739.73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8,365.95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140.55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2</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宁波</w:t>
            </w:r>
            <w:proofErr w:type="gramStart"/>
            <w:r>
              <w:rPr>
                <w:color w:val="000000"/>
                <w:szCs w:val="21"/>
                <w:lang w:bidi="ar"/>
              </w:rPr>
              <w:t>祥</w:t>
            </w:r>
            <w:proofErr w:type="gramEnd"/>
            <w:r>
              <w:rPr>
                <w:color w:val="000000"/>
                <w:szCs w:val="21"/>
                <w:lang w:bidi="ar"/>
              </w:rPr>
              <w:t>源旅游开发有限公司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9,580.27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54.27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9,334.20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246.06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2,596.96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46.99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3</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阜南县</w:t>
            </w:r>
            <w:proofErr w:type="gramStart"/>
            <w:r>
              <w:rPr>
                <w:color w:val="000000"/>
                <w:szCs w:val="21"/>
                <w:lang w:bidi="ar"/>
              </w:rPr>
              <w:t>祥</w:t>
            </w:r>
            <w:proofErr w:type="gramEnd"/>
            <w:r>
              <w:rPr>
                <w:color w:val="000000"/>
                <w:szCs w:val="21"/>
                <w:lang w:bidi="ar"/>
              </w:rPr>
              <w:t>源生态文化旅游开发有限公司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8,669.92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193.72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6,617.94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201.30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1,625.26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225.42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2,903.20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55.99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4</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滁州</w:t>
            </w:r>
            <w:proofErr w:type="gramStart"/>
            <w:r>
              <w:rPr>
                <w:color w:val="000000"/>
                <w:szCs w:val="21"/>
                <w:lang w:bidi="ar"/>
              </w:rPr>
              <w:t>祥</w:t>
            </w:r>
            <w:proofErr w:type="gramEnd"/>
            <w:r>
              <w:rPr>
                <w:color w:val="000000"/>
                <w:szCs w:val="21"/>
                <w:lang w:bidi="ar"/>
              </w:rPr>
              <w:t>源旅游发展有限公司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6,279.34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45.63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5,614.09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644.56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20.69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3,913.99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67.62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5</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五河</w:t>
            </w:r>
            <w:proofErr w:type="gramStart"/>
            <w:r>
              <w:rPr>
                <w:color w:val="000000"/>
                <w:szCs w:val="21"/>
                <w:lang w:bidi="ar"/>
              </w:rPr>
              <w:t>祥</w:t>
            </w:r>
            <w:proofErr w:type="gramEnd"/>
            <w:r>
              <w:rPr>
                <w:color w:val="000000"/>
                <w:szCs w:val="21"/>
                <w:lang w:bidi="ar"/>
              </w:rPr>
              <w:t>源投资开发有限公司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6,087.94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93.37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3,465.83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2,307.64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313.65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0.83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4,447.20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123.98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6</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安徽新祥源房地产开发有限公司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4,751.68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44.04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4,176.39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379.29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196.00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3,665.99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78.56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7</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阜南县城北</w:t>
            </w:r>
            <w:proofErr w:type="gramStart"/>
            <w:r>
              <w:rPr>
                <w:color w:val="000000"/>
                <w:szCs w:val="21"/>
                <w:lang w:bidi="ar"/>
              </w:rPr>
              <w:t>祥</w:t>
            </w:r>
            <w:proofErr w:type="gramEnd"/>
            <w:r>
              <w:rPr>
                <w:color w:val="000000"/>
                <w:szCs w:val="21"/>
                <w:lang w:bidi="ar"/>
              </w:rPr>
              <w:t>源房地产开发有限公司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3,702.84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62.20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2,982.55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64.50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655.21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0.59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1,747.97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43.44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8</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安徽</w:t>
            </w:r>
            <w:proofErr w:type="gramStart"/>
            <w:r>
              <w:rPr>
                <w:color w:val="000000"/>
                <w:szCs w:val="21"/>
                <w:lang w:bidi="ar"/>
              </w:rPr>
              <w:t>祥</w:t>
            </w:r>
            <w:proofErr w:type="gramEnd"/>
            <w:r>
              <w:rPr>
                <w:color w:val="000000"/>
                <w:szCs w:val="21"/>
                <w:lang w:bidi="ar"/>
              </w:rPr>
              <w:t>源城市更新有限公司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3,154.61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78.01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2,287.32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287.35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520.32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59.62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1,803.35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37.86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9</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安徽祥源公园城开发有限公司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2,351.77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44.79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1,146.97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998.54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194.90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11.36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1,301.06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27.71 </w:t>
            </w:r>
          </w:p>
        </w:tc>
      </w:tr>
      <w:tr w:rsidR="000D3334" w:rsidTr="00F3634B">
        <w:trPr>
          <w:trHeight w:val="437"/>
        </w:trPr>
        <w:tc>
          <w:tcPr>
            <w:tcW w:w="187" w:type="pct"/>
            <w:vAlign w:val="center"/>
          </w:tcPr>
          <w:p w:rsidR="000D3334" w:rsidRDefault="000D3334" w:rsidP="00F3634B">
            <w:pPr>
              <w:widowControl/>
              <w:jc w:val="center"/>
              <w:textAlignment w:val="center"/>
              <w:rPr>
                <w:color w:val="000000"/>
                <w:szCs w:val="21"/>
              </w:rPr>
            </w:pPr>
            <w:r>
              <w:rPr>
                <w:color w:val="000000"/>
                <w:szCs w:val="21"/>
                <w:lang w:bidi="ar"/>
              </w:rPr>
              <w:t>10</w:t>
            </w:r>
          </w:p>
        </w:tc>
        <w:tc>
          <w:tcPr>
            <w:tcW w:w="1199" w:type="pct"/>
            <w:vAlign w:val="center"/>
          </w:tcPr>
          <w:p w:rsidR="000D3334" w:rsidRDefault="000D3334" w:rsidP="00F3634B">
            <w:pPr>
              <w:widowControl/>
              <w:jc w:val="left"/>
              <w:textAlignment w:val="center"/>
              <w:rPr>
                <w:color w:val="000000"/>
                <w:szCs w:val="21"/>
                <w:lang w:bidi="ar"/>
              </w:rPr>
            </w:pPr>
            <w:r>
              <w:rPr>
                <w:color w:val="000000"/>
                <w:szCs w:val="21"/>
                <w:lang w:bidi="ar"/>
              </w:rPr>
              <w:t>绍兴市</w:t>
            </w:r>
            <w:proofErr w:type="gramStart"/>
            <w:r>
              <w:rPr>
                <w:color w:val="000000"/>
                <w:szCs w:val="21"/>
                <w:lang w:bidi="ar"/>
              </w:rPr>
              <w:t>祥源绿信</w:t>
            </w:r>
            <w:proofErr w:type="gramEnd"/>
            <w:r>
              <w:rPr>
                <w:color w:val="000000"/>
                <w:szCs w:val="21"/>
                <w:lang w:bidi="ar"/>
              </w:rPr>
              <w:t>置业有限公司</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1,967.76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41.99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212.96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1,754.80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color w:val="000000"/>
                <w:szCs w:val="21"/>
                <w:lang w:bidi="ar"/>
              </w:rPr>
            </w:pPr>
            <w:r>
              <w:rPr>
                <w:color w:val="000000"/>
                <w:szCs w:val="21"/>
                <w:lang w:bidi="ar"/>
              </w:rPr>
              <w:t xml:space="preserve"> -   </w:t>
            </w:r>
          </w:p>
        </w:tc>
        <w:tc>
          <w:tcPr>
            <w:tcW w:w="452" w:type="pct"/>
            <w:vAlign w:val="center"/>
          </w:tcPr>
          <w:p w:rsidR="000D3334" w:rsidRDefault="000D3334" w:rsidP="00F3634B">
            <w:pPr>
              <w:widowControl/>
              <w:jc w:val="right"/>
              <w:textAlignment w:val="center"/>
              <w:rPr>
                <w:szCs w:val="21"/>
              </w:rPr>
            </w:pPr>
            <w:r>
              <w:rPr>
                <w:color w:val="000000"/>
                <w:szCs w:val="21"/>
                <w:lang w:bidi="ar"/>
              </w:rPr>
              <w:t xml:space="preserve"> 83.74 </w:t>
            </w:r>
          </w:p>
        </w:tc>
        <w:tc>
          <w:tcPr>
            <w:tcW w:w="450" w:type="pct"/>
            <w:vAlign w:val="center"/>
          </w:tcPr>
          <w:p w:rsidR="000D3334" w:rsidRDefault="000D3334" w:rsidP="00F3634B">
            <w:pPr>
              <w:widowControl/>
              <w:jc w:val="right"/>
              <w:textAlignment w:val="center"/>
              <w:rPr>
                <w:szCs w:val="21"/>
              </w:rPr>
            </w:pPr>
            <w:r>
              <w:rPr>
                <w:color w:val="000000"/>
                <w:szCs w:val="21"/>
                <w:lang w:bidi="ar"/>
              </w:rPr>
              <w:t xml:space="preserve"> 1.41 </w:t>
            </w:r>
          </w:p>
        </w:tc>
      </w:tr>
    </w:tbl>
    <w:p w:rsidR="000D3334" w:rsidRDefault="000D3334" w:rsidP="000D3334">
      <w:pPr>
        <w:spacing w:beforeLines="50" w:before="120" w:line="360" w:lineRule="auto"/>
        <w:ind w:firstLineChars="200" w:firstLine="480"/>
        <w:outlineLvl w:val="2"/>
        <w:rPr>
          <w:sz w:val="24"/>
        </w:rPr>
      </w:pPr>
      <w:r>
        <w:rPr>
          <w:sz w:val="24"/>
        </w:rPr>
        <w:br w:type="page"/>
      </w:r>
    </w:p>
    <w:p w:rsidR="000D3334" w:rsidRDefault="000D3334" w:rsidP="000D3334">
      <w:pPr>
        <w:spacing w:beforeLines="50" w:before="120" w:line="360" w:lineRule="auto"/>
        <w:ind w:firstLineChars="200" w:firstLine="480"/>
        <w:rPr>
          <w:sz w:val="24"/>
        </w:rPr>
        <w:sectPr w:rsidR="000D3334" w:rsidSect="00F3634B">
          <w:pgSz w:w="16838" w:h="11906" w:orient="landscape"/>
          <w:pgMar w:top="1984" w:right="2126" w:bottom="1417" w:left="1440" w:header="850" w:footer="992" w:gutter="0"/>
          <w:cols w:space="425"/>
          <w:docGrid w:linePitch="312"/>
        </w:sectPr>
      </w:pPr>
    </w:p>
    <w:bookmarkEnd w:id="7"/>
    <w:p w:rsidR="000D3334" w:rsidRDefault="000D3334" w:rsidP="000D3334">
      <w:pPr>
        <w:spacing w:beforeLines="50" w:before="120" w:line="360" w:lineRule="auto"/>
        <w:ind w:firstLineChars="200" w:firstLine="482"/>
        <w:outlineLvl w:val="1"/>
        <w:rPr>
          <w:b/>
          <w:bCs/>
          <w:sz w:val="24"/>
        </w:rPr>
      </w:pPr>
      <w:r>
        <w:rPr>
          <w:rFonts w:hint="eastAsia"/>
          <w:b/>
          <w:bCs/>
          <w:sz w:val="24"/>
        </w:rPr>
        <w:lastRenderedPageBreak/>
        <w:t>（二）</w:t>
      </w:r>
      <w:r>
        <w:rPr>
          <w:b/>
          <w:bCs/>
          <w:sz w:val="24"/>
        </w:rPr>
        <w:t>说明是否存在承诺期内坏账计提不充分、承诺期满大额计提坏账的情况</w:t>
      </w:r>
    </w:p>
    <w:p w:rsidR="000D3334" w:rsidRDefault="000D3334" w:rsidP="000D3334">
      <w:pPr>
        <w:spacing w:beforeLines="50" w:before="120" w:line="360" w:lineRule="auto"/>
        <w:ind w:firstLineChars="200" w:firstLine="480"/>
        <w:rPr>
          <w:sz w:val="24"/>
        </w:rPr>
      </w:pPr>
      <w:r w:rsidRPr="00BA1B2B">
        <w:rPr>
          <w:rFonts w:hint="eastAsia"/>
          <w:sz w:val="24"/>
        </w:rPr>
        <w:t>业绩承诺期内</w:t>
      </w:r>
      <w:r>
        <w:rPr>
          <w:rFonts w:hint="eastAsia"/>
          <w:sz w:val="24"/>
        </w:rPr>
        <w:t>，</w:t>
      </w:r>
      <w:r w:rsidRPr="00BA1B2B">
        <w:rPr>
          <w:rFonts w:hint="eastAsia"/>
          <w:sz w:val="24"/>
        </w:rPr>
        <w:t>关联业务收入形成的应收账款前十名</w:t>
      </w:r>
      <w:r>
        <w:rPr>
          <w:rFonts w:hint="eastAsia"/>
          <w:sz w:val="24"/>
        </w:rPr>
        <w:t>余额，以及</w:t>
      </w:r>
      <w:r w:rsidRPr="004950CE">
        <w:rPr>
          <w:rFonts w:hint="eastAsia"/>
          <w:sz w:val="24"/>
        </w:rPr>
        <w:t>形成后至</w:t>
      </w:r>
      <w:r w:rsidRPr="004950CE">
        <w:rPr>
          <w:rFonts w:hint="eastAsia"/>
          <w:sz w:val="24"/>
        </w:rPr>
        <w:t>2024</w:t>
      </w:r>
      <w:r w:rsidRPr="004950CE">
        <w:rPr>
          <w:rFonts w:hint="eastAsia"/>
          <w:sz w:val="24"/>
        </w:rPr>
        <w:t>年每年年末余额与坏账计提金额</w:t>
      </w:r>
      <w:r>
        <w:rPr>
          <w:rFonts w:hint="eastAsia"/>
          <w:sz w:val="24"/>
        </w:rPr>
        <w:t>情况如下：</w:t>
      </w:r>
    </w:p>
    <w:p w:rsidR="000D3334" w:rsidRDefault="000D3334" w:rsidP="000D3334">
      <w:pPr>
        <w:spacing w:beforeLines="50" w:before="120"/>
        <w:ind w:firstLineChars="200" w:firstLine="420"/>
        <w:jc w:val="right"/>
        <w:rPr>
          <w:bCs/>
          <w:szCs w:val="21"/>
        </w:rPr>
      </w:pPr>
      <w:r>
        <w:rPr>
          <w:rFonts w:hint="eastAsia"/>
          <w:bCs/>
          <w:szCs w:val="21"/>
        </w:rPr>
        <w:t>单位：万元</w:t>
      </w:r>
    </w:p>
    <w:tbl>
      <w:tblPr>
        <w:tblStyle w:val="a9"/>
        <w:tblW w:w="5504" w:type="pct"/>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2"/>
        <w:gridCol w:w="1170"/>
        <w:gridCol w:w="1021"/>
        <w:gridCol w:w="1092"/>
        <w:gridCol w:w="1092"/>
        <w:gridCol w:w="1092"/>
        <w:gridCol w:w="1092"/>
        <w:gridCol w:w="1092"/>
        <w:gridCol w:w="1088"/>
      </w:tblGrid>
      <w:tr w:rsidR="000D3334" w:rsidRPr="00EB02DF" w:rsidTr="00F3634B">
        <w:trPr>
          <w:trHeight w:val="454"/>
          <w:tblHeader/>
        </w:trPr>
        <w:tc>
          <w:tcPr>
            <w:tcW w:w="591" w:type="pct"/>
            <w:vMerge w:val="restart"/>
            <w:shd w:val="clear" w:color="auto" w:fill="D9D9D9" w:themeFill="background1" w:themeFillShade="D9"/>
            <w:vAlign w:val="center"/>
          </w:tcPr>
          <w:p w:rsidR="000D3334" w:rsidRPr="00EB02DF" w:rsidRDefault="000D3334" w:rsidP="00F3634B">
            <w:pPr>
              <w:jc w:val="center"/>
              <w:rPr>
                <w:rFonts w:eastAsiaTheme="minorEastAsia"/>
                <w:b/>
                <w:bCs/>
                <w:color w:val="000000"/>
                <w:szCs w:val="21"/>
              </w:rPr>
            </w:pPr>
            <w:r w:rsidRPr="00EB02DF">
              <w:rPr>
                <w:rFonts w:eastAsiaTheme="minorEastAsia"/>
                <w:b/>
                <w:bCs/>
                <w:color w:val="000000"/>
                <w:szCs w:val="21"/>
              </w:rPr>
              <w:t>年度</w:t>
            </w:r>
          </w:p>
        </w:tc>
        <w:tc>
          <w:tcPr>
            <w:tcW w:w="590" w:type="pct"/>
            <w:vMerge w:val="restar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color w:val="000000"/>
                <w:szCs w:val="21"/>
              </w:rPr>
            </w:pPr>
            <w:r w:rsidRPr="00EB02DF">
              <w:rPr>
                <w:rFonts w:eastAsiaTheme="minorEastAsia"/>
                <w:b/>
                <w:bCs/>
                <w:color w:val="000000"/>
                <w:szCs w:val="21"/>
              </w:rPr>
              <w:t>应收账款余额</w:t>
            </w:r>
          </w:p>
        </w:tc>
        <w:tc>
          <w:tcPr>
            <w:tcW w:w="515" w:type="pct"/>
            <w:vMerge w:val="restar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color w:val="000000"/>
                <w:szCs w:val="21"/>
              </w:rPr>
            </w:pPr>
            <w:r w:rsidRPr="00EB02DF">
              <w:rPr>
                <w:rFonts w:eastAsiaTheme="minorEastAsia"/>
                <w:b/>
                <w:bCs/>
                <w:color w:val="000000"/>
                <w:szCs w:val="21"/>
              </w:rPr>
              <w:t>坏账</w:t>
            </w:r>
            <w:proofErr w:type="gramStart"/>
            <w:r w:rsidRPr="00EB02DF">
              <w:rPr>
                <w:rFonts w:eastAsiaTheme="minorEastAsia"/>
                <w:b/>
                <w:bCs/>
                <w:color w:val="000000"/>
                <w:szCs w:val="21"/>
              </w:rPr>
              <w:t>准备余额</w:t>
            </w:r>
            <w:proofErr w:type="gramEnd"/>
          </w:p>
        </w:tc>
        <w:tc>
          <w:tcPr>
            <w:tcW w:w="1102" w:type="pct"/>
            <w:gridSpan w:val="2"/>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color w:val="000000"/>
                <w:szCs w:val="21"/>
              </w:rPr>
            </w:pPr>
            <w:r w:rsidRPr="00EB02DF">
              <w:rPr>
                <w:rFonts w:eastAsiaTheme="minorEastAsia"/>
                <w:b/>
                <w:bCs/>
                <w:color w:val="000000"/>
                <w:szCs w:val="21"/>
              </w:rPr>
              <w:t>截至</w:t>
            </w:r>
            <w:r w:rsidRPr="00EB02DF">
              <w:rPr>
                <w:rFonts w:eastAsiaTheme="minorEastAsia"/>
                <w:b/>
                <w:bCs/>
                <w:color w:val="000000"/>
                <w:szCs w:val="21"/>
              </w:rPr>
              <w:t>2022</w:t>
            </w:r>
            <w:r w:rsidRPr="00EB02DF">
              <w:rPr>
                <w:rFonts w:eastAsiaTheme="minorEastAsia"/>
                <w:b/>
                <w:bCs/>
                <w:color w:val="000000"/>
                <w:szCs w:val="21"/>
              </w:rPr>
              <w:t>年末</w:t>
            </w:r>
          </w:p>
        </w:tc>
        <w:tc>
          <w:tcPr>
            <w:tcW w:w="1102" w:type="pct"/>
            <w:gridSpan w:val="2"/>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szCs w:val="21"/>
              </w:rPr>
              <w:t>截至</w:t>
            </w:r>
            <w:r w:rsidRPr="00EB02DF">
              <w:rPr>
                <w:rFonts w:eastAsiaTheme="minorEastAsia"/>
                <w:b/>
                <w:bCs/>
                <w:szCs w:val="21"/>
              </w:rPr>
              <w:t>2023</w:t>
            </w:r>
            <w:r w:rsidRPr="00EB02DF">
              <w:rPr>
                <w:rFonts w:eastAsiaTheme="minorEastAsia"/>
                <w:b/>
                <w:bCs/>
                <w:szCs w:val="21"/>
              </w:rPr>
              <w:t>年末</w:t>
            </w:r>
          </w:p>
        </w:tc>
        <w:tc>
          <w:tcPr>
            <w:tcW w:w="1101" w:type="pct"/>
            <w:gridSpan w:val="2"/>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szCs w:val="21"/>
              </w:rPr>
              <w:t>截至</w:t>
            </w:r>
            <w:r w:rsidRPr="00EB02DF">
              <w:rPr>
                <w:rFonts w:eastAsiaTheme="minorEastAsia"/>
                <w:b/>
                <w:bCs/>
                <w:szCs w:val="21"/>
              </w:rPr>
              <w:t>2024</w:t>
            </w:r>
            <w:r w:rsidRPr="00EB02DF">
              <w:rPr>
                <w:rFonts w:eastAsiaTheme="minorEastAsia"/>
                <w:b/>
                <w:bCs/>
                <w:szCs w:val="21"/>
              </w:rPr>
              <w:t>年末</w:t>
            </w:r>
          </w:p>
        </w:tc>
      </w:tr>
      <w:tr w:rsidR="000D3334" w:rsidRPr="00EB02DF" w:rsidTr="00F3634B">
        <w:trPr>
          <w:tblHeader/>
        </w:trPr>
        <w:tc>
          <w:tcPr>
            <w:tcW w:w="591" w:type="pct"/>
            <w:vMerge/>
            <w:vAlign w:val="center"/>
          </w:tcPr>
          <w:p w:rsidR="000D3334" w:rsidRPr="00EB02DF" w:rsidRDefault="000D3334" w:rsidP="00F3634B">
            <w:pPr>
              <w:widowControl/>
              <w:jc w:val="center"/>
              <w:rPr>
                <w:rFonts w:eastAsiaTheme="minorEastAsia"/>
                <w:b/>
                <w:bCs/>
                <w:color w:val="000000"/>
                <w:szCs w:val="21"/>
              </w:rPr>
            </w:pPr>
          </w:p>
        </w:tc>
        <w:tc>
          <w:tcPr>
            <w:tcW w:w="590" w:type="pct"/>
            <w:vMerge/>
            <w:vAlign w:val="center"/>
          </w:tcPr>
          <w:p w:rsidR="000D3334" w:rsidRPr="00EB02DF" w:rsidRDefault="000D3334" w:rsidP="00F3634B">
            <w:pPr>
              <w:widowControl/>
              <w:jc w:val="center"/>
              <w:rPr>
                <w:rFonts w:eastAsiaTheme="minorEastAsia"/>
                <w:b/>
                <w:bCs/>
                <w:color w:val="000000"/>
                <w:szCs w:val="21"/>
              </w:rPr>
            </w:pPr>
          </w:p>
        </w:tc>
        <w:tc>
          <w:tcPr>
            <w:tcW w:w="515" w:type="pct"/>
            <w:vMerge/>
            <w:shd w:val="clear" w:color="auto" w:fill="D8D8D8" w:themeFill="background1" w:themeFillShade="D8"/>
            <w:vAlign w:val="center"/>
          </w:tcPr>
          <w:p w:rsidR="000D3334" w:rsidRPr="00EB02DF" w:rsidRDefault="000D3334" w:rsidP="00F3634B">
            <w:pPr>
              <w:widowControl/>
              <w:jc w:val="center"/>
              <w:rPr>
                <w:rFonts w:eastAsiaTheme="minorEastAsia"/>
                <w:b/>
                <w:bCs/>
                <w:color w:val="000000"/>
                <w:szCs w:val="21"/>
              </w:rPr>
            </w:pPr>
          </w:p>
        </w:tc>
        <w:tc>
          <w:tcPr>
            <w:tcW w:w="551" w:type="pct"/>
            <w:shd w:val="clear" w:color="auto" w:fill="D8D8D8" w:themeFill="background1" w:themeFillShade="D8"/>
            <w:vAlign w:val="center"/>
          </w:tcPr>
          <w:p w:rsidR="000D3334" w:rsidRPr="00EB02DF" w:rsidRDefault="000D3334" w:rsidP="00F3634B">
            <w:pPr>
              <w:widowControl/>
              <w:jc w:val="center"/>
              <w:rPr>
                <w:rFonts w:eastAsiaTheme="minorEastAsia"/>
                <w:b/>
                <w:bCs/>
                <w:color w:val="000000"/>
                <w:szCs w:val="21"/>
              </w:rPr>
            </w:pPr>
            <w:r w:rsidRPr="00EB02DF">
              <w:rPr>
                <w:rFonts w:eastAsiaTheme="minorEastAsia"/>
                <w:b/>
                <w:bCs/>
                <w:color w:val="000000"/>
                <w:szCs w:val="21"/>
              </w:rPr>
              <w:t>应收账款余额</w:t>
            </w:r>
          </w:p>
        </w:tc>
        <w:tc>
          <w:tcPr>
            <w:tcW w:w="551" w:type="pct"/>
            <w:shd w:val="clear" w:color="auto" w:fill="D8D8D8" w:themeFill="background1" w:themeFillShade="D8"/>
            <w:vAlign w:val="center"/>
          </w:tcPr>
          <w:p w:rsidR="000D3334" w:rsidRPr="00EB02DF" w:rsidRDefault="000D3334" w:rsidP="00F3634B">
            <w:pPr>
              <w:widowControl/>
              <w:jc w:val="center"/>
              <w:rPr>
                <w:rFonts w:eastAsiaTheme="minorEastAsia"/>
                <w:b/>
                <w:bCs/>
                <w:color w:val="000000"/>
                <w:szCs w:val="21"/>
              </w:rPr>
            </w:pPr>
            <w:r w:rsidRPr="00EB02DF">
              <w:rPr>
                <w:rFonts w:eastAsiaTheme="minorEastAsia"/>
                <w:b/>
                <w:bCs/>
                <w:color w:val="000000"/>
                <w:szCs w:val="21"/>
              </w:rPr>
              <w:t>坏账</w:t>
            </w:r>
            <w:proofErr w:type="gramStart"/>
            <w:r w:rsidRPr="00EB02DF">
              <w:rPr>
                <w:rFonts w:eastAsiaTheme="minorEastAsia"/>
                <w:b/>
                <w:bCs/>
                <w:color w:val="000000"/>
                <w:szCs w:val="21"/>
              </w:rPr>
              <w:t>准备余额</w:t>
            </w:r>
            <w:proofErr w:type="gramEnd"/>
          </w:p>
        </w:tc>
        <w:tc>
          <w:tcPr>
            <w:tcW w:w="551" w:type="pc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color w:val="000000"/>
                <w:szCs w:val="21"/>
              </w:rPr>
              <w:t>应收账款余额</w:t>
            </w:r>
          </w:p>
        </w:tc>
        <w:tc>
          <w:tcPr>
            <w:tcW w:w="551" w:type="pc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color w:val="000000"/>
                <w:szCs w:val="21"/>
              </w:rPr>
              <w:t>坏账</w:t>
            </w:r>
            <w:proofErr w:type="gramStart"/>
            <w:r w:rsidRPr="00EB02DF">
              <w:rPr>
                <w:rFonts w:eastAsiaTheme="minorEastAsia"/>
                <w:b/>
                <w:bCs/>
                <w:color w:val="000000"/>
                <w:szCs w:val="21"/>
              </w:rPr>
              <w:t>准备余额</w:t>
            </w:r>
            <w:proofErr w:type="gramEnd"/>
          </w:p>
        </w:tc>
        <w:tc>
          <w:tcPr>
            <w:tcW w:w="551" w:type="pc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color w:val="000000"/>
                <w:szCs w:val="21"/>
              </w:rPr>
              <w:t>应收账款余额</w:t>
            </w:r>
          </w:p>
        </w:tc>
        <w:tc>
          <w:tcPr>
            <w:tcW w:w="550" w:type="pct"/>
            <w:shd w:val="clear" w:color="auto" w:fill="D9D9D9" w:themeFill="background1" w:themeFillShade="D9"/>
            <w:vAlign w:val="center"/>
          </w:tcPr>
          <w:p w:rsidR="000D3334" w:rsidRPr="00EB02DF" w:rsidRDefault="000D3334" w:rsidP="00F3634B">
            <w:pPr>
              <w:widowControl/>
              <w:jc w:val="center"/>
              <w:textAlignment w:val="center"/>
              <w:rPr>
                <w:rFonts w:eastAsiaTheme="minorEastAsia"/>
                <w:b/>
                <w:bCs/>
                <w:szCs w:val="21"/>
              </w:rPr>
            </w:pPr>
            <w:r w:rsidRPr="00EB02DF">
              <w:rPr>
                <w:rFonts w:eastAsiaTheme="minorEastAsia"/>
                <w:b/>
                <w:bCs/>
                <w:color w:val="000000"/>
                <w:szCs w:val="21"/>
              </w:rPr>
              <w:t>坏账</w:t>
            </w:r>
            <w:proofErr w:type="gramStart"/>
            <w:r w:rsidRPr="00EB02DF">
              <w:rPr>
                <w:rFonts w:eastAsiaTheme="minorEastAsia"/>
                <w:b/>
                <w:bCs/>
                <w:color w:val="000000"/>
                <w:szCs w:val="21"/>
              </w:rPr>
              <w:t>准备余额</w:t>
            </w:r>
            <w:proofErr w:type="gramEnd"/>
          </w:p>
        </w:tc>
      </w:tr>
      <w:tr w:rsidR="000D3334" w:rsidRPr="00EB02DF" w:rsidTr="00F3634B">
        <w:trPr>
          <w:trHeight w:val="437"/>
        </w:trPr>
        <w:tc>
          <w:tcPr>
            <w:tcW w:w="59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2021</w:t>
            </w:r>
            <w:r w:rsidRPr="00EB02DF">
              <w:rPr>
                <w:rFonts w:eastAsiaTheme="minorEastAsia"/>
                <w:color w:val="000000"/>
                <w:szCs w:val="21"/>
              </w:rPr>
              <w:t>年末</w:t>
            </w:r>
          </w:p>
        </w:tc>
        <w:tc>
          <w:tcPr>
            <w:tcW w:w="590"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38,086.97 </w:t>
            </w:r>
          </w:p>
        </w:tc>
        <w:tc>
          <w:tcPr>
            <w:tcW w:w="515"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1,000.48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15,723.07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941.20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5,107.48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397.02 </w:t>
            </w:r>
          </w:p>
        </w:tc>
        <w:tc>
          <w:tcPr>
            <w:tcW w:w="551"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619.01 </w:t>
            </w:r>
          </w:p>
        </w:tc>
        <w:tc>
          <w:tcPr>
            <w:tcW w:w="550"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61.43 </w:t>
            </w:r>
          </w:p>
        </w:tc>
      </w:tr>
      <w:tr w:rsidR="000D3334" w:rsidRPr="00EB02DF" w:rsidTr="00F3634B">
        <w:trPr>
          <w:trHeight w:val="437"/>
        </w:trPr>
        <w:tc>
          <w:tcPr>
            <w:tcW w:w="59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2022</w:t>
            </w:r>
            <w:r w:rsidRPr="00EB02DF">
              <w:rPr>
                <w:rFonts w:eastAsiaTheme="minorEastAsia"/>
                <w:color w:val="000000"/>
                <w:szCs w:val="21"/>
              </w:rPr>
              <w:t>年末</w:t>
            </w:r>
          </w:p>
        </w:tc>
        <w:tc>
          <w:tcPr>
            <w:tcW w:w="590"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50,016.99 </w:t>
            </w:r>
          </w:p>
        </w:tc>
        <w:tc>
          <w:tcPr>
            <w:tcW w:w="515"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1,469.55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13,196.63 </w:t>
            </w:r>
          </w:p>
        </w:tc>
        <w:tc>
          <w:tcPr>
            <w:tcW w:w="55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 xml:space="preserve">807.68 </w:t>
            </w:r>
          </w:p>
        </w:tc>
        <w:tc>
          <w:tcPr>
            <w:tcW w:w="551"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4,692.61 </w:t>
            </w:r>
          </w:p>
        </w:tc>
        <w:tc>
          <w:tcPr>
            <w:tcW w:w="550" w:type="pct"/>
            <w:vAlign w:val="center"/>
          </w:tcPr>
          <w:p w:rsidR="000D3334" w:rsidRPr="00EB02DF" w:rsidRDefault="000D3334" w:rsidP="00F3634B">
            <w:pPr>
              <w:widowControl/>
              <w:jc w:val="right"/>
              <w:textAlignment w:val="center"/>
              <w:rPr>
                <w:rFonts w:eastAsiaTheme="minorEastAsia"/>
                <w:color w:val="000000"/>
                <w:szCs w:val="21"/>
              </w:rPr>
            </w:pPr>
            <w:r w:rsidRPr="00EB02DF">
              <w:rPr>
                <w:rFonts w:eastAsiaTheme="minorEastAsia"/>
                <w:color w:val="000000"/>
                <w:szCs w:val="21"/>
              </w:rPr>
              <w:t xml:space="preserve">217.14 </w:t>
            </w:r>
          </w:p>
        </w:tc>
      </w:tr>
      <w:tr w:rsidR="000D3334" w:rsidRPr="00EB02DF" w:rsidTr="00F3634B">
        <w:trPr>
          <w:trHeight w:val="437"/>
        </w:trPr>
        <w:tc>
          <w:tcPr>
            <w:tcW w:w="591" w:type="pct"/>
            <w:vAlign w:val="center"/>
          </w:tcPr>
          <w:p w:rsidR="000D3334" w:rsidRPr="00EB02DF" w:rsidRDefault="000D3334" w:rsidP="00F3634B">
            <w:pPr>
              <w:widowControl/>
              <w:jc w:val="center"/>
              <w:textAlignment w:val="center"/>
              <w:rPr>
                <w:rFonts w:eastAsiaTheme="minorEastAsia"/>
                <w:color w:val="000000"/>
                <w:szCs w:val="21"/>
              </w:rPr>
            </w:pPr>
            <w:r w:rsidRPr="00EB02DF">
              <w:rPr>
                <w:rFonts w:eastAsiaTheme="minorEastAsia"/>
                <w:color w:val="000000"/>
                <w:szCs w:val="21"/>
              </w:rPr>
              <w:t>2023</w:t>
            </w:r>
            <w:r w:rsidRPr="00EB02DF">
              <w:rPr>
                <w:rFonts w:eastAsiaTheme="minorEastAsia"/>
                <w:color w:val="000000"/>
                <w:szCs w:val="21"/>
              </w:rPr>
              <w:t>年末</w:t>
            </w:r>
          </w:p>
        </w:tc>
        <w:tc>
          <w:tcPr>
            <w:tcW w:w="590" w:type="pct"/>
            <w:vAlign w:val="center"/>
          </w:tcPr>
          <w:p w:rsidR="000D3334" w:rsidRPr="00EB02DF" w:rsidRDefault="000D3334" w:rsidP="00F3634B">
            <w:pPr>
              <w:widowControl/>
              <w:jc w:val="right"/>
              <w:textAlignment w:val="center"/>
              <w:rPr>
                <w:rFonts w:eastAsiaTheme="minorEastAsia"/>
                <w:szCs w:val="21"/>
              </w:rPr>
            </w:pPr>
            <w:r w:rsidRPr="00EB02DF">
              <w:rPr>
                <w:rFonts w:eastAsiaTheme="minorEastAsia"/>
                <w:color w:val="000000"/>
                <w:szCs w:val="21"/>
              </w:rPr>
              <w:t xml:space="preserve">57,285.86 </w:t>
            </w:r>
          </w:p>
        </w:tc>
        <w:tc>
          <w:tcPr>
            <w:tcW w:w="515" w:type="pct"/>
            <w:vAlign w:val="center"/>
          </w:tcPr>
          <w:p w:rsidR="000D3334" w:rsidRPr="00EB02DF" w:rsidRDefault="000D3334" w:rsidP="00F3634B">
            <w:pPr>
              <w:widowControl/>
              <w:jc w:val="right"/>
              <w:textAlignment w:val="center"/>
              <w:rPr>
                <w:rFonts w:eastAsiaTheme="minorEastAsia"/>
                <w:color w:val="000000"/>
                <w:szCs w:val="21"/>
                <w:lang w:bidi="ar"/>
              </w:rPr>
            </w:pPr>
            <w:r w:rsidRPr="00EB02DF">
              <w:rPr>
                <w:rFonts w:eastAsiaTheme="minorEastAsia"/>
                <w:color w:val="000000"/>
                <w:szCs w:val="21"/>
              </w:rPr>
              <w:t xml:space="preserve">713.87 </w:t>
            </w:r>
          </w:p>
        </w:tc>
        <w:tc>
          <w:tcPr>
            <w:tcW w:w="551" w:type="pct"/>
            <w:vAlign w:val="center"/>
          </w:tcPr>
          <w:p w:rsidR="000D3334" w:rsidRPr="00EB02DF" w:rsidRDefault="000D3334" w:rsidP="00F3634B">
            <w:pPr>
              <w:widowControl/>
              <w:jc w:val="center"/>
              <w:textAlignment w:val="center"/>
              <w:rPr>
                <w:rFonts w:eastAsiaTheme="minorEastAsia"/>
                <w:color w:val="000000"/>
                <w:szCs w:val="21"/>
                <w:lang w:bidi="ar"/>
              </w:rPr>
            </w:pPr>
            <w:r w:rsidRPr="00EB02DF">
              <w:rPr>
                <w:rFonts w:eastAsiaTheme="minorEastAsia"/>
                <w:color w:val="000000"/>
                <w:szCs w:val="21"/>
              </w:rPr>
              <w:t>—</w:t>
            </w:r>
          </w:p>
        </w:tc>
        <w:tc>
          <w:tcPr>
            <w:tcW w:w="551" w:type="pct"/>
            <w:vAlign w:val="center"/>
          </w:tcPr>
          <w:p w:rsidR="000D3334" w:rsidRPr="00EB02DF" w:rsidRDefault="000D3334" w:rsidP="00F3634B">
            <w:pPr>
              <w:widowControl/>
              <w:jc w:val="center"/>
              <w:textAlignment w:val="center"/>
              <w:rPr>
                <w:rFonts w:eastAsiaTheme="minorEastAsia"/>
                <w:color w:val="000000"/>
                <w:szCs w:val="21"/>
                <w:lang w:bidi="ar"/>
              </w:rPr>
            </w:pPr>
            <w:r w:rsidRPr="00EB02DF">
              <w:rPr>
                <w:rFonts w:eastAsiaTheme="minorEastAsia"/>
                <w:color w:val="000000"/>
                <w:szCs w:val="21"/>
              </w:rPr>
              <w:t>—</w:t>
            </w:r>
          </w:p>
        </w:tc>
        <w:tc>
          <w:tcPr>
            <w:tcW w:w="551" w:type="pct"/>
            <w:vAlign w:val="center"/>
          </w:tcPr>
          <w:p w:rsidR="000D3334" w:rsidRPr="00EB02DF" w:rsidRDefault="000D3334" w:rsidP="00F3634B">
            <w:pPr>
              <w:widowControl/>
              <w:jc w:val="center"/>
              <w:textAlignment w:val="center"/>
              <w:rPr>
                <w:rFonts w:eastAsiaTheme="minorEastAsia"/>
                <w:szCs w:val="21"/>
              </w:rPr>
            </w:pPr>
            <w:r w:rsidRPr="00EB02DF">
              <w:rPr>
                <w:rFonts w:eastAsiaTheme="minorEastAsia"/>
                <w:color w:val="000000"/>
                <w:szCs w:val="21"/>
              </w:rPr>
              <w:t>—</w:t>
            </w:r>
          </w:p>
        </w:tc>
        <w:tc>
          <w:tcPr>
            <w:tcW w:w="551" w:type="pct"/>
            <w:vAlign w:val="center"/>
          </w:tcPr>
          <w:p w:rsidR="000D3334" w:rsidRPr="00EB02DF" w:rsidRDefault="000D3334" w:rsidP="00F3634B">
            <w:pPr>
              <w:widowControl/>
              <w:jc w:val="center"/>
              <w:textAlignment w:val="center"/>
              <w:rPr>
                <w:rFonts w:eastAsiaTheme="minorEastAsia"/>
                <w:szCs w:val="21"/>
              </w:rPr>
            </w:pPr>
            <w:r w:rsidRPr="00EB02DF">
              <w:rPr>
                <w:rFonts w:eastAsiaTheme="minorEastAsia"/>
                <w:color w:val="000000"/>
                <w:szCs w:val="21"/>
              </w:rPr>
              <w:t>—</w:t>
            </w:r>
          </w:p>
        </w:tc>
        <w:tc>
          <w:tcPr>
            <w:tcW w:w="551" w:type="pct"/>
            <w:vAlign w:val="center"/>
          </w:tcPr>
          <w:p w:rsidR="000D3334" w:rsidRPr="00EB02DF" w:rsidRDefault="000D3334" w:rsidP="00F3634B">
            <w:pPr>
              <w:widowControl/>
              <w:jc w:val="right"/>
              <w:textAlignment w:val="center"/>
              <w:rPr>
                <w:rFonts w:eastAsiaTheme="minorEastAsia"/>
                <w:szCs w:val="21"/>
              </w:rPr>
            </w:pPr>
            <w:r w:rsidRPr="00EB02DF">
              <w:rPr>
                <w:rFonts w:eastAsiaTheme="minorEastAsia"/>
                <w:color w:val="000000"/>
                <w:szCs w:val="21"/>
              </w:rPr>
              <w:t xml:space="preserve">30,829.41 </w:t>
            </w:r>
          </w:p>
        </w:tc>
        <w:tc>
          <w:tcPr>
            <w:tcW w:w="550" w:type="pct"/>
            <w:vAlign w:val="center"/>
          </w:tcPr>
          <w:p w:rsidR="000D3334" w:rsidRPr="00EB02DF" w:rsidRDefault="000D3334" w:rsidP="00F3634B">
            <w:pPr>
              <w:widowControl/>
              <w:jc w:val="right"/>
              <w:textAlignment w:val="center"/>
              <w:rPr>
                <w:rFonts w:eastAsiaTheme="minorEastAsia"/>
                <w:szCs w:val="21"/>
              </w:rPr>
            </w:pPr>
            <w:r w:rsidRPr="00EB02DF">
              <w:rPr>
                <w:rFonts w:eastAsiaTheme="minorEastAsia"/>
                <w:color w:val="000000"/>
                <w:szCs w:val="21"/>
              </w:rPr>
              <w:t xml:space="preserve">624.11 </w:t>
            </w:r>
          </w:p>
        </w:tc>
      </w:tr>
    </w:tbl>
    <w:p w:rsidR="000D3334" w:rsidRDefault="000D3334" w:rsidP="000D3334">
      <w:pPr>
        <w:spacing w:beforeLines="50" w:before="120" w:line="360" w:lineRule="auto"/>
        <w:ind w:firstLineChars="200" w:firstLine="480"/>
        <w:rPr>
          <w:sz w:val="24"/>
        </w:rPr>
      </w:pPr>
      <w:r>
        <w:rPr>
          <w:rFonts w:hint="eastAsia"/>
          <w:sz w:val="24"/>
        </w:rPr>
        <w:t>由上表可见，业绩承诺期内关联业务收入形成的应收账款</w:t>
      </w:r>
      <w:r w:rsidRPr="00BA1B2B">
        <w:rPr>
          <w:rFonts w:hint="eastAsia"/>
          <w:sz w:val="24"/>
        </w:rPr>
        <w:t>前十名</w:t>
      </w:r>
      <w:r>
        <w:rPr>
          <w:rFonts w:hint="eastAsia"/>
          <w:sz w:val="24"/>
        </w:rPr>
        <w:t>余额回款正常，除</w:t>
      </w:r>
      <w:r>
        <w:rPr>
          <w:rFonts w:hint="eastAsia"/>
          <w:sz w:val="24"/>
        </w:rPr>
        <w:t>2023</w:t>
      </w:r>
      <w:r>
        <w:rPr>
          <w:rFonts w:hint="eastAsia"/>
          <w:sz w:val="24"/>
        </w:rPr>
        <w:t>年末应收账款余额因回款期间较短、尚在陆续回款外，</w:t>
      </w:r>
      <w:r>
        <w:rPr>
          <w:rFonts w:hint="eastAsia"/>
          <w:sz w:val="24"/>
        </w:rPr>
        <w:t>2021</w:t>
      </w:r>
      <w:r>
        <w:rPr>
          <w:rFonts w:hint="eastAsia"/>
          <w:sz w:val="24"/>
        </w:rPr>
        <w:t>年末、</w:t>
      </w:r>
      <w:r>
        <w:rPr>
          <w:rFonts w:hint="eastAsia"/>
          <w:sz w:val="24"/>
        </w:rPr>
        <w:t>2022</w:t>
      </w:r>
      <w:r>
        <w:rPr>
          <w:rFonts w:hint="eastAsia"/>
          <w:sz w:val="24"/>
        </w:rPr>
        <w:t>年末应收账款至</w:t>
      </w:r>
      <w:r>
        <w:rPr>
          <w:rFonts w:hint="eastAsia"/>
          <w:sz w:val="24"/>
        </w:rPr>
        <w:t>2024</w:t>
      </w:r>
      <w:r>
        <w:rPr>
          <w:rFonts w:hint="eastAsia"/>
          <w:sz w:val="24"/>
        </w:rPr>
        <w:t>年末余额较小，剩余未回款项主要系部分项目尚未竣工验收或决算，应收账款尚未到回款期所致，不存在</w:t>
      </w:r>
      <w:r w:rsidRPr="00780F30">
        <w:rPr>
          <w:rFonts w:hint="eastAsia"/>
          <w:sz w:val="24"/>
        </w:rPr>
        <w:t>承诺期内坏账计提不充分、承诺期满大额计提坏账的情况</w:t>
      </w:r>
      <w:r>
        <w:rPr>
          <w:rFonts w:hint="eastAsia"/>
          <w:sz w:val="24"/>
        </w:rPr>
        <w:t>。</w:t>
      </w:r>
    </w:p>
    <w:p w:rsidR="000D3334" w:rsidRDefault="000D3334" w:rsidP="000D3334">
      <w:pPr>
        <w:spacing w:beforeLines="50" w:before="120" w:line="360" w:lineRule="auto"/>
        <w:ind w:firstLineChars="200" w:firstLine="482"/>
        <w:outlineLvl w:val="0"/>
        <w:rPr>
          <w:b/>
          <w:bCs/>
          <w:sz w:val="24"/>
        </w:rPr>
      </w:pPr>
      <w:bookmarkStart w:id="8" w:name="_Toc168611961"/>
      <w:r>
        <w:rPr>
          <w:rFonts w:hint="eastAsia"/>
          <w:b/>
          <w:bCs/>
          <w:sz w:val="24"/>
        </w:rPr>
        <w:t>三、</w:t>
      </w:r>
      <w:r>
        <w:rPr>
          <w:b/>
          <w:bCs/>
          <w:sz w:val="24"/>
        </w:rPr>
        <w:t>公司所持上述抵债房产最新处置进展，期末相关房产是否存在减值情况，以及控股股东承诺履行情况</w:t>
      </w:r>
    </w:p>
    <w:p w:rsidR="000D3334" w:rsidRPr="005016E1" w:rsidRDefault="000D3334" w:rsidP="000D3334">
      <w:pPr>
        <w:spacing w:beforeLines="50" w:before="120" w:line="360" w:lineRule="auto"/>
        <w:ind w:firstLineChars="200" w:firstLine="482"/>
        <w:outlineLvl w:val="1"/>
        <w:rPr>
          <w:b/>
          <w:bCs/>
          <w:sz w:val="24"/>
        </w:rPr>
      </w:pPr>
      <w:r w:rsidRPr="005016E1">
        <w:rPr>
          <w:rFonts w:hint="eastAsia"/>
          <w:b/>
          <w:bCs/>
          <w:sz w:val="24"/>
        </w:rPr>
        <w:t>（一）公司所持上述抵债房产最新处置进展</w:t>
      </w:r>
    </w:p>
    <w:p w:rsidR="000D3334" w:rsidRDefault="000D3334" w:rsidP="000D3334">
      <w:pPr>
        <w:spacing w:beforeLines="50" w:before="120" w:line="360" w:lineRule="auto"/>
        <w:ind w:firstLineChars="200" w:firstLine="480"/>
        <w:rPr>
          <w:sz w:val="24"/>
        </w:rPr>
      </w:pPr>
      <w:r w:rsidRPr="00D12124">
        <w:rPr>
          <w:rFonts w:hint="eastAsia"/>
          <w:sz w:val="24"/>
        </w:rPr>
        <w:t>公司控股股东</w:t>
      </w:r>
      <w:proofErr w:type="gramStart"/>
      <w:r w:rsidRPr="00D12124">
        <w:rPr>
          <w:rFonts w:hint="eastAsia"/>
          <w:sz w:val="24"/>
        </w:rPr>
        <w:t>祥</w:t>
      </w:r>
      <w:proofErr w:type="gramEnd"/>
      <w:r w:rsidRPr="00D12124">
        <w:rPr>
          <w:rFonts w:hint="eastAsia"/>
          <w:sz w:val="24"/>
        </w:rPr>
        <w:t>源控股以其所有的共计</w:t>
      </w:r>
      <w:r w:rsidRPr="00D12124">
        <w:rPr>
          <w:rFonts w:hint="eastAsia"/>
          <w:sz w:val="24"/>
        </w:rPr>
        <w:t>82</w:t>
      </w:r>
      <w:r w:rsidRPr="00D12124">
        <w:rPr>
          <w:rFonts w:hint="eastAsia"/>
          <w:sz w:val="24"/>
        </w:rPr>
        <w:t>套房产，抵偿欠付</w:t>
      </w:r>
      <w:proofErr w:type="gramStart"/>
      <w:r w:rsidRPr="00D12124">
        <w:rPr>
          <w:rFonts w:hint="eastAsia"/>
          <w:sz w:val="24"/>
        </w:rPr>
        <w:t>交建建筑</w:t>
      </w:r>
      <w:proofErr w:type="gramEnd"/>
      <w:r w:rsidRPr="00D12124">
        <w:rPr>
          <w:rFonts w:hint="eastAsia"/>
          <w:sz w:val="24"/>
        </w:rPr>
        <w:t>合计</w:t>
      </w:r>
      <w:r w:rsidRPr="00D12124">
        <w:rPr>
          <w:rFonts w:hint="eastAsia"/>
          <w:sz w:val="24"/>
        </w:rPr>
        <w:t>1.32</w:t>
      </w:r>
      <w:r w:rsidRPr="00D12124">
        <w:rPr>
          <w:rFonts w:hint="eastAsia"/>
          <w:sz w:val="24"/>
        </w:rPr>
        <w:t>亿元的施工工程款，截至目前，公司已完成对供应商的资产处置总额为</w:t>
      </w:r>
      <w:r w:rsidRPr="00D12124">
        <w:rPr>
          <w:rFonts w:hint="eastAsia"/>
          <w:sz w:val="24"/>
        </w:rPr>
        <w:t>10,738.29</w:t>
      </w:r>
      <w:r w:rsidRPr="00D12124">
        <w:rPr>
          <w:rFonts w:hint="eastAsia"/>
          <w:sz w:val="24"/>
        </w:rPr>
        <w:t>万元，占本次抵债资产</w:t>
      </w:r>
      <w:r w:rsidRPr="00D12124">
        <w:rPr>
          <w:rFonts w:hint="eastAsia"/>
          <w:sz w:val="24"/>
        </w:rPr>
        <w:t>13,205.82</w:t>
      </w:r>
      <w:r w:rsidRPr="00D12124">
        <w:rPr>
          <w:rFonts w:hint="eastAsia"/>
          <w:sz w:val="24"/>
        </w:rPr>
        <w:t>万元的</w:t>
      </w:r>
      <w:r w:rsidRPr="00D12124">
        <w:rPr>
          <w:rFonts w:hint="eastAsia"/>
          <w:sz w:val="24"/>
        </w:rPr>
        <w:t>81.31%</w:t>
      </w:r>
      <w:r w:rsidRPr="00D12124">
        <w:rPr>
          <w:rFonts w:hint="eastAsia"/>
          <w:sz w:val="24"/>
        </w:rPr>
        <w:t>。本次关联方以实物资产抵债事项经公司</w:t>
      </w:r>
      <w:r w:rsidRPr="00D12124">
        <w:rPr>
          <w:rFonts w:hint="eastAsia"/>
          <w:sz w:val="24"/>
        </w:rPr>
        <w:t>2024</w:t>
      </w:r>
      <w:r w:rsidRPr="00D12124">
        <w:rPr>
          <w:rFonts w:hint="eastAsia"/>
          <w:sz w:val="24"/>
        </w:rPr>
        <w:t>年第三次临时股东大会审议通过后，公司积极推动</w:t>
      </w:r>
      <w:proofErr w:type="gramStart"/>
      <w:r w:rsidRPr="00D12124">
        <w:rPr>
          <w:rFonts w:hint="eastAsia"/>
          <w:sz w:val="24"/>
        </w:rPr>
        <w:t>工抵房</w:t>
      </w:r>
      <w:proofErr w:type="gramEnd"/>
      <w:r w:rsidRPr="00D12124">
        <w:rPr>
          <w:rFonts w:hint="eastAsia"/>
          <w:sz w:val="24"/>
        </w:rPr>
        <w:t>对供应商去化以及产证办理相关工作，截至目前抵债房产最新处置进展情况如下：</w:t>
      </w:r>
      <w:r>
        <w:rPr>
          <w:sz w:val="24"/>
        </w:rPr>
        <w:t xml:space="preserve"> </w:t>
      </w:r>
    </w:p>
    <w:p w:rsidR="000D3334" w:rsidRDefault="000D3334" w:rsidP="000D3334">
      <w:pPr>
        <w:spacing w:beforeLines="50" w:before="120" w:line="360" w:lineRule="auto"/>
        <w:ind w:firstLineChars="200" w:firstLine="480"/>
        <w:rPr>
          <w:sz w:val="24"/>
        </w:rPr>
      </w:pPr>
      <w:r>
        <w:rPr>
          <w:sz w:val="24"/>
        </w:rPr>
        <w:t>1</w:t>
      </w:r>
      <w:r>
        <w:rPr>
          <w:sz w:val="24"/>
        </w:rPr>
        <w:t>、</w:t>
      </w:r>
      <w:r w:rsidRPr="00703384">
        <w:rPr>
          <w:rFonts w:hint="eastAsia"/>
          <w:sz w:val="24"/>
        </w:rPr>
        <w:t>合肥</w:t>
      </w:r>
      <w:proofErr w:type="gramStart"/>
      <w:r w:rsidRPr="00703384">
        <w:rPr>
          <w:rFonts w:hint="eastAsia"/>
          <w:sz w:val="24"/>
        </w:rPr>
        <w:t>祥源花</w:t>
      </w:r>
      <w:proofErr w:type="gramEnd"/>
      <w:r w:rsidRPr="00703384">
        <w:rPr>
          <w:rFonts w:hint="eastAsia"/>
          <w:sz w:val="24"/>
        </w:rPr>
        <w:t>世界</w:t>
      </w:r>
      <w:r>
        <w:rPr>
          <w:rFonts w:hint="eastAsia"/>
          <w:sz w:val="24"/>
        </w:rPr>
        <w:t>·</w:t>
      </w:r>
      <w:proofErr w:type="gramStart"/>
      <w:r w:rsidRPr="00703384">
        <w:rPr>
          <w:rFonts w:hint="eastAsia"/>
          <w:sz w:val="24"/>
        </w:rPr>
        <w:t>湖悦</w:t>
      </w:r>
      <w:r>
        <w:rPr>
          <w:rFonts w:hint="eastAsia"/>
          <w:sz w:val="24"/>
        </w:rPr>
        <w:t>小区</w:t>
      </w:r>
      <w:proofErr w:type="gramEnd"/>
      <w:r>
        <w:rPr>
          <w:sz w:val="24"/>
        </w:rPr>
        <w:t>66</w:t>
      </w:r>
      <w:r>
        <w:rPr>
          <w:sz w:val="24"/>
        </w:rPr>
        <w:t>套住房已通过三方</w:t>
      </w:r>
      <w:proofErr w:type="gramStart"/>
      <w:r>
        <w:rPr>
          <w:sz w:val="24"/>
        </w:rPr>
        <w:t>工抵协议</w:t>
      </w:r>
      <w:proofErr w:type="gramEnd"/>
      <w:r>
        <w:rPr>
          <w:sz w:val="24"/>
        </w:rPr>
        <w:t>形式对供应商</w:t>
      </w:r>
      <w:proofErr w:type="gramStart"/>
      <w:r>
        <w:rPr>
          <w:sz w:val="24"/>
        </w:rPr>
        <w:t>直接工抵</w:t>
      </w:r>
      <w:r>
        <w:rPr>
          <w:sz w:val="24"/>
        </w:rPr>
        <w:t>65</w:t>
      </w:r>
      <w:r>
        <w:rPr>
          <w:sz w:val="24"/>
        </w:rPr>
        <w:t>套</w:t>
      </w:r>
      <w:proofErr w:type="gramEnd"/>
      <w:r>
        <w:rPr>
          <w:sz w:val="24"/>
        </w:rPr>
        <w:t>；</w:t>
      </w:r>
    </w:p>
    <w:p w:rsidR="000D3334" w:rsidRDefault="000D3334" w:rsidP="000D3334">
      <w:pPr>
        <w:spacing w:beforeLines="50" w:before="120" w:line="360" w:lineRule="auto"/>
        <w:ind w:firstLineChars="200" w:firstLine="480"/>
        <w:rPr>
          <w:sz w:val="24"/>
        </w:rPr>
      </w:pPr>
      <w:r>
        <w:rPr>
          <w:sz w:val="24"/>
        </w:rPr>
        <w:t>2</w:t>
      </w:r>
      <w:r>
        <w:rPr>
          <w:sz w:val="24"/>
        </w:rPr>
        <w:t>、</w:t>
      </w:r>
      <w:r w:rsidRPr="00FC1B68">
        <w:rPr>
          <w:rFonts w:hint="eastAsia"/>
          <w:sz w:val="24"/>
        </w:rPr>
        <w:t>合肥</w:t>
      </w:r>
      <w:proofErr w:type="gramStart"/>
      <w:r w:rsidRPr="00FC1B68">
        <w:rPr>
          <w:rFonts w:hint="eastAsia"/>
          <w:sz w:val="24"/>
        </w:rPr>
        <w:t>祥源花</w:t>
      </w:r>
      <w:proofErr w:type="gramEnd"/>
      <w:r w:rsidRPr="00FC1B68">
        <w:rPr>
          <w:rFonts w:hint="eastAsia"/>
          <w:sz w:val="24"/>
        </w:rPr>
        <w:t>世界</w:t>
      </w:r>
      <w:r>
        <w:rPr>
          <w:rFonts w:hint="eastAsia"/>
          <w:sz w:val="24"/>
        </w:rPr>
        <w:t>·</w:t>
      </w:r>
      <w:r w:rsidRPr="00FC1B68">
        <w:rPr>
          <w:rFonts w:hint="eastAsia"/>
          <w:sz w:val="24"/>
        </w:rPr>
        <w:t>丹桂湾</w:t>
      </w:r>
      <w:r>
        <w:rPr>
          <w:sz w:val="24"/>
        </w:rPr>
        <w:t>6</w:t>
      </w:r>
      <w:r>
        <w:rPr>
          <w:sz w:val="24"/>
        </w:rPr>
        <w:t>套商铺</w:t>
      </w:r>
      <w:r>
        <w:rPr>
          <w:rFonts w:hint="eastAsia"/>
          <w:sz w:val="24"/>
        </w:rPr>
        <w:t>、</w:t>
      </w:r>
      <w:proofErr w:type="gramStart"/>
      <w:r>
        <w:rPr>
          <w:rFonts w:hint="eastAsia"/>
          <w:sz w:val="24"/>
        </w:rPr>
        <w:t>阜</w:t>
      </w:r>
      <w:proofErr w:type="gramEnd"/>
      <w:r>
        <w:rPr>
          <w:rFonts w:hint="eastAsia"/>
          <w:sz w:val="24"/>
        </w:rPr>
        <w:t>阳</w:t>
      </w:r>
      <w:r>
        <w:rPr>
          <w:sz w:val="24"/>
        </w:rPr>
        <w:t>阜南</w:t>
      </w:r>
      <w:proofErr w:type="gramStart"/>
      <w:r>
        <w:rPr>
          <w:sz w:val="24"/>
        </w:rPr>
        <w:t>祥</w:t>
      </w:r>
      <w:proofErr w:type="gramEnd"/>
      <w:r>
        <w:rPr>
          <w:sz w:val="24"/>
        </w:rPr>
        <w:t>源城</w:t>
      </w:r>
      <w:r>
        <w:rPr>
          <w:sz w:val="24"/>
        </w:rPr>
        <w:t>10</w:t>
      </w:r>
      <w:r>
        <w:rPr>
          <w:sz w:val="24"/>
        </w:rPr>
        <w:t>套房产，已完成</w:t>
      </w:r>
      <w:r w:rsidRPr="00C05F98">
        <w:rPr>
          <w:rFonts w:hint="eastAsia"/>
          <w:sz w:val="24"/>
        </w:rPr>
        <w:t>房产不动产权证</w:t>
      </w:r>
      <w:r>
        <w:rPr>
          <w:sz w:val="24"/>
        </w:rPr>
        <w:t>办理工作，未来公司将按照公告承诺时间完成对供应商工抵。</w:t>
      </w:r>
    </w:p>
    <w:p w:rsidR="000D3334" w:rsidRDefault="000D3334" w:rsidP="000D3334">
      <w:pPr>
        <w:spacing w:beforeLines="50" w:before="120" w:line="360" w:lineRule="auto"/>
        <w:ind w:firstLineChars="200" w:firstLine="480"/>
        <w:rPr>
          <w:sz w:val="24"/>
        </w:rPr>
      </w:pPr>
      <w:r w:rsidRPr="00D12124">
        <w:rPr>
          <w:rFonts w:hint="eastAsia"/>
          <w:sz w:val="24"/>
        </w:rPr>
        <w:t>本次对供应商抵债价格按照公告交易价格执行，未对公司造成损失，剩余房产公</w:t>
      </w:r>
      <w:r w:rsidRPr="00D12124">
        <w:rPr>
          <w:rFonts w:hint="eastAsia"/>
          <w:sz w:val="24"/>
        </w:rPr>
        <w:lastRenderedPageBreak/>
        <w:t>司将按照承诺如期处置完毕。</w:t>
      </w:r>
    </w:p>
    <w:p w:rsidR="000D3334" w:rsidRPr="00F57E15" w:rsidRDefault="000D3334" w:rsidP="000D3334">
      <w:pPr>
        <w:spacing w:beforeLines="50" w:before="120" w:line="360" w:lineRule="auto"/>
        <w:ind w:firstLineChars="200" w:firstLine="482"/>
        <w:outlineLvl w:val="1"/>
        <w:rPr>
          <w:b/>
          <w:bCs/>
          <w:sz w:val="24"/>
        </w:rPr>
      </w:pPr>
      <w:r w:rsidRPr="00F57E15">
        <w:rPr>
          <w:rFonts w:hint="eastAsia"/>
          <w:b/>
          <w:bCs/>
          <w:sz w:val="24"/>
        </w:rPr>
        <w:t>（二）期末相关房产是否存在减值情况</w:t>
      </w:r>
    </w:p>
    <w:p w:rsidR="000D3334" w:rsidRDefault="000D3334" w:rsidP="000D3334">
      <w:pPr>
        <w:spacing w:beforeLines="50" w:before="120" w:line="360" w:lineRule="auto"/>
        <w:ind w:firstLineChars="200" w:firstLine="480"/>
        <w:rPr>
          <w:sz w:val="24"/>
        </w:rPr>
      </w:pPr>
      <w:r>
        <w:rPr>
          <w:rFonts w:hint="eastAsia"/>
          <w:sz w:val="24"/>
        </w:rPr>
        <w:t>因评估基准日与资产负债表日间隔较短，且通过公开市场交易价格查询可以确认，截至报告期</w:t>
      </w:r>
      <w:r w:rsidRPr="00014145">
        <w:rPr>
          <w:rFonts w:hint="eastAsia"/>
          <w:sz w:val="24"/>
        </w:rPr>
        <w:t>期末相关房产</w:t>
      </w:r>
      <w:r>
        <w:rPr>
          <w:rFonts w:hint="eastAsia"/>
          <w:sz w:val="24"/>
        </w:rPr>
        <w:t>不</w:t>
      </w:r>
      <w:r w:rsidRPr="00014145">
        <w:rPr>
          <w:rFonts w:hint="eastAsia"/>
          <w:sz w:val="24"/>
        </w:rPr>
        <w:t>存在减值情况</w:t>
      </w:r>
      <w:r>
        <w:rPr>
          <w:rFonts w:hint="eastAsia"/>
          <w:sz w:val="24"/>
        </w:rPr>
        <w:t>。</w:t>
      </w:r>
    </w:p>
    <w:p w:rsidR="000D3334" w:rsidRPr="00F57E15" w:rsidRDefault="000D3334" w:rsidP="000D3334">
      <w:pPr>
        <w:spacing w:beforeLines="50" w:before="120" w:line="360" w:lineRule="auto"/>
        <w:ind w:firstLineChars="200" w:firstLine="482"/>
        <w:outlineLvl w:val="1"/>
        <w:rPr>
          <w:b/>
          <w:bCs/>
          <w:sz w:val="24"/>
        </w:rPr>
      </w:pPr>
      <w:r w:rsidRPr="00F57E15">
        <w:rPr>
          <w:rFonts w:hint="eastAsia"/>
          <w:b/>
          <w:bCs/>
          <w:sz w:val="24"/>
        </w:rPr>
        <w:t>（</w:t>
      </w:r>
      <w:r>
        <w:rPr>
          <w:rFonts w:hint="eastAsia"/>
          <w:b/>
          <w:bCs/>
          <w:sz w:val="24"/>
        </w:rPr>
        <w:t>三</w:t>
      </w:r>
      <w:r w:rsidRPr="00F57E15">
        <w:rPr>
          <w:rFonts w:hint="eastAsia"/>
          <w:b/>
          <w:bCs/>
          <w:sz w:val="24"/>
        </w:rPr>
        <w:t>）</w:t>
      </w:r>
      <w:r>
        <w:rPr>
          <w:rFonts w:hint="eastAsia"/>
          <w:b/>
          <w:bCs/>
          <w:sz w:val="24"/>
        </w:rPr>
        <w:t>控股股东承诺履行情况</w:t>
      </w:r>
    </w:p>
    <w:p w:rsidR="000D3334" w:rsidRDefault="000D3334" w:rsidP="000D3334">
      <w:pPr>
        <w:spacing w:beforeLines="50" w:before="120" w:line="360" w:lineRule="auto"/>
        <w:ind w:firstLineChars="200" w:firstLine="480"/>
        <w:rPr>
          <w:sz w:val="24"/>
        </w:rPr>
      </w:pPr>
      <w:r w:rsidRPr="00565B86">
        <w:rPr>
          <w:rFonts w:hint="eastAsia"/>
          <w:sz w:val="24"/>
        </w:rPr>
        <w:t>公司控股股东承诺</w:t>
      </w:r>
      <w:r>
        <w:rPr>
          <w:rFonts w:hint="eastAsia"/>
          <w:sz w:val="24"/>
        </w:rPr>
        <w:t>：</w:t>
      </w:r>
      <w:r w:rsidRPr="00421E0F">
        <w:rPr>
          <w:sz w:val="24"/>
        </w:rPr>
        <w:t>为充分保障</w:t>
      </w:r>
      <w:r>
        <w:rPr>
          <w:rFonts w:hint="eastAsia"/>
          <w:sz w:val="24"/>
        </w:rPr>
        <w:t>公司</w:t>
      </w:r>
      <w:r w:rsidRPr="00421E0F">
        <w:rPr>
          <w:sz w:val="24"/>
        </w:rPr>
        <w:t>利益，本次以资抵债交易完成后，若</w:t>
      </w:r>
      <w:r>
        <w:rPr>
          <w:rFonts w:hint="eastAsia"/>
          <w:sz w:val="24"/>
        </w:rPr>
        <w:t>公司</w:t>
      </w:r>
      <w:r w:rsidRPr="00421E0F">
        <w:rPr>
          <w:sz w:val="24"/>
        </w:rPr>
        <w:t>在处置抵债房产过程中产生减值损失的，由</w:t>
      </w:r>
      <w:r>
        <w:rPr>
          <w:rFonts w:hint="eastAsia"/>
          <w:sz w:val="24"/>
        </w:rPr>
        <w:t>控股股东</w:t>
      </w:r>
      <w:r w:rsidRPr="00421E0F">
        <w:rPr>
          <w:sz w:val="24"/>
        </w:rPr>
        <w:t>或其控股子公司负责对减值损失部分进行全额现金补偿；若</w:t>
      </w:r>
      <w:r>
        <w:rPr>
          <w:rFonts w:hint="eastAsia"/>
          <w:sz w:val="24"/>
        </w:rPr>
        <w:t>公司</w:t>
      </w:r>
      <w:r w:rsidRPr="00421E0F">
        <w:rPr>
          <w:sz w:val="24"/>
        </w:rPr>
        <w:t>在</w:t>
      </w:r>
      <w:r w:rsidRPr="00421E0F">
        <w:rPr>
          <w:sz w:val="24"/>
        </w:rPr>
        <w:t>2</w:t>
      </w:r>
      <w:r w:rsidRPr="00421E0F">
        <w:rPr>
          <w:sz w:val="24"/>
        </w:rPr>
        <w:t>年内未能完成抵债房产处置，由</w:t>
      </w:r>
      <w:r>
        <w:rPr>
          <w:rFonts w:hint="eastAsia"/>
          <w:sz w:val="24"/>
        </w:rPr>
        <w:t>控股股东</w:t>
      </w:r>
      <w:r w:rsidRPr="00421E0F">
        <w:rPr>
          <w:sz w:val="24"/>
        </w:rPr>
        <w:t>或其控股子公司负责对尚未处置的房产按本次抵债价格进行回购。上述补偿及回购责任须在条件触发后</w:t>
      </w:r>
      <w:r w:rsidRPr="00421E0F">
        <w:rPr>
          <w:sz w:val="24"/>
        </w:rPr>
        <w:t>3</w:t>
      </w:r>
      <w:r w:rsidRPr="00421E0F">
        <w:rPr>
          <w:sz w:val="24"/>
        </w:rPr>
        <w:t>个月内履行完毕。</w:t>
      </w:r>
    </w:p>
    <w:p w:rsidR="000D3334" w:rsidRPr="00182E6D" w:rsidRDefault="000D3334" w:rsidP="000D3334">
      <w:pPr>
        <w:spacing w:beforeLines="50" w:before="120" w:line="360" w:lineRule="auto"/>
        <w:ind w:firstLineChars="200" w:firstLine="480"/>
        <w:rPr>
          <w:sz w:val="24"/>
        </w:rPr>
      </w:pPr>
      <w:r>
        <w:rPr>
          <w:rFonts w:hint="eastAsia"/>
          <w:sz w:val="24"/>
        </w:rPr>
        <w:t>截至目前，公司大部分房产已完成对</w:t>
      </w:r>
      <w:proofErr w:type="gramStart"/>
      <w:r>
        <w:rPr>
          <w:rFonts w:hint="eastAsia"/>
          <w:sz w:val="24"/>
        </w:rPr>
        <w:t>下工抵且未</w:t>
      </w:r>
      <w:proofErr w:type="gramEnd"/>
      <w:r>
        <w:rPr>
          <w:rFonts w:hint="eastAsia"/>
          <w:sz w:val="24"/>
        </w:rPr>
        <w:t>发生</w:t>
      </w:r>
      <w:proofErr w:type="gramStart"/>
      <w:r>
        <w:rPr>
          <w:rFonts w:hint="eastAsia"/>
          <w:sz w:val="24"/>
        </w:rPr>
        <w:t>折价工抵的</w:t>
      </w:r>
      <w:proofErr w:type="gramEnd"/>
      <w:r>
        <w:rPr>
          <w:rFonts w:hint="eastAsia"/>
          <w:sz w:val="24"/>
        </w:rPr>
        <w:t>情形，剩余未抵房产</w:t>
      </w:r>
      <w:proofErr w:type="gramStart"/>
      <w:r>
        <w:rPr>
          <w:rFonts w:hint="eastAsia"/>
          <w:sz w:val="24"/>
        </w:rPr>
        <w:t>期末</w:t>
      </w:r>
      <w:r w:rsidRPr="00A8730D">
        <w:rPr>
          <w:rFonts w:hint="eastAsia"/>
          <w:sz w:val="24"/>
        </w:rPr>
        <w:t>不</w:t>
      </w:r>
      <w:proofErr w:type="gramEnd"/>
      <w:r w:rsidRPr="00A8730D">
        <w:rPr>
          <w:rFonts w:hint="eastAsia"/>
          <w:sz w:val="24"/>
        </w:rPr>
        <w:t>存在减值情况</w:t>
      </w:r>
      <w:r>
        <w:rPr>
          <w:rFonts w:hint="eastAsia"/>
          <w:sz w:val="24"/>
        </w:rPr>
        <w:t>，故尚未触发控股股东需履行相关承诺的情况。</w:t>
      </w:r>
    </w:p>
    <w:p w:rsidR="000D3334" w:rsidRDefault="000D3334" w:rsidP="000D3334">
      <w:pPr>
        <w:spacing w:beforeLines="50" w:before="120" w:line="360" w:lineRule="auto"/>
        <w:ind w:firstLineChars="200" w:firstLine="482"/>
        <w:outlineLvl w:val="0"/>
        <w:rPr>
          <w:b/>
          <w:bCs/>
          <w:sz w:val="24"/>
        </w:rPr>
      </w:pPr>
      <w:r>
        <w:rPr>
          <w:rFonts w:hint="eastAsia"/>
          <w:b/>
          <w:bCs/>
          <w:sz w:val="24"/>
        </w:rPr>
        <w:t>四、</w:t>
      </w:r>
      <w:r>
        <w:rPr>
          <w:b/>
          <w:bCs/>
          <w:sz w:val="24"/>
        </w:rPr>
        <w:t>补充收购标的</w:t>
      </w:r>
      <w:r>
        <w:rPr>
          <w:b/>
          <w:bCs/>
          <w:sz w:val="24"/>
        </w:rPr>
        <w:t>2024</w:t>
      </w:r>
      <w:r>
        <w:rPr>
          <w:b/>
          <w:bCs/>
          <w:sz w:val="24"/>
        </w:rPr>
        <w:t>年业绩情况，结合承诺期满关联方以资抵债等情况，说明是否存在承诺期通过关联交易完成业绩承诺、承诺期满关联应收款回收困难的情况，进而说明承诺期内收入及利润的确认是否真实、准确、审慎</w:t>
      </w:r>
    </w:p>
    <w:p w:rsidR="000D3334" w:rsidRPr="00740918" w:rsidRDefault="000D3334" w:rsidP="000D3334">
      <w:pPr>
        <w:spacing w:beforeLines="50" w:before="120" w:line="360" w:lineRule="auto"/>
        <w:ind w:firstLineChars="200" w:firstLine="482"/>
        <w:outlineLvl w:val="1"/>
        <w:rPr>
          <w:b/>
          <w:bCs/>
          <w:sz w:val="24"/>
        </w:rPr>
      </w:pPr>
      <w:r w:rsidRPr="00740918">
        <w:rPr>
          <w:rFonts w:hint="eastAsia"/>
          <w:b/>
          <w:bCs/>
          <w:sz w:val="24"/>
        </w:rPr>
        <w:t>（一）补充收购标的</w:t>
      </w:r>
      <w:r w:rsidRPr="00740918">
        <w:rPr>
          <w:b/>
          <w:bCs/>
          <w:sz w:val="24"/>
        </w:rPr>
        <w:t>2024</w:t>
      </w:r>
      <w:r w:rsidRPr="00740918">
        <w:rPr>
          <w:rFonts w:hint="eastAsia"/>
          <w:b/>
          <w:bCs/>
          <w:sz w:val="24"/>
        </w:rPr>
        <w:t>年业绩情况</w:t>
      </w:r>
    </w:p>
    <w:p w:rsidR="000D3334" w:rsidRDefault="000D3334" w:rsidP="000D3334">
      <w:pPr>
        <w:spacing w:beforeLines="50" w:before="120" w:line="360" w:lineRule="auto"/>
        <w:ind w:firstLineChars="200" w:firstLine="480"/>
        <w:rPr>
          <w:sz w:val="24"/>
        </w:rPr>
      </w:pPr>
      <w:r w:rsidRPr="00995A0F">
        <w:rPr>
          <w:rFonts w:hint="eastAsia"/>
          <w:sz w:val="24"/>
        </w:rPr>
        <w:t>交</w:t>
      </w:r>
      <w:proofErr w:type="gramStart"/>
      <w:r w:rsidRPr="00995A0F">
        <w:rPr>
          <w:rFonts w:hint="eastAsia"/>
          <w:sz w:val="24"/>
        </w:rPr>
        <w:t>建</w:t>
      </w:r>
      <w:proofErr w:type="gramEnd"/>
      <w:r w:rsidRPr="00995A0F">
        <w:rPr>
          <w:rFonts w:hint="eastAsia"/>
          <w:sz w:val="24"/>
        </w:rPr>
        <w:t>建筑</w:t>
      </w:r>
      <w:r w:rsidRPr="00995A0F">
        <w:rPr>
          <w:rFonts w:hint="eastAsia"/>
          <w:sz w:val="24"/>
        </w:rPr>
        <w:t>2021</w:t>
      </w:r>
      <w:r>
        <w:rPr>
          <w:rFonts w:hint="eastAsia"/>
          <w:sz w:val="24"/>
        </w:rPr>
        <w:t>年度至</w:t>
      </w:r>
      <w:r w:rsidRPr="00995A0F">
        <w:rPr>
          <w:rFonts w:hint="eastAsia"/>
          <w:sz w:val="24"/>
        </w:rPr>
        <w:t>2024</w:t>
      </w:r>
      <w:r w:rsidRPr="00995A0F">
        <w:rPr>
          <w:rFonts w:hint="eastAsia"/>
          <w:sz w:val="24"/>
        </w:rPr>
        <w:t>年度</w:t>
      </w:r>
      <w:r>
        <w:rPr>
          <w:rFonts w:hint="eastAsia"/>
          <w:sz w:val="24"/>
        </w:rPr>
        <w:t>收入及利润</w:t>
      </w:r>
      <w:r w:rsidRPr="00995A0F">
        <w:rPr>
          <w:rFonts w:hint="eastAsia"/>
          <w:sz w:val="24"/>
        </w:rPr>
        <w:t>情况如下：</w:t>
      </w:r>
    </w:p>
    <w:p w:rsidR="000D3334" w:rsidRPr="008E123F" w:rsidRDefault="000D3334" w:rsidP="000D3334">
      <w:pPr>
        <w:spacing w:beforeLines="50" w:before="120"/>
        <w:ind w:firstLineChars="200" w:firstLine="420"/>
        <w:jc w:val="right"/>
        <w:rPr>
          <w:bCs/>
          <w:szCs w:val="21"/>
        </w:rPr>
      </w:pPr>
      <w:r w:rsidRPr="008E123F">
        <w:rPr>
          <w:rFonts w:hint="eastAsia"/>
          <w:bCs/>
          <w:szCs w:val="21"/>
        </w:rPr>
        <w:t>单位：万元</w:t>
      </w:r>
    </w:p>
    <w:tbl>
      <w:tblPr>
        <w:tblStyle w:val="a9"/>
        <w:tblW w:w="4998"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00"/>
        <w:gridCol w:w="1525"/>
        <w:gridCol w:w="1525"/>
        <w:gridCol w:w="1525"/>
        <w:gridCol w:w="1524"/>
      </w:tblGrid>
      <w:tr w:rsidR="000D3334" w:rsidTr="00F3634B">
        <w:trPr>
          <w:trHeight w:val="425"/>
          <w:tblHeader/>
          <w:jc w:val="center"/>
        </w:trPr>
        <w:tc>
          <w:tcPr>
            <w:tcW w:w="1611"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rPr>
              <w:t>项目</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w:t>
            </w:r>
            <w:r>
              <w:rPr>
                <w:rFonts w:hint="eastAsia"/>
                <w:b/>
                <w:bCs/>
                <w:color w:val="000000"/>
                <w:szCs w:val="21"/>
                <w:lang w:bidi="ar"/>
              </w:rPr>
              <w:t>4</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2023</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2022</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2021</w:t>
            </w:r>
            <w:r>
              <w:rPr>
                <w:b/>
                <w:bCs/>
                <w:color w:val="000000"/>
                <w:szCs w:val="21"/>
                <w:lang w:bidi="ar"/>
              </w:rPr>
              <w:t>年度</w:t>
            </w:r>
          </w:p>
        </w:tc>
      </w:tr>
      <w:tr w:rsidR="000D3334" w:rsidTr="00F3634B">
        <w:trPr>
          <w:trHeight w:val="425"/>
          <w:jc w:val="center"/>
        </w:trPr>
        <w:tc>
          <w:tcPr>
            <w:tcW w:w="1611" w:type="pct"/>
            <w:vAlign w:val="center"/>
          </w:tcPr>
          <w:p w:rsidR="000D3334" w:rsidRDefault="000D3334" w:rsidP="00F3634B">
            <w:pPr>
              <w:widowControl/>
              <w:jc w:val="left"/>
              <w:textAlignment w:val="center"/>
              <w:rPr>
                <w:szCs w:val="21"/>
              </w:rPr>
            </w:pPr>
            <w:r>
              <w:rPr>
                <w:color w:val="000000"/>
                <w:szCs w:val="21"/>
                <w:lang w:bidi="ar"/>
              </w:rPr>
              <w:t>营业收入</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69,136.78</w:t>
            </w:r>
          </w:p>
        </w:tc>
        <w:tc>
          <w:tcPr>
            <w:tcW w:w="847" w:type="pct"/>
            <w:shd w:val="clear" w:color="auto" w:fill="auto"/>
            <w:vAlign w:val="center"/>
          </w:tcPr>
          <w:p w:rsidR="000D3334" w:rsidRDefault="000D3334" w:rsidP="00F3634B">
            <w:pPr>
              <w:jc w:val="right"/>
              <w:rPr>
                <w:color w:val="000000"/>
                <w:szCs w:val="21"/>
              </w:rPr>
            </w:pPr>
            <w:r>
              <w:rPr>
                <w:color w:val="000000"/>
                <w:szCs w:val="21"/>
              </w:rPr>
              <w:t>93,207.37</w:t>
            </w:r>
          </w:p>
        </w:tc>
        <w:tc>
          <w:tcPr>
            <w:tcW w:w="847" w:type="pct"/>
            <w:shd w:val="clear" w:color="auto" w:fill="auto"/>
            <w:vAlign w:val="center"/>
          </w:tcPr>
          <w:p w:rsidR="000D3334" w:rsidRDefault="000D3334" w:rsidP="00F3634B">
            <w:pPr>
              <w:jc w:val="right"/>
              <w:rPr>
                <w:color w:val="000000"/>
                <w:szCs w:val="21"/>
              </w:rPr>
            </w:pPr>
            <w:r>
              <w:rPr>
                <w:color w:val="000000"/>
                <w:szCs w:val="21"/>
              </w:rPr>
              <w:t>81,108.91</w:t>
            </w:r>
          </w:p>
        </w:tc>
        <w:tc>
          <w:tcPr>
            <w:tcW w:w="847" w:type="pct"/>
            <w:shd w:val="clear" w:color="auto" w:fill="auto"/>
            <w:vAlign w:val="center"/>
          </w:tcPr>
          <w:p w:rsidR="000D3334" w:rsidRDefault="000D3334" w:rsidP="00F3634B">
            <w:pPr>
              <w:jc w:val="right"/>
              <w:rPr>
                <w:color w:val="000000"/>
                <w:szCs w:val="21"/>
              </w:rPr>
            </w:pPr>
            <w:r>
              <w:rPr>
                <w:color w:val="000000"/>
                <w:szCs w:val="21"/>
              </w:rPr>
              <w:t>91,305.84</w:t>
            </w:r>
          </w:p>
        </w:tc>
      </w:tr>
      <w:tr w:rsidR="000D3334" w:rsidTr="00F3634B">
        <w:trPr>
          <w:trHeight w:val="425"/>
          <w:jc w:val="center"/>
        </w:trPr>
        <w:tc>
          <w:tcPr>
            <w:tcW w:w="1611" w:type="pct"/>
            <w:vAlign w:val="center"/>
          </w:tcPr>
          <w:p w:rsidR="000D3334" w:rsidRDefault="000D3334" w:rsidP="00F3634B">
            <w:pPr>
              <w:widowControl/>
              <w:jc w:val="left"/>
              <w:textAlignment w:val="center"/>
              <w:rPr>
                <w:color w:val="000000"/>
                <w:szCs w:val="21"/>
                <w:lang w:bidi="ar"/>
              </w:rPr>
            </w:pPr>
            <w:r>
              <w:rPr>
                <w:rFonts w:hint="eastAsia"/>
                <w:color w:val="000000"/>
                <w:szCs w:val="21"/>
                <w:lang w:bidi="ar"/>
              </w:rPr>
              <w:t>其中：</w:t>
            </w:r>
            <w:r>
              <w:rPr>
                <w:color w:val="000000"/>
                <w:szCs w:val="21"/>
                <w:lang w:bidi="ar"/>
              </w:rPr>
              <w:t>关联销售收入</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21,232.27</w:t>
            </w:r>
          </w:p>
        </w:tc>
        <w:tc>
          <w:tcPr>
            <w:tcW w:w="847" w:type="pct"/>
            <w:shd w:val="clear" w:color="auto" w:fill="auto"/>
            <w:vAlign w:val="center"/>
          </w:tcPr>
          <w:p w:rsidR="000D3334" w:rsidRDefault="000D3334" w:rsidP="00F3634B">
            <w:pPr>
              <w:jc w:val="right"/>
              <w:rPr>
                <w:color w:val="000000"/>
                <w:szCs w:val="21"/>
              </w:rPr>
            </w:pPr>
            <w:r>
              <w:rPr>
                <w:color w:val="000000"/>
                <w:szCs w:val="21"/>
              </w:rPr>
              <w:t>46,819.33</w:t>
            </w:r>
          </w:p>
        </w:tc>
        <w:tc>
          <w:tcPr>
            <w:tcW w:w="847" w:type="pct"/>
            <w:shd w:val="clear" w:color="auto" w:fill="auto"/>
            <w:vAlign w:val="center"/>
          </w:tcPr>
          <w:p w:rsidR="000D3334" w:rsidRDefault="000D3334" w:rsidP="00F3634B">
            <w:pPr>
              <w:jc w:val="right"/>
              <w:rPr>
                <w:color w:val="000000"/>
                <w:szCs w:val="21"/>
              </w:rPr>
            </w:pPr>
            <w:r>
              <w:rPr>
                <w:color w:val="000000"/>
                <w:szCs w:val="21"/>
              </w:rPr>
              <w:t>66,969.51</w:t>
            </w:r>
          </w:p>
        </w:tc>
        <w:tc>
          <w:tcPr>
            <w:tcW w:w="847" w:type="pct"/>
            <w:shd w:val="clear" w:color="auto" w:fill="auto"/>
            <w:vAlign w:val="center"/>
          </w:tcPr>
          <w:p w:rsidR="000D3334" w:rsidRDefault="000D3334" w:rsidP="00F3634B">
            <w:pPr>
              <w:jc w:val="right"/>
              <w:rPr>
                <w:color w:val="000000"/>
                <w:szCs w:val="21"/>
              </w:rPr>
            </w:pPr>
            <w:r>
              <w:rPr>
                <w:color w:val="000000"/>
                <w:szCs w:val="21"/>
              </w:rPr>
              <w:t>86,808.57</w:t>
            </w:r>
          </w:p>
        </w:tc>
      </w:tr>
      <w:tr w:rsidR="000D3334" w:rsidTr="00F3634B">
        <w:trPr>
          <w:trHeight w:val="425"/>
          <w:jc w:val="center"/>
        </w:trPr>
        <w:tc>
          <w:tcPr>
            <w:tcW w:w="1611" w:type="pct"/>
            <w:vAlign w:val="center"/>
          </w:tcPr>
          <w:p w:rsidR="000D3334" w:rsidRDefault="000D3334" w:rsidP="000D3334">
            <w:pPr>
              <w:widowControl/>
              <w:ind w:firstLineChars="300" w:firstLine="600"/>
              <w:jc w:val="left"/>
              <w:textAlignment w:val="center"/>
              <w:rPr>
                <w:color w:val="000000"/>
                <w:szCs w:val="21"/>
                <w:lang w:bidi="ar"/>
              </w:rPr>
            </w:pPr>
            <w:r>
              <w:rPr>
                <w:rFonts w:hint="eastAsia"/>
                <w:color w:val="000000"/>
                <w:szCs w:val="21"/>
                <w:lang w:bidi="ar"/>
              </w:rPr>
              <w:t>非关联销售收入</w:t>
            </w:r>
          </w:p>
        </w:tc>
        <w:tc>
          <w:tcPr>
            <w:tcW w:w="847" w:type="pct"/>
            <w:shd w:val="clear" w:color="auto" w:fill="auto"/>
            <w:vAlign w:val="center"/>
          </w:tcPr>
          <w:p w:rsidR="000D3334" w:rsidRDefault="000D3334" w:rsidP="00F3634B">
            <w:pPr>
              <w:jc w:val="right"/>
              <w:rPr>
                <w:color w:val="000000"/>
                <w:szCs w:val="21"/>
              </w:rPr>
            </w:pPr>
            <w:r>
              <w:rPr>
                <w:color w:val="000000"/>
                <w:szCs w:val="21"/>
              </w:rPr>
              <w:t xml:space="preserve">47,904.51 </w:t>
            </w:r>
          </w:p>
        </w:tc>
        <w:tc>
          <w:tcPr>
            <w:tcW w:w="847" w:type="pct"/>
            <w:shd w:val="clear" w:color="auto" w:fill="auto"/>
            <w:vAlign w:val="center"/>
          </w:tcPr>
          <w:p w:rsidR="000D3334" w:rsidRDefault="000D3334" w:rsidP="00F3634B">
            <w:pPr>
              <w:jc w:val="right"/>
              <w:rPr>
                <w:color w:val="000000"/>
                <w:szCs w:val="21"/>
              </w:rPr>
            </w:pPr>
            <w:r>
              <w:rPr>
                <w:color w:val="000000"/>
                <w:szCs w:val="21"/>
              </w:rPr>
              <w:t xml:space="preserve">46,388.04 </w:t>
            </w:r>
          </w:p>
        </w:tc>
        <w:tc>
          <w:tcPr>
            <w:tcW w:w="847" w:type="pct"/>
            <w:shd w:val="clear" w:color="auto" w:fill="auto"/>
            <w:vAlign w:val="center"/>
          </w:tcPr>
          <w:p w:rsidR="000D3334" w:rsidRDefault="000D3334" w:rsidP="00F3634B">
            <w:pPr>
              <w:jc w:val="right"/>
              <w:rPr>
                <w:color w:val="000000"/>
                <w:szCs w:val="21"/>
              </w:rPr>
            </w:pPr>
            <w:r>
              <w:rPr>
                <w:color w:val="000000"/>
                <w:szCs w:val="21"/>
              </w:rPr>
              <w:t xml:space="preserve">14,139.40 </w:t>
            </w:r>
          </w:p>
        </w:tc>
        <w:tc>
          <w:tcPr>
            <w:tcW w:w="847" w:type="pct"/>
            <w:shd w:val="clear" w:color="auto" w:fill="auto"/>
            <w:vAlign w:val="center"/>
          </w:tcPr>
          <w:p w:rsidR="000D3334" w:rsidRDefault="000D3334" w:rsidP="00F3634B">
            <w:pPr>
              <w:jc w:val="right"/>
              <w:rPr>
                <w:color w:val="000000"/>
                <w:szCs w:val="21"/>
              </w:rPr>
            </w:pPr>
            <w:r>
              <w:rPr>
                <w:color w:val="000000"/>
                <w:szCs w:val="21"/>
              </w:rPr>
              <w:t xml:space="preserve">4,497.27 </w:t>
            </w:r>
          </w:p>
        </w:tc>
      </w:tr>
      <w:tr w:rsidR="000D3334" w:rsidTr="00F3634B">
        <w:trPr>
          <w:trHeight w:val="425"/>
          <w:jc w:val="center"/>
        </w:trPr>
        <w:tc>
          <w:tcPr>
            <w:tcW w:w="1611" w:type="pct"/>
            <w:vAlign w:val="center"/>
          </w:tcPr>
          <w:p w:rsidR="000D3334" w:rsidRDefault="000D3334" w:rsidP="000D3334">
            <w:pPr>
              <w:widowControl/>
              <w:ind w:firstLineChars="300" w:firstLine="600"/>
              <w:jc w:val="left"/>
              <w:textAlignment w:val="center"/>
              <w:rPr>
                <w:szCs w:val="21"/>
              </w:rPr>
            </w:pPr>
            <w:r>
              <w:rPr>
                <w:color w:val="000000"/>
                <w:szCs w:val="21"/>
                <w:lang w:bidi="ar"/>
              </w:rPr>
              <w:t>关联收入占比（</w:t>
            </w:r>
            <w:r>
              <w:rPr>
                <w:color w:val="000000"/>
                <w:szCs w:val="21"/>
                <w:lang w:bidi="ar"/>
              </w:rPr>
              <w:t>%</w:t>
            </w:r>
            <w:r>
              <w:rPr>
                <w:color w:val="000000"/>
                <w:szCs w:val="21"/>
                <w:lang w:bidi="ar"/>
              </w:rPr>
              <w:t>）</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30.71</w:t>
            </w:r>
          </w:p>
        </w:tc>
        <w:tc>
          <w:tcPr>
            <w:tcW w:w="847" w:type="pct"/>
            <w:shd w:val="clear" w:color="auto" w:fill="auto"/>
            <w:vAlign w:val="center"/>
          </w:tcPr>
          <w:p w:rsidR="000D3334" w:rsidRDefault="000D3334" w:rsidP="00F3634B">
            <w:pPr>
              <w:jc w:val="right"/>
              <w:rPr>
                <w:color w:val="000000"/>
                <w:szCs w:val="21"/>
              </w:rPr>
            </w:pPr>
            <w:r>
              <w:rPr>
                <w:color w:val="000000"/>
                <w:szCs w:val="21"/>
              </w:rPr>
              <w:t>50.23</w:t>
            </w:r>
          </w:p>
        </w:tc>
        <w:tc>
          <w:tcPr>
            <w:tcW w:w="847" w:type="pct"/>
            <w:shd w:val="clear" w:color="auto" w:fill="auto"/>
            <w:vAlign w:val="center"/>
          </w:tcPr>
          <w:p w:rsidR="000D3334" w:rsidRDefault="000D3334" w:rsidP="00F3634B">
            <w:pPr>
              <w:jc w:val="right"/>
              <w:rPr>
                <w:color w:val="000000"/>
                <w:szCs w:val="21"/>
              </w:rPr>
            </w:pPr>
            <w:r>
              <w:rPr>
                <w:color w:val="000000"/>
                <w:szCs w:val="21"/>
              </w:rPr>
              <w:t>82.57</w:t>
            </w:r>
          </w:p>
        </w:tc>
        <w:tc>
          <w:tcPr>
            <w:tcW w:w="847" w:type="pct"/>
            <w:shd w:val="clear" w:color="auto" w:fill="auto"/>
            <w:vAlign w:val="center"/>
          </w:tcPr>
          <w:p w:rsidR="000D3334" w:rsidRDefault="000D3334" w:rsidP="00F3634B">
            <w:pPr>
              <w:jc w:val="right"/>
              <w:rPr>
                <w:color w:val="000000"/>
                <w:szCs w:val="21"/>
              </w:rPr>
            </w:pPr>
            <w:r>
              <w:rPr>
                <w:color w:val="000000"/>
                <w:szCs w:val="21"/>
              </w:rPr>
              <w:t>95.07</w:t>
            </w:r>
          </w:p>
        </w:tc>
      </w:tr>
      <w:tr w:rsidR="000D3334" w:rsidTr="00F3634B">
        <w:trPr>
          <w:trHeight w:val="425"/>
          <w:jc w:val="center"/>
        </w:trPr>
        <w:tc>
          <w:tcPr>
            <w:tcW w:w="1611" w:type="pct"/>
            <w:vAlign w:val="center"/>
          </w:tcPr>
          <w:p w:rsidR="000D3334" w:rsidRDefault="000D3334" w:rsidP="00F3634B">
            <w:pPr>
              <w:widowControl/>
              <w:jc w:val="left"/>
              <w:textAlignment w:val="center"/>
              <w:rPr>
                <w:color w:val="000000"/>
                <w:szCs w:val="21"/>
                <w:lang w:bidi="ar"/>
              </w:rPr>
            </w:pPr>
            <w:r>
              <w:rPr>
                <w:color w:val="000000"/>
                <w:szCs w:val="21"/>
                <w:lang w:bidi="ar"/>
              </w:rPr>
              <w:t>净利润</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 xml:space="preserve"> 1,457.40 </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 xml:space="preserve"> 6,053.30 </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 xml:space="preserve"> 3,447.63 </w:t>
            </w:r>
          </w:p>
        </w:tc>
        <w:tc>
          <w:tcPr>
            <w:tcW w:w="847" w:type="pct"/>
            <w:shd w:val="clear" w:color="auto" w:fill="auto"/>
            <w:vAlign w:val="center"/>
          </w:tcPr>
          <w:p w:rsidR="000D3334" w:rsidRDefault="000D3334" w:rsidP="00F3634B">
            <w:pPr>
              <w:jc w:val="right"/>
              <w:rPr>
                <w:color w:val="000000"/>
                <w:szCs w:val="21"/>
              </w:rPr>
            </w:pPr>
            <w:r>
              <w:rPr>
                <w:rFonts w:hint="eastAsia"/>
                <w:color w:val="000000"/>
                <w:szCs w:val="21"/>
              </w:rPr>
              <w:t xml:space="preserve"> 4,068.48 </w:t>
            </w:r>
          </w:p>
        </w:tc>
      </w:tr>
    </w:tbl>
    <w:p w:rsidR="000D3334" w:rsidRDefault="000D3334" w:rsidP="000D3334">
      <w:pPr>
        <w:spacing w:beforeLines="50" w:before="120" w:line="360" w:lineRule="auto"/>
        <w:ind w:firstLineChars="200" w:firstLine="480"/>
        <w:rPr>
          <w:sz w:val="24"/>
        </w:rPr>
      </w:pPr>
      <w:r>
        <w:rPr>
          <w:rFonts w:hint="eastAsia"/>
          <w:sz w:val="24"/>
        </w:rPr>
        <w:t>如上表所示，</w:t>
      </w:r>
      <w:r w:rsidRPr="00615265">
        <w:rPr>
          <w:rFonts w:hint="eastAsia"/>
          <w:sz w:val="24"/>
        </w:rPr>
        <w:t>交</w:t>
      </w:r>
      <w:proofErr w:type="gramStart"/>
      <w:r w:rsidRPr="00615265">
        <w:rPr>
          <w:rFonts w:hint="eastAsia"/>
          <w:sz w:val="24"/>
        </w:rPr>
        <w:t>建</w:t>
      </w:r>
      <w:proofErr w:type="gramEnd"/>
      <w:r w:rsidRPr="00615265">
        <w:rPr>
          <w:rFonts w:hint="eastAsia"/>
          <w:sz w:val="24"/>
        </w:rPr>
        <w:t>建筑</w:t>
      </w:r>
      <w:r w:rsidRPr="00615265">
        <w:rPr>
          <w:rFonts w:hint="eastAsia"/>
          <w:sz w:val="24"/>
        </w:rPr>
        <w:t>2024</w:t>
      </w:r>
      <w:r w:rsidRPr="00615265">
        <w:rPr>
          <w:rFonts w:hint="eastAsia"/>
          <w:sz w:val="24"/>
        </w:rPr>
        <w:t>年度实现营业收入</w:t>
      </w:r>
      <w:r w:rsidRPr="00615265">
        <w:rPr>
          <w:rFonts w:hint="eastAsia"/>
          <w:sz w:val="24"/>
        </w:rPr>
        <w:t>69,136.78</w:t>
      </w:r>
      <w:r w:rsidRPr="00615265">
        <w:rPr>
          <w:rFonts w:hint="eastAsia"/>
          <w:sz w:val="24"/>
        </w:rPr>
        <w:t>万元，实现净利润</w:t>
      </w:r>
      <w:r w:rsidRPr="00615265">
        <w:rPr>
          <w:rFonts w:hint="eastAsia"/>
          <w:sz w:val="24"/>
        </w:rPr>
        <w:t>1,457.40</w:t>
      </w:r>
      <w:r w:rsidRPr="00615265">
        <w:rPr>
          <w:rFonts w:hint="eastAsia"/>
          <w:sz w:val="24"/>
        </w:rPr>
        <w:t>万元</w:t>
      </w:r>
      <w:r>
        <w:rPr>
          <w:rFonts w:hint="eastAsia"/>
          <w:sz w:val="24"/>
        </w:rPr>
        <w:t>。</w:t>
      </w:r>
      <w:r>
        <w:rPr>
          <w:rFonts w:hint="eastAsia"/>
          <w:sz w:val="24"/>
        </w:rPr>
        <w:t>2024</w:t>
      </w:r>
      <w:r>
        <w:rPr>
          <w:rFonts w:hint="eastAsia"/>
          <w:sz w:val="24"/>
        </w:rPr>
        <w:t>年净利润较上年下降，主要原因系公司逐步</w:t>
      </w:r>
      <w:r w:rsidRPr="00554429">
        <w:rPr>
          <w:rFonts w:hint="eastAsia"/>
          <w:sz w:val="24"/>
        </w:rPr>
        <w:t>控制关联交易比重</w:t>
      </w:r>
      <w:r>
        <w:rPr>
          <w:rFonts w:hint="eastAsia"/>
          <w:sz w:val="24"/>
        </w:rPr>
        <w:t>，</w:t>
      </w:r>
      <w:r w:rsidRPr="00252EC8">
        <w:rPr>
          <w:rFonts w:hint="eastAsia"/>
          <w:sz w:val="24"/>
        </w:rPr>
        <w:t>关联销售</w:t>
      </w:r>
      <w:r>
        <w:rPr>
          <w:rFonts w:hint="eastAsia"/>
          <w:sz w:val="24"/>
        </w:rPr>
        <w:t>收入规模下降，以及</w:t>
      </w:r>
      <w:r w:rsidRPr="00663AFA">
        <w:rPr>
          <w:rFonts w:hint="eastAsia"/>
          <w:sz w:val="24"/>
        </w:rPr>
        <w:t>新拓展</w:t>
      </w:r>
      <w:r>
        <w:rPr>
          <w:rFonts w:hint="eastAsia"/>
          <w:sz w:val="24"/>
        </w:rPr>
        <w:t>的外部业务市场项目</w:t>
      </w:r>
      <w:r w:rsidRPr="00663AFA">
        <w:rPr>
          <w:rFonts w:hint="eastAsia"/>
          <w:sz w:val="24"/>
        </w:rPr>
        <w:t>毛利率较低</w:t>
      </w:r>
      <w:r>
        <w:rPr>
          <w:rFonts w:hint="eastAsia"/>
          <w:sz w:val="24"/>
        </w:rPr>
        <w:t>所致。具体如下：</w:t>
      </w:r>
    </w:p>
    <w:p w:rsidR="000D3334" w:rsidRDefault="000D3334" w:rsidP="000D3334">
      <w:pPr>
        <w:spacing w:beforeLines="50" w:before="120" w:line="360" w:lineRule="auto"/>
        <w:ind w:firstLineChars="200" w:firstLine="480"/>
        <w:rPr>
          <w:sz w:val="24"/>
        </w:rPr>
      </w:pPr>
      <w:r>
        <w:rPr>
          <w:rFonts w:hint="eastAsia"/>
          <w:sz w:val="24"/>
        </w:rPr>
        <w:lastRenderedPageBreak/>
        <w:t>1</w:t>
      </w:r>
      <w:r>
        <w:rPr>
          <w:rFonts w:hint="eastAsia"/>
          <w:sz w:val="24"/>
        </w:rPr>
        <w:t>、控制关联交易比重，</w:t>
      </w:r>
      <w:r w:rsidRPr="00270D6D">
        <w:rPr>
          <w:rFonts w:hint="eastAsia"/>
          <w:sz w:val="24"/>
        </w:rPr>
        <w:t>关联销售收入规模下降</w:t>
      </w:r>
    </w:p>
    <w:p w:rsidR="000D3334" w:rsidRDefault="000D3334" w:rsidP="000D3334">
      <w:pPr>
        <w:spacing w:beforeLines="50" w:before="120" w:line="360" w:lineRule="auto"/>
        <w:ind w:firstLineChars="200" w:firstLine="480"/>
        <w:rPr>
          <w:sz w:val="24"/>
        </w:rPr>
      </w:pPr>
      <w:proofErr w:type="gramStart"/>
      <w:r>
        <w:rPr>
          <w:rFonts w:hint="eastAsia"/>
          <w:sz w:val="24"/>
        </w:rPr>
        <w:t>交建建筑</w:t>
      </w:r>
      <w:proofErr w:type="gramEnd"/>
      <w:r>
        <w:rPr>
          <w:rFonts w:hint="eastAsia"/>
          <w:sz w:val="24"/>
        </w:rPr>
        <w:t>主要从事房屋建筑工程和装饰装修工程施工业务，因</w:t>
      </w:r>
      <w:proofErr w:type="gramStart"/>
      <w:r>
        <w:rPr>
          <w:rFonts w:hint="eastAsia"/>
          <w:sz w:val="24"/>
        </w:rPr>
        <w:t>交建建筑</w:t>
      </w:r>
      <w:proofErr w:type="gramEnd"/>
      <w:r>
        <w:rPr>
          <w:rFonts w:hint="eastAsia"/>
          <w:sz w:val="24"/>
        </w:rPr>
        <w:t>与公司同属“建筑业”，在公司首次公开发行并上市申请过程中，</w:t>
      </w:r>
      <w:r w:rsidRPr="0069468C">
        <w:rPr>
          <w:sz w:val="24"/>
        </w:rPr>
        <w:t>为了避免</w:t>
      </w:r>
      <w:proofErr w:type="gramStart"/>
      <w:r>
        <w:rPr>
          <w:rFonts w:hint="eastAsia"/>
          <w:sz w:val="24"/>
        </w:rPr>
        <w:t>交建建筑</w:t>
      </w:r>
      <w:proofErr w:type="gramEnd"/>
      <w:r w:rsidRPr="0069468C">
        <w:rPr>
          <w:sz w:val="24"/>
        </w:rPr>
        <w:t>与</w:t>
      </w:r>
      <w:r>
        <w:rPr>
          <w:rFonts w:hint="eastAsia"/>
          <w:sz w:val="24"/>
        </w:rPr>
        <w:t>公司</w:t>
      </w:r>
      <w:r w:rsidRPr="0069468C">
        <w:rPr>
          <w:sz w:val="24"/>
        </w:rPr>
        <w:t>产生潜在的同业竞争情形，更好的保护上市公司利益，控股股东及实际控制人出具了承诺，</w:t>
      </w:r>
      <w:proofErr w:type="gramStart"/>
      <w:r>
        <w:rPr>
          <w:rFonts w:hint="eastAsia"/>
          <w:sz w:val="24"/>
        </w:rPr>
        <w:t>交建建筑</w:t>
      </w:r>
      <w:proofErr w:type="gramEnd"/>
      <w:r w:rsidRPr="0069468C">
        <w:rPr>
          <w:sz w:val="24"/>
        </w:rPr>
        <w:t>未来均仅为</w:t>
      </w:r>
      <w:proofErr w:type="gramStart"/>
      <w:r w:rsidRPr="0069468C">
        <w:rPr>
          <w:sz w:val="24"/>
        </w:rPr>
        <w:t>祥</w:t>
      </w:r>
      <w:proofErr w:type="gramEnd"/>
      <w:r w:rsidRPr="0069468C">
        <w:rPr>
          <w:sz w:val="24"/>
        </w:rPr>
        <w:t>源控股及其下属企业提供相关施工服务，不对外承接业务。因此，</w:t>
      </w:r>
      <w:r>
        <w:rPr>
          <w:rFonts w:hint="eastAsia"/>
          <w:sz w:val="24"/>
        </w:rPr>
        <w:t>在</w:t>
      </w:r>
      <w:r>
        <w:rPr>
          <w:rFonts w:hint="eastAsia"/>
          <w:sz w:val="24"/>
        </w:rPr>
        <w:t>2021</w:t>
      </w:r>
      <w:r>
        <w:rPr>
          <w:rFonts w:hint="eastAsia"/>
          <w:sz w:val="24"/>
        </w:rPr>
        <w:t>年公司收购前，</w:t>
      </w:r>
      <w:proofErr w:type="gramStart"/>
      <w:r>
        <w:rPr>
          <w:rFonts w:hint="eastAsia"/>
          <w:sz w:val="24"/>
        </w:rPr>
        <w:t>交建建筑</w:t>
      </w:r>
      <w:proofErr w:type="gramEnd"/>
      <w:r>
        <w:rPr>
          <w:rFonts w:hint="eastAsia"/>
          <w:sz w:val="24"/>
        </w:rPr>
        <w:t>的</w:t>
      </w:r>
      <w:r w:rsidRPr="0069468C">
        <w:rPr>
          <w:sz w:val="24"/>
        </w:rPr>
        <w:t>业务收入主要来自于控股股东及关联企业。</w:t>
      </w:r>
    </w:p>
    <w:p w:rsidR="000D3334" w:rsidRDefault="000D3334" w:rsidP="000D3334">
      <w:pPr>
        <w:spacing w:beforeLines="50" w:before="120" w:line="360" w:lineRule="auto"/>
        <w:ind w:firstLineChars="200" w:firstLine="480"/>
        <w:rPr>
          <w:sz w:val="24"/>
        </w:rPr>
      </w:pPr>
      <w:r>
        <w:rPr>
          <w:rFonts w:hint="eastAsia"/>
          <w:sz w:val="24"/>
        </w:rPr>
        <w:t>2021</w:t>
      </w:r>
      <w:r>
        <w:rPr>
          <w:rFonts w:hint="eastAsia"/>
          <w:sz w:val="24"/>
        </w:rPr>
        <w:t>年公司收购完成后，</w:t>
      </w:r>
      <w:proofErr w:type="gramStart"/>
      <w:r>
        <w:rPr>
          <w:rFonts w:hint="eastAsia"/>
          <w:sz w:val="24"/>
        </w:rPr>
        <w:t>交建建筑</w:t>
      </w:r>
      <w:proofErr w:type="gramEnd"/>
      <w:r>
        <w:rPr>
          <w:rFonts w:hint="eastAsia"/>
          <w:sz w:val="24"/>
        </w:rPr>
        <w:t>成为公司子公司，不存在同业竞争或潜在同业竞争的情形，同时</w:t>
      </w:r>
      <w:r>
        <w:rPr>
          <w:sz w:val="24"/>
        </w:rPr>
        <w:t>公司承诺交易完成后第三年即</w:t>
      </w:r>
      <w:r>
        <w:rPr>
          <w:sz w:val="24"/>
        </w:rPr>
        <w:t>2024</w:t>
      </w:r>
      <w:r>
        <w:rPr>
          <w:sz w:val="24"/>
        </w:rPr>
        <w:t>年上市</w:t>
      </w:r>
      <w:proofErr w:type="gramStart"/>
      <w:r>
        <w:rPr>
          <w:sz w:val="24"/>
        </w:rPr>
        <w:t>公司房</w:t>
      </w:r>
      <w:proofErr w:type="gramEnd"/>
      <w:r>
        <w:rPr>
          <w:sz w:val="24"/>
        </w:rPr>
        <w:t>建业务板块中关联交易占比不超过</w:t>
      </w:r>
      <w:r>
        <w:rPr>
          <w:sz w:val="24"/>
        </w:rPr>
        <w:t>50%</w:t>
      </w:r>
      <w:r>
        <w:rPr>
          <w:rFonts w:hint="eastAsia"/>
          <w:sz w:val="24"/>
        </w:rPr>
        <w:t>。收购完成后，公司</w:t>
      </w:r>
      <w:r>
        <w:rPr>
          <w:sz w:val="24"/>
        </w:rPr>
        <w:t>积极推进交</w:t>
      </w:r>
      <w:proofErr w:type="gramStart"/>
      <w:r>
        <w:rPr>
          <w:sz w:val="24"/>
        </w:rPr>
        <w:t>建</w:t>
      </w:r>
      <w:proofErr w:type="gramEnd"/>
      <w:r>
        <w:rPr>
          <w:sz w:val="24"/>
        </w:rPr>
        <w:t>建筑进一步拓宽业务范围，丰富客户资源，开拓外部市场，</w:t>
      </w:r>
      <w:r>
        <w:rPr>
          <w:rFonts w:hint="eastAsia"/>
          <w:sz w:val="24"/>
        </w:rPr>
        <w:t>至</w:t>
      </w:r>
      <w:r>
        <w:rPr>
          <w:rFonts w:hint="eastAsia"/>
          <w:sz w:val="24"/>
        </w:rPr>
        <w:t>2024</w:t>
      </w:r>
      <w:r>
        <w:rPr>
          <w:rFonts w:hint="eastAsia"/>
          <w:sz w:val="24"/>
        </w:rPr>
        <w:t>年末</w:t>
      </w:r>
      <w:r>
        <w:rPr>
          <w:sz w:val="24"/>
        </w:rPr>
        <w:t>累计签订了</w:t>
      </w:r>
      <w:r>
        <w:rPr>
          <w:sz w:val="24"/>
        </w:rPr>
        <w:t>339,237.27</w:t>
      </w:r>
      <w:r>
        <w:rPr>
          <w:sz w:val="24"/>
        </w:rPr>
        <w:t>万元外部业务合同，有力降低了关联交易比重</w:t>
      </w:r>
      <w:r>
        <w:rPr>
          <w:rFonts w:hint="eastAsia"/>
          <w:sz w:val="24"/>
        </w:rPr>
        <w:t>，目前的业务以外部业务为主。如上表所示，</w:t>
      </w:r>
      <w:proofErr w:type="gramStart"/>
      <w:r>
        <w:rPr>
          <w:rFonts w:hint="eastAsia"/>
          <w:sz w:val="24"/>
        </w:rPr>
        <w:t>交建建筑</w:t>
      </w:r>
      <w:proofErr w:type="gramEnd"/>
      <w:r>
        <w:rPr>
          <w:rFonts w:hint="eastAsia"/>
          <w:sz w:val="24"/>
        </w:rPr>
        <w:t>关联交易收入从</w:t>
      </w:r>
      <w:r>
        <w:rPr>
          <w:rFonts w:hint="eastAsia"/>
          <w:sz w:val="24"/>
        </w:rPr>
        <w:t>2021</w:t>
      </w:r>
      <w:r>
        <w:rPr>
          <w:rFonts w:hint="eastAsia"/>
          <w:sz w:val="24"/>
        </w:rPr>
        <w:t>年度的</w:t>
      </w:r>
      <w:r w:rsidRPr="00093B41">
        <w:rPr>
          <w:sz w:val="24"/>
        </w:rPr>
        <w:t>86,808.57</w:t>
      </w:r>
      <w:r>
        <w:rPr>
          <w:rFonts w:hint="eastAsia"/>
          <w:sz w:val="24"/>
        </w:rPr>
        <w:t>万元减少至</w:t>
      </w:r>
      <w:r>
        <w:rPr>
          <w:rFonts w:hint="eastAsia"/>
          <w:sz w:val="24"/>
        </w:rPr>
        <w:t>2024</w:t>
      </w:r>
      <w:r>
        <w:rPr>
          <w:rFonts w:hint="eastAsia"/>
          <w:sz w:val="24"/>
        </w:rPr>
        <w:t>年度的</w:t>
      </w:r>
      <w:r w:rsidRPr="00093B41">
        <w:rPr>
          <w:sz w:val="24"/>
        </w:rPr>
        <w:t>21,232.27</w:t>
      </w:r>
      <w:r>
        <w:rPr>
          <w:rFonts w:hint="eastAsia"/>
          <w:sz w:val="24"/>
        </w:rPr>
        <w:t>万元，</w:t>
      </w:r>
      <w:r>
        <w:rPr>
          <w:sz w:val="24"/>
        </w:rPr>
        <w:t>2024</w:t>
      </w:r>
      <w:r>
        <w:rPr>
          <w:sz w:val="24"/>
        </w:rPr>
        <w:t>年度</w:t>
      </w:r>
      <w:r>
        <w:rPr>
          <w:rFonts w:hint="eastAsia"/>
          <w:sz w:val="24"/>
        </w:rPr>
        <w:t>，</w:t>
      </w:r>
      <w:r>
        <w:rPr>
          <w:sz w:val="24"/>
        </w:rPr>
        <w:t>房建业务</w:t>
      </w:r>
      <w:r>
        <w:rPr>
          <w:rFonts w:hint="eastAsia"/>
          <w:sz w:val="24"/>
        </w:rPr>
        <w:t>中</w:t>
      </w:r>
      <w:r>
        <w:rPr>
          <w:sz w:val="24"/>
        </w:rPr>
        <w:t>关联交易占比为</w:t>
      </w:r>
      <w:r>
        <w:rPr>
          <w:sz w:val="24"/>
        </w:rPr>
        <w:t>30.71%</w:t>
      </w:r>
      <w:r>
        <w:rPr>
          <w:sz w:val="24"/>
        </w:rPr>
        <w:t>，已完成降低房建业务关联交易占比的承诺。</w:t>
      </w:r>
      <w:r>
        <w:rPr>
          <w:rFonts w:hint="eastAsia"/>
          <w:sz w:val="24"/>
        </w:rPr>
        <w:t>综上所述，</w:t>
      </w:r>
      <w:proofErr w:type="gramStart"/>
      <w:r>
        <w:rPr>
          <w:rFonts w:hint="eastAsia"/>
          <w:sz w:val="24"/>
        </w:rPr>
        <w:t>交建建筑</w:t>
      </w:r>
      <w:proofErr w:type="gramEnd"/>
      <w:r>
        <w:rPr>
          <w:rFonts w:hint="eastAsia"/>
          <w:sz w:val="24"/>
        </w:rPr>
        <w:t>业绩承诺期内关联交易占有一定比重是由历史原因形成，同时通过积极开展外部业务，实现市场化经营，完成了业绩承诺。</w:t>
      </w:r>
    </w:p>
    <w:p w:rsidR="000D3334" w:rsidRDefault="000D3334" w:rsidP="000D3334">
      <w:pPr>
        <w:spacing w:beforeLines="50" w:before="120" w:line="360" w:lineRule="auto"/>
        <w:ind w:firstLineChars="200" w:firstLine="480"/>
        <w:rPr>
          <w:sz w:val="24"/>
        </w:rPr>
      </w:pPr>
      <w:r w:rsidRPr="00187A1A">
        <w:rPr>
          <w:rFonts w:hint="eastAsia"/>
          <w:sz w:val="24"/>
        </w:rPr>
        <w:t>交</w:t>
      </w:r>
      <w:proofErr w:type="gramStart"/>
      <w:r w:rsidRPr="00187A1A">
        <w:rPr>
          <w:rFonts w:hint="eastAsia"/>
          <w:sz w:val="24"/>
        </w:rPr>
        <w:t>建</w:t>
      </w:r>
      <w:proofErr w:type="gramEnd"/>
      <w:r w:rsidRPr="00187A1A">
        <w:rPr>
          <w:rFonts w:hint="eastAsia"/>
          <w:sz w:val="24"/>
        </w:rPr>
        <w:t>建筑</w:t>
      </w:r>
      <w:r>
        <w:rPr>
          <w:rFonts w:hint="eastAsia"/>
          <w:sz w:val="24"/>
        </w:rPr>
        <w:t>2024</w:t>
      </w:r>
      <w:r>
        <w:rPr>
          <w:rFonts w:hint="eastAsia"/>
          <w:sz w:val="24"/>
        </w:rPr>
        <w:t>年度关联销售收入金额由</w:t>
      </w:r>
      <w:r w:rsidRPr="003A47DD">
        <w:rPr>
          <w:sz w:val="24"/>
        </w:rPr>
        <w:t>46,819.33</w:t>
      </w:r>
      <w:r>
        <w:rPr>
          <w:rFonts w:hint="eastAsia"/>
          <w:sz w:val="24"/>
        </w:rPr>
        <w:t>万元减少至</w:t>
      </w:r>
      <w:r w:rsidRPr="003A47DD">
        <w:rPr>
          <w:sz w:val="24"/>
        </w:rPr>
        <w:t>21,232.27</w:t>
      </w:r>
      <w:r>
        <w:rPr>
          <w:rFonts w:hint="eastAsia"/>
          <w:sz w:val="24"/>
        </w:rPr>
        <w:t>万元，导致营业收入总额较上年减少约</w:t>
      </w:r>
      <w:r w:rsidRPr="003A47DD">
        <w:rPr>
          <w:sz w:val="24"/>
        </w:rPr>
        <w:t>24,070.59</w:t>
      </w:r>
      <w:r>
        <w:rPr>
          <w:rFonts w:hint="eastAsia"/>
          <w:sz w:val="24"/>
        </w:rPr>
        <w:t>万元，相应减少税前利润约</w:t>
      </w:r>
      <w:r w:rsidRPr="00C66ADC">
        <w:rPr>
          <w:sz w:val="24"/>
        </w:rPr>
        <w:t>2,452.79</w:t>
      </w:r>
      <w:r>
        <w:rPr>
          <w:rFonts w:hint="eastAsia"/>
          <w:sz w:val="24"/>
        </w:rPr>
        <w:t>万元。</w:t>
      </w:r>
    </w:p>
    <w:p w:rsidR="000D3334" w:rsidRDefault="000D3334" w:rsidP="000D3334">
      <w:pPr>
        <w:spacing w:beforeLines="50" w:before="120" w:line="360" w:lineRule="auto"/>
        <w:ind w:firstLineChars="200" w:firstLine="480"/>
        <w:rPr>
          <w:sz w:val="24"/>
        </w:rPr>
      </w:pPr>
      <w:r>
        <w:rPr>
          <w:rFonts w:hint="eastAsia"/>
          <w:sz w:val="24"/>
        </w:rPr>
        <w:t>2</w:t>
      </w:r>
      <w:r>
        <w:rPr>
          <w:rFonts w:hint="eastAsia"/>
          <w:sz w:val="24"/>
        </w:rPr>
        <w:t>、</w:t>
      </w:r>
      <w:r w:rsidRPr="007A3DB3">
        <w:rPr>
          <w:rFonts w:hint="eastAsia"/>
          <w:sz w:val="24"/>
        </w:rPr>
        <w:t>新拓展的外部业务市场项目毛利率较低</w:t>
      </w:r>
    </w:p>
    <w:p w:rsidR="000D3334" w:rsidRDefault="000D3334" w:rsidP="000D3334">
      <w:pPr>
        <w:spacing w:beforeLines="50" w:before="120" w:line="360" w:lineRule="auto"/>
        <w:ind w:firstLineChars="200" w:firstLine="480"/>
        <w:rPr>
          <w:sz w:val="24"/>
        </w:rPr>
      </w:pPr>
      <w:r w:rsidRPr="003506CB">
        <w:rPr>
          <w:rFonts w:hint="eastAsia"/>
          <w:sz w:val="24"/>
        </w:rPr>
        <w:t>交</w:t>
      </w:r>
      <w:proofErr w:type="gramStart"/>
      <w:r w:rsidRPr="003506CB">
        <w:rPr>
          <w:rFonts w:hint="eastAsia"/>
          <w:sz w:val="24"/>
        </w:rPr>
        <w:t>建</w:t>
      </w:r>
      <w:proofErr w:type="gramEnd"/>
      <w:r w:rsidRPr="003506CB">
        <w:rPr>
          <w:rFonts w:hint="eastAsia"/>
          <w:sz w:val="24"/>
        </w:rPr>
        <w:t>建筑</w:t>
      </w:r>
      <w:r w:rsidRPr="003506CB">
        <w:rPr>
          <w:rFonts w:hint="eastAsia"/>
          <w:sz w:val="24"/>
        </w:rPr>
        <w:t>2021</w:t>
      </w:r>
      <w:r w:rsidRPr="003506CB">
        <w:rPr>
          <w:rFonts w:hint="eastAsia"/>
          <w:sz w:val="24"/>
        </w:rPr>
        <w:t>年度至</w:t>
      </w:r>
      <w:r w:rsidRPr="003506CB">
        <w:rPr>
          <w:rFonts w:hint="eastAsia"/>
          <w:sz w:val="24"/>
        </w:rPr>
        <w:t>2024</w:t>
      </w:r>
      <w:r w:rsidRPr="003506CB">
        <w:rPr>
          <w:rFonts w:hint="eastAsia"/>
          <w:sz w:val="24"/>
        </w:rPr>
        <w:t>年度</w:t>
      </w:r>
      <w:r>
        <w:rPr>
          <w:rFonts w:hint="eastAsia"/>
          <w:sz w:val="24"/>
        </w:rPr>
        <w:t>新增项目的合同额及毛利率</w:t>
      </w:r>
      <w:r w:rsidRPr="003506CB">
        <w:rPr>
          <w:rFonts w:hint="eastAsia"/>
          <w:sz w:val="24"/>
        </w:rPr>
        <w:t>情况如下：</w:t>
      </w:r>
    </w:p>
    <w:p w:rsidR="000D3334" w:rsidRPr="008E123F" w:rsidRDefault="000D3334" w:rsidP="000D3334">
      <w:pPr>
        <w:spacing w:beforeLines="50" w:before="120"/>
        <w:ind w:firstLineChars="200" w:firstLine="420"/>
        <w:jc w:val="right"/>
        <w:rPr>
          <w:bCs/>
          <w:szCs w:val="21"/>
        </w:rPr>
      </w:pPr>
      <w:r w:rsidRPr="008E123F">
        <w:rPr>
          <w:rFonts w:hint="eastAsia"/>
          <w:bCs/>
          <w:szCs w:val="21"/>
        </w:rPr>
        <w:t>单位：万元</w:t>
      </w:r>
    </w:p>
    <w:tbl>
      <w:tblPr>
        <w:tblStyle w:val="a9"/>
        <w:tblW w:w="4998"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00"/>
        <w:gridCol w:w="1525"/>
        <w:gridCol w:w="1525"/>
        <w:gridCol w:w="1525"/>
        <w:gridCol w:w="1524"/>
      </w:tblGrid>
      <w:tr w:rsidR="000D3334" w:rsidTr="00F3634B">
        <w:trPr>
          <w:trHeight w:val="425"/>
          <w:tblHeader/>
          <w:jc w:val="center"/>
        </w:trPr>
        <w:tc>
          <w:tcPr>
            <w:tcW w:w="1611"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rFonts w:hint="eastAsia"/>
                <w:b/>
                <w:bCs/>
                <w:color w:val="000000"/>
                <w:szCs w:val="21"/>
              </w:rPr>
              <w:t>项目</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w:t>
            </w:r>
            <w:r>
              <w:rPr>
                <w:rFonts w:hint="eastAsia"/>
                <w:b/>
                <w:bCs/>
                <w:color w:val="000000"/>
                <w:szCs w:val="21"/>
                <w:lang w:bidi="ar"/>
              </w:rPr>
              <w:t>4</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2023</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rPr>
            </w:pPr>
            <w:r>
              <w:rPr>
                <w:b/>
                <w:bCs/>
                <w:color w:val="000000"/>
                <w:szCs w:val="21"/>
                <w:lang w:bidi="ar"/>
              </w:rPr>
              <w:t>2022</w:t>
            </w:r>
            <w:r>
              <w:rPr>
                <w:b/>
                <w:bCs/>
                <w:color w:val="000000"/>
                <w:szCs w:val="21"/>
                <w:lang w:bidi="ar"/>
              </w:rPr>
              <w:t>年度</w:t>
            </w:r>
          </w:p>
        </w:tc>
        <w:tc>
          <w:tcPr>
            <w:tcW w:w="847" w:type="pct"/>
            <w:shd w:val="clear" w:color="auto" w:fill="D9D9D9" w:themeFill="background1" w:themeFillShade="D9"/>
            <w:vAlign w:val="center"/>
          </w:tcPr>
          <w:p w:rsidR="000D3334" w:rsidRDefault="000D3334" w:rsidP="00F3634B">
            <w:pPr>
              <w:widowControl/>
              <w:jc w:val="center"/>
              <w:textAlignment w:val="center"/>
              <w:rPr>
                <w:b/>
                <w:bCs/>
                <w:color w:val="000000"/>
                <w:szCs w:val="21"/>
                <w:lang w:bidi="ar"/>
              </w:rPr>
            </w:pPr>
            <w:r>
              <w:rPr>
                <w:b/>
                <w:bCs/>
                <w:color w:val="000000"/>
                <w:szCs w:val="21"/>
                <w:lang w:bidi="ar"/>
              </w:rPr>
              <w:t>2021</w:t>
            </w:r>
            <w:r>
              <w:rPr>
                <w:b/>
                <w:bCs/>
                <w:color w:val="000000"/>
                <w:szCs w:val="21"/>
                <w:lang w:bidi="ar"/>
              </w:rPr>
              <w:t>年度</w:t>
            </w:r>
          </w:p>
        </w:tc>
      </w:tr>
      <w:tr w:rsidR="000D3334" w:rsidTr="00F3634B">
        <w:trPr>
          <w:trHeight w:val="425"/>
          <w:tblHeader/>
          <w:jc w:val="center"/>
        </w:trPr>
        <w:tc>
          <w:tcPr>
            <w:tcW w:w="1611" w:type="pct"/>
            <w:shd w:val="clear" w:color="auto" w:fill="auto"/>
            <w:vAlign w:val="center"/>
          </w:tcPr>
          <w:p w:rsidR="000D3334" w:rsidRPr="00AF2BE2" w:rsidRDefault="000D3334" w:rsidP="00F3634B">
            <w:pPr>
              <w:widowControl/>
              <w:jc w:val="left"/>
              <w:textAlignment w:val="center"/>
              <w:rPr>
                <w:color w:val="000000"/>
                <w:szCs w:val="21"/>
                <w:lang w:bidi="ar"/>
              </w:rPr>
            </w:pPr>
            <w:r w:rsidRPr="00AF2BE2">
              <w:rPr>
                <w:rFonts w:hint="eastAsia"/>
                <w:color w:val="000000"/>
                <w:szCs w:val="21"/>
                <w:lang w:bidi="ar"/>
              </w:rPr>
              <w:t>关联销售合同额</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1,014.46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41,421.44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64,473.11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70,891.83 </w:t>
            </w:r>
          </w:p>
        </w:tc>
      </w:tr>
      <w:tr w:rsidR="000D3334" w:rsidTr="00F3634B">
        <w:trPr>
          <w:trHeight w:val="425"/>
          <w:tblHeader/>
          <w:jc w:val="center"/>
        </w:trPr>
        <w:tc>
          <w:tcPr>
            <w:tcW w:w="1611" w:type="pct"/>
            <w:shd w:val="clear" w:color="auto" w:fill="auto"/>
            <w:vAlign w:val="center"/>
          </w:tcPr>
          <w:p w:rsidR="000D3334" w:rsidRPr="00ED0189" w:rsidRDefault="000D3334" w:rsidP="00F3634B">
            <w:pPr>
              <w:widowControl/>
              <w:jc w:val="left"/>
              <w:textAlignment w:val="center"/>
              <w:rPr>
                <w:color w:val="000000"/>
                <w:szCs w:val="21"/>
                <w:lang w:bidi="ar"/>
              </w:rPr>
            </w:pPr>
            <w:r>
              <w:rPr>
                <w:rFonts w:hint="eastAsia"/>
                <w:color w:val="000000"/>
                <w:szCs w:val="21"/>
                <w:lang w:bidi="ar"/>
              </w:rPr>
              <w:t>非关联销售合同额</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73,100.17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3C76E9">
              <w:t xml:space="preserve">180,895.65 </w:t>
            </w:r>
            <w:r w:rsidRPr="00E1368F">
              <w:t xml:space="preserve">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15,182.47 </w:t>
            </w:r>
          </w:p>
        </w:tc>
        <w:tc>
          <w:tcPr>
            <w:tcW w:w="847" w:type="pct"/>
            <w:shd w:val="clear" w:color="auto" w:fill="auto"/>
            <w:vAlign w:val="center"/>
          </w:tcPr>
          <w:p w:rsidR="000D3334" w:rsidRDefault="000D3334" w:rsidP="00F3634B">
            <w:pPr>
              <w:widowControl/>
              <w:jc w:val="right"/>
              <w:textAlignment w:val="center"/>
              <w:rPr>
                <w:b/>
                <w:bCs/>
                <w:color w:val="000000"/>
                <w:szCs w:val="21"/>
                <w:lang w:bidi="ar"/>
              </w:rPr>
            </w:pPr>
            <w:r w:rsidRPr="00E1368F">
              <w:t xml:space="preserve"> 17,551.50 </w:t>
            </w:r>
          </w:p>
        </w:tc>
      </w:tr>
      <w:tr w:rsidR="000D3334" w:rsidTr="00F3634B">
        <w:trPr>
          <w:trHeight w:val="425"/>
          <w:jc w:val="center"/>
        </w:trPr>
        <w:tc>
          <w:tcPr>
            <w:tcW w:w="1611" w:type="pct"/>
            <w:vAlign w:val="center"/>
          </w:tcPr>
          <w:p w:rsidR="000D3334" w:rsidRDefault="000D3334" w:rsidP="00F3634B">
            <w:pPr>
              <w:widowControl/>
              <w:jc w:val="left"/>
              <w:textAlignment w:val="center"/>
              <w:rPr>
                <w:color w:val="000000"/>
                <w:szCs w:val="21"/>
                <w:lang w:bidi="ar"/>
              </w:rPr>
            </w:pPr>
            <w:r w:rsidRPr="00995C65">
              <w:rPr>
                <w:rFonts w:hint="eastAsia"/>
                <w:color w:val="000000"/>
                <w:szCs w:val="21"/>
                <w:lang w:bidi="ar"/>
              </w:rPr>
              <w:t>关联销售</w:t>
            </w:r>
            <w:r>
              <w:rPr>
                <w:rFonts w:hint="eastAsia"/>
                <w:color w:val="000000"/>
                <w:szCs w:val="21"/>
                <w:lang w:bidi="ar"/>
              </w:rPr>
              <w:t>毛利率</w:t>
            </w:r>
          </w:p>
        </w:tc>
        <w:tc>
          <w:tcPr>
            <w:tcW w:w="847" w:type="pct"/>
            <w:shd w:val="clear" w:color="auto" w:fill="auto"/>
            <w:vAlign w:val="center"/>
          </w:tcPr>
          <w:p w:rsidR="000D3334" w:rsidRDefault="000D3334" w:rsidP="00F3634B">
            <w:pPr>
              <w:jc w:val="right"/>
              <w:rPr>
                <w:color w:val="000000"/>
                <w:szCs w:val="21"/>
              </w:rPr>
            </w:pPr>
            <w:r w:rsidRPr="00E1368F">
              <w:t>6.00%</w:t>
            </w:r>
          </w:p>
        </w:tc>
        <w:tc>
          <w:tcPr>
            <w:tcW w:w="847" w:type="pct"/>
            <w:shd w:val="clear" w:color="auto" w:fill="auto"/>
            <w:vAlign w:val="center"/>
          </w:tcPr>
          <w:p w:rsidR="000D3334" w:rsidRDefault="000D3334" w:rsidP="00F3634B">
            <w:pPr>
              <w:jc w:val="right"/>
              <w:rPr>
                <w:color w:val="000000"/>
                <w:szCs w:val="21"/>
              </w:rPr>
            </w:pPr>
            <w:r w:rsidRPr="00E1368F">
              <w:t>3.13%</w:t>
            </w:r>
          </w:p>
        </w:tc>
        <w:tc>
          <w:tcPr>
            <w:tcW w:w="847" w:type="pct"/>
            <w:shd w:val="clear" w:color="auto" w:fill="auto"/>
            <w:vAlign w:val="center"/>
          </w:tcPr>
          <w:p w:rsidR="000D3334" w:rsidRDefault="000D3334" w:rsidP="00F3634B">
            <w:pPr>
              <w:jc w:val="right"/>
              <w:rPr>
                <w:color w:val="000000"/>
                <w:szCs w:val="21"/>
              </w:rPr>
            </w:pPr>
            <w:r w:rsidRPr="00E1368F">
              <w:t>6.62%</w:t>
            </w:r>
          </w:p>
        </w:tc>
        <w:tc>
          <w:tcPr>
            <w:tcW w:w="847" w:type="pct"/>
            <w:shd w:val="clear" w:color="auto" w:fill="auto"/>
            <w:vAlign w:val="center"/>
          </w:tcPr>
          <w:p w:rsidR="000D3334" w:rsidRDefault="000D3334" w:rsidP="00F3634B">
            <w:pPr>
              <w:jc w:val="right"/>
              <w:rPr>
                <w:color w:val="000000"/>
                <w:szCs w:val="21"/>
              </w:rPr>
            </w:pPr>
            <w:r w:rsidRPr="00E1368F">
              <w:t>4.25%</w:t>
            </w:r>
          </w:p>
        </w:tc>
      </w:tr>
      <w:tr w:rsidR="000D3334" w:rsidTr="00F3634B">
        <w:trPr>
          <w:trHeight w:val="425"/>
          <w:jc w:val="center"/>
        </w:trPr>
        <w:tc>
          <w:tcPr>
            <w:tcW w:w="1611" w:type="pct"/>
            <w:vAlign w:val="center"/>
          </w:tcPr>
          <w:p w:rsidR="000D3334" w:rsidRDefault="000D3334" w:rsidP="00F3634B">
            <w:pPr>
              <w:widowControl/>
              <w:jc w:val="left"/>
              <w:textAlignment w:val="center"/>
              <w:rPr>
                <w:color w:val="000000"/>
                <w:szCs w:val="21"/>
                <w:lang w:bidi="ar"/>
              </w:rPr>
            </w:pPr>
            <w:r>
              <w:rPr>
                <w:rFonts w:hint="eastAsia"/>
                <w:color w:val="000000"/>
                <w:szCs w:val="21"/>
                <w:lang w:bidi="ar"/>
              </w:rPr>
              <w:t>非关联销售毛利率</w:t>
            </w:r>
          </w:p>
        </w:tc>
        <w:tc>
          <w:tcPr>
            <w:tcW w:w="847" w:type="pct"/>
            <w:shd w:val="clear" w:color="auto" w:fill="auto"/>
            <w:vAlign w:val="center"/>
          </w:tcPr>
          <w:p w:rsidR="000D3334" w:rsidRDefault="000D3334" w:rsidP="00F3634B">
            <w:pPr>
              <w:jc w:val="right"/>
              <w:rPr>
                <w:color w:val="000000"/>
                <w:szCs w:val="21"/>
              </w:rPr>
            </w:pPr>
            <w:r w:rsidRPr="00E1368F">
              <w:t>1.40%</w:t>
            </w:r>
          </w:p>
        </w:tc>
        <w:tc>
          <w:tcPr>
            <w:tcW w:w="847" w:type="pct"/>
            <w:shd w:val="clear" w:color="auto" w:fill="auto"/>
            <w:vAlign w:val="center"/>
          </w:tcPr>
          <w:p w:rsidR="000D3334" w:rsidRDefault="000D3334" w:rsidP="00F3634B">
            <w:pPr>
              <w:jc w:val="right"/>
              <w:rPr>
                <w:color w:val="000000"/>
                <w:szCs w:val="21"/>
              </w:rPr>
            </w:pPr>
            <w:r w:rsidRPr="003C76E9">
              <w:t>10.67%</w:t>
            </w:r>
          </w:p>
        </w:tc>
        <w:tc>
          <w:tcPr>
            <w:tcW w:w="847" w:type="pct"/>
            <w:shd w:val="clear" w:color="auto" w:fill="auto"/>
            <w:vAlign w:val="center"/>
          </w:tcPr>
          <w:p w:rsidR="000D3334" w:rsidRDefault="000D3334" w:rsidP="00F3634B">
            <w:pPr>
              <w:jc w:val="right"/>
              <w:rPr>
                <w:color w:val="000000"/>
                <w:szCs w:val="21"/>
              </w:rPr>
            </w:pPr>
            <w:r w:rsidRPr="00E1368F">
              <w:t>4.73%</w:t>
            </w:r>
          </w:p>
        </w:tc>
        <w:tc>
          <w:tcPr>
            <w:tcW w:w="847" w:type="pct"/>
            <w:shd w:val="clear" w:color="auto" w:fill="auto"/>
            <w:vAlign w:val="center"/>
          </w:tcPr>
          <w:p w:rsidR="000D3334" w:rsidRDefault="000D3334" w:rsidP="00F3634B">
            <w:pPr>
              <w:jc w:val="right"/>
              <w:rPr>
                <w:color w:val="000000"/>
                <w:szCs w:val="21"/>
              </w:rPr>
            </w:pPr>
            <w:r w:rsidRPr="00E1368F">
              <w:t>4.26%</w:t>
            </w:r>
          </w:p>
        </w:tc>
      </w:tr>
    </w:tbl>
    <w:p w:rsidR="000D3334" w:rsidRDefault="000D3334" w:rsidP="000D3334">
      <w:pPr>
        <w:spacing w:beforeLines="50" w:before="120" w:line="360" w:lineRule="auto"/>
        <w:ind w:firstLineChars="200" w:firstLine="480"/>
        <w:rPr>
          <w:sz w:val="24"/>
        </w:rPr>
      </w:pPr>
      <w:r>
        <w:rPr>
          <w:rFonts w:hint="eastAsia"/>
          <w:sz w:val="24"/>
        </w:rPr>
        <w:t>如上表所示，</w:t>
      </w:r>
      <w:r>
        <w:rPr>
          <w:rFonts w:hint="eastAsia"/>
          <w:sz w:val="24"/>
        </w:rPr>
        <w:t>2024</w:t>
      </w:r>
      <w:r>
        <w:rPr>
          <w:rFonts w:hint="eastAsia"/>
          <w:sz w:val="24"/>
        </w:rPr>
        <w:t>年度公司新增项目中，关联销售合同额为</w:t>
      </w:r>
      <w:r w:rsidRPr="0045742C">
        <w:rPr>
          <w:sz w:val="24"/>
        </w:rPr>
        <w:t>1,014.46</w:t>
      </w:r>
      <w:r>
        <w:rPr>
          <w:rFonts w:hint="eastAsia"/>
          <w:sz w:val="24"/>
        </w:rPr>
        <w:t>万元，毛利率为</w:t>
      </w:r>
      <w:r w:rsidRPr="0045742C">
        <w:rPr>
          <w:sz w:val="24"/>
        </w:rPr>
        <w:t>6.00%</w:t>
      </w:r>
      <w:r>
        <w:rPr>
          <w:rFonts w:hint="eastAsia"/>
          <w:sz w:val="24"/>
        </w:rPr>
        <w:t>，较以往年度处于正常水平，不存在业绩承诺期满后降低关联业务毛利率的情况；非关联销售合同额为</w:t>
      </w:r>
      <w:r w:rsidRPr="001A787C">
        <w:rPr>
          <w:sz w:val="24"/>
        </w:rPr>
        <w:t>73,100.17</w:t>
      </w:r>
      <w:r>
        <w:rPr>
          <w:rFonts w:hint="eastAsia"/>
          <w:sz w:val="24"/>
        </w:rPr>
        <w:t>万元，毛利率为</w:t>
      </w:r>
      <w:r w:rsidRPr="00131F5D">
        <w:rPr>
          <w:sz w:val="24"/>
        </w:rPr>
        <w:t>1.40%</w:t>
      </w:r>
      <w:r>
        <w:rPr>
          <w:rFonts w:hint="eastAsia"/>
          <w:sz w:val="24"/>
        </w:rPr>
        <w:t>，较以往年度下降</w:t>
      </w:r>
      <w:r>
        <w:rPr>
          <w:rFonts w:hint="eastAsia"/>
          <w:sz w:val="24"/>
        </w:rPr>
        <w:lastRenderedPageBreak/>
        <w:t>较多，主要受市场行情影响以及行业竞争加剧，</w:t>
      </w:r>
      <w:r w:rsidRPr="002D4E9E">
        <w:rPr>
          <w:rFonts w:hint="eastAsia"/>
          <w:sz w:val="24"/>
        </w:rPr>
        <w:t>新拓展的</w:t>
      </w:r>
      <w:r>
        <w:rPr>
          <w:rFonts w:hint="eastAsia"/>
          <w:sz w:val="24"/>
        </w:rPr>
        <w:t>省外区域</w:t>
      </w:r>
      <w:r w:rsidRPr="002D4E9E">
        <w:rPr>
          <w:rFonts w:hint="eastAsia"/>
          <w:sz w:val="24"/>
        </w:rPr>
        <w:t>市场项目毛利率较低</w:t>
      </w:r>
      <w:r>
        <w:rPr>
          <w:rFonts w:hint="eastAsia"/>
          <w:sz w:val="24"/>
        </w:rPr>
        <w:t>。</w:t>
      </w:r>
    </w:p>
    <w:p w:rsidR="000D3334" w:rsidRDefault="000D3334" w:rsidP="000D3334">
      <w:pPr>
        <w:spacing w:beforeLines="50" w:before="120" w:line="360" w:lineRule="auto"/>
        <w:ind w:firstLineChars="200" w:firstLine="480"/>
        <w:rPr>
          <w:sz w:val="24"/>
        </w:rPr>
      </w:pPr>
      <w:r>
        <w:rPr>
          <w:rFonts w:hint="eastAsia"/>
          <w:sz w:val="24"/>
        </w:rPr>
        <w:t>综上所述，交</w:t>
      </w:r>
      <w:proofErr w:type="gramStart"/>
      <w:r>
        <w:rPr>
          <w:rFonts w:hint="eastAsia"/>
          <w:sz w:val="24"/>
        </w:rPr>
        <w:t>建</w:t>
      </w:r>
      <w:proofErr w:type="gramEnd"/>
      <w:r>
        <w:rPr>
          <w:rFonts w:hint="eastAsia"/>
          <w:sz w:val="24"/>
        </w:rPr>
        <w:t>建筑</w:t>
      </w:r>
      <w:r w:rsidRPr="00C958BD">
        <w:rPr>
          <w:rFonts w:hint="eastAsia"/>
          <w:sz w:val="24"/>
        </w:rPr>
        <w:t>2024</w:t>
      </w:r>
      <w:r>
        <w:rPr>
          <w:rFonts w:hint="eastAsia"/>
          <w:sz w:val="24"/>
        </w:rPr>
        <w:t>年度</w:t>
      </w:r>
      <w:r w:rsidRPr="00C958BD">
        <w:rPr>
          <w:rFonts w:hint="eastAsia"/>
          <w:sz w:val="24"/>
        </w:rPr>
        <w:t>业绩</w:t>
      </w:r>
      <w:r>
        <w:rPr>
          <w:rFonts w:hint="eastAsia"/>
          <w:sz w:val="24"/>
        </w:rPr>
        <w:t>下滑主要系</w:t>
      </w:r>
      <w:r w:rsidRPr="00DA6C83">
        <w:rPr>
          <w:rFonts w:hint="eastAsia"/>
          <w:sz w:val="24"/>
        </w:rPr>
        <w:t>公司逐步控制关联交易比重，关联销售收入规模下降，以及</w:t>
      </w:r>
      <w:r>
        <w:rPr>
          <w:rFonts w:hint="eastAsia"/>
          <w:sz w:val="24"/>
        </w:rPr>
        <w:t>外部业务</w:t>
      </w:r>
      <w:r w:rsidRPr="00DA6C83">
        <w:rPr>
          <w:rFonts w:hint="eastAsia"/>
          <w:sz w:val="24"/>
        </w:rPr>
        <w:t>新拓展的</w:t>
      </w:r>
      <w:r>
        <w:rPr>
          <w:rFonts w:hint="eastAsia"/>
          <w:sz w:val="24"/>
        </w:rPr>
        <w:t>区域</w:t>
      </w:r>
      <w:r w:rsidRPr="00DA6C83">
        <w:rPr>
          <w:rFonts w:hint="eastAsia"/>
          <w:sz w:val="24"/>
        </w:rPr>
        <w:t>市场项目毛利率较低所致</w:t>
      </w:r>
      <w:r>
        <w:rPr>
          <w:rFonts w:hint="eastAsia"/>
          <w:sz w:val="24"/>
        </w:rPr>
        <w:t>，具备合理性，不存在业绩承诺期满后降低关联业务毛利率等异常情况。</w:t>
      </w:r>
    </w:p>
    <w:p w:rsidR="000D3334" w:rsidRPr="00D3463E" w:rsidRDefault="000D3334" w:rsidP="000D3334">
      <w:pPr>
        <w:spacing w:beforeLines="50" w:before="120" w:line="360" w:lineRule="auto"/>
        <w:ind w:firstLineChars="200" w:firstLine="482"/>
        <w:outlineLvl w:val="1"/>
        <w:rPr>
          <w:b/>
          <w:bCs/>
          <w:sz w:val="24"/>
        </w:rPr>
      </w:pPr>
      <w:r w:rsidRPr="00D3463E">
        <w:rPr>
          <w:rFonts w:hint="eastAsia"/>
          <w:b/>
          <w:bCs/>
          <w:sz w:val="24"/>
        </w:rPr>
        <w:t>（二）结合承诺期满关联方以资抵债等情况，说明是否存在承诺期通过关联交易完成业绩承诺、承诺期满关联应收款回收困难的情况，进而说明承诺期内收入及利润的确认是否真实、准确、审慎</w:t>
      </w:r>
    </w:p>
    <w:p w:rsidR="000D3334" w:rsidRDefault="000D3334" w:rsidP="000D3334">
      <w:pPr>
        <w:spacing w:beforeLines="50" w:before="120" w:line="360" w:lineRule="auto"/>
        <w:ind w:firstLineChars="200" w:firstLine="480"/>
        <w:rPr>
          <w:sz w:val="24"/>
        </w:rPr>
      </w:pPr>
      <w:r>
        <w:rPr>
          <w:rFonts w:hint="eastAsia"/>
          <w:sz w:val="24"/>
        </w:rPr>
        <w:t>近年来，房地产销售难度增加导致回款难度加大，</w:t>
      </w:r>
      <w:r>
        <w:rPr>
          <w:sz w:val="24"/>
        </w:rPr>
        <w:t>为了加快公司应收账款回收，维护公司应收账款安全，</w:t>
      </w:r>
      <w:r>
        <w:rPr>
          <w:sz w:val="24"/>
        </w:rPr>
        <w:t>2024</w:t>
      </w:r>
      <w:r>
        <w:rPr>
          <w:sz w:val="24"/>
        </w:rPr>
        <w:t>年公司对外披露了《安徽省交通建设股份有限公司关于关联方以实物资产抵债并拟签署相关协议暨关联交易的公告》，并经公司</w:t>
      </w:r>
      <w:r>
        <w:rPr>
          <w:sz w:val="24"/>
        </w:rPr>
        <w:t>2024</w:t>
      </w:r>
      <w:r>
        <w:rPr>
          <w:sz w:val="24"/>
        </w:rPr>
        <w:t>年第三次临时股东大会审议通过。同时，公司制定了可行的对下供应</w:t>
      </w:r>
      <w:proofErr w:type="gramStart"/>
      <w:r>
        <w:rPr>
          <w:sz w:val="24"/>
        </w:rPr>
        <w:t>商工抵方案</w:t>
      </w:r>
      <w:proofErr w:type="gramEnd"/>
      <w:r>
        <w:rPr>
          <w:sz w:val="24"/>
        </w:rPr>
        <w:t>，将尽快完成抵债房产的处置工作，避免关联应收账款不能及时回收的风险。未来，控股股东将继续履行应收账款及时支付的承诺，公司将继续积极督促控股股东履行相关承诺，保证应收账款回收。</w:t>
      </w:r>
    </w:p>
    <w:p w:rsidR="000D3334" w:rsidRDefault="000D3334" w:rsidP="000D3334">
      <w:pPr>
        <w:spacing w:beforeLines="50" w:before="120" w:line="360" w:lineRule="auto"/>
        <w:ind w:firstLineChars="200" w:firstLine="480"/>
        <w:rPr>
          <w:sz w:val="24"/>
        </w:rPr>
      </w:pPr>
      <w:r>
        <w:rPr>
          <w:sz w:val="24"/>
        </w:rPr>
        <w:t>综上</w:t>
      </w:r>
      <w:r>
        <w:rPr>
          <w:rFonts w:hint="eastAsia"/>
          <w:sz w:val="24"/>
        </w:rPr>
        <w:t>所述</w:t>
      </w:r>
      <w:r>
        <w:rPr>
          <w:sz w:val="24"/>
        </w:rPr>
        <w:t>，</w:t>
      </w:r>
      <w:proofErr w:type="gramStart"/>
      <w:r>
        <w:rPr>
          <w:sz w:val="24"/>
        </w:rPr>
        <w:t>交建建筑</w:t>
      </w:r>
      <w:proofErr w:type="gramEnd"/>
      <w:r>
        <w:rPr>
          <w:sz w:val="24"/>
        </w:rPr>
        <w:t>承诺期内收入及利润的确认真实、准确、审慎。</w:t>
      </w:r>
    </w:p>
    <w:p w:rsidR="000D3334" w:rsidRDefault="000D3334" w:rsidP="000D3334">
      <w:pPr>
        <w:spacing w:beforeLines="50" w:before="120" w:line="360" w:lineRule="auto"/>
        <w:ind w:firstLineChars="200" w:firstLine="482"/>
        <w:outlineLvl w:val="0"/>
        <w:rPr>
          <w:b/>
          <w:bCs/>
          <w:sz w:val="24"/>
        </w:rPr>
      </w:pPr>
      <w:r>
        <w:rPr>
          <w:rFonts w:hint="eastAsia"/>
          <w:b/>
          <w:bCs/>
          <w:sz w:val="24"/>
        </w:rPr>
        <w:t>五</w:t>
      </w:r>
      <w:r>
        <w:rPr>
          <w:b/>
          <w:bCs/>
          <w:sz w:val="24"/>
        </w:rPr>
        <w:t>、年审会计师核查意见</w:t>
      </w:r>
    </w:p>
    <w:p w:rsidR="000D3334" w:rsidRDefault="000D3334" w:rsidP="000D3334">
      <w:pPr>
        <w:spacing w:beforeLines="50" w:before="120" w:line="360" w:lineRule="auto"/>
        <w:ind w:firstLineChars="200" w:firstLine="482"/>
        <w:outlineLvl w:val="1"/>
        <w:rPr>
          <w:b/>
          <w:bCs/>
          <w:sz w:val="24"/>
        </w:rPr>
      </w:pPr>
      <w:r>
        <w:rPr>
          <w:b/>
          <w:bCs/>
          <w:sz w:val="24"/>
        </w:rPr>
        <w:t>（一）核查程序</w:t>
      </w:r>
    </w:p>
    <w:p w:rsidR="000D3334" w:rsidRDefault="000D3334" w:rsidP="000D3334">
      <w:pPr>
        <w:spacing w:beforeLines="50" w:before="120" w:line="360" w:lineRule="auto"/>
        <w:ind w:firstLineChars="200" w:firstLine="480"/>
        <w:rPr>
          <w:sz w:val="24"/>
        </w:rPr>
      </w:pPr>
      <w:r>
        <w:rPr>
          <w:sz w:val="24"/>
        </w:rPr>
        <w:t>针对上述事项，</w:t>
      </w:r>
      <w:r>
        <w:rPr>
          <w:rFonts w:hint="eastAsia"/>
          <w:sz w:val="24"/>
        </w:rPr>
        <w:t>年审会计师</w:t>
      </w:r>
      <w:r>
        <w:rPr>
          <w:sz w:val="24"/>
        </w:rPr>
        <w:t>履行了以下核查程序：</w:t>
      </w:r>
    </w:p>
    <w:p w:rsidR="000D3334" w:rsidRDefault="000D3334" w:rsidP="000D3334">
      <w:pPr>
        <w:spacing w:beforeLines="50" w:before="120" w:line="360" w:lineRule="auto"/>
        <w:ind w:firstLineChars="200" w:firstLine="480"/>
        <w:rPr>
          <w:sz w:val="24"/>
        </w:rPr>
      </w:pPr>
      <w:r>
        <w:rPr>
          <w:sz w:val="24"/>
        </w:rPr>
        <w:t>1</w:t>
      </w:r>
      <w:r>
        <w:rPr>
          <w:sz w:val="24"/>
        </w:rPr>
        <w:t>、获取</w:t>
      </w:r>
      <w:proofErr w:type="gramStart"/>
      <w:r>
        <w:rPr>
          <w:rFonts w:hint="eastAsia"/>
          <w:sz w:val="24"/>
        </w:rPr>
        <w:t>交建建筑</w:t>
      </w:r>
      <w:proofErr w:type="gramEnd"/>
      <w:r>
        <w:rPr>
          <w:sz w:val="24"/>
        </w:rPr>
        <w:t>关联收入明细表、关联方清单以及财务报表，检查关联收入的金额统计的准确性；结合关联方清单检查关联收入的完整性；结合财务报表检查</w:t>
      </w:r>
      <w:proofErr w:type="gramStart"/>
      <w:r>
        <w:rPr>
          <w:rFonts w:hint="eastAsia"/>
          <w:sz w:val="24"/>
        </w:rPr>
        <w:t>交建建筑</w:t>
      </w:r>
      <w:proofErr w:type="gramEnd"/>
      <w:r>
        <w:rPr>
          <w:sz w:val="24"/>
        </w:rPr>
        <w:t>业绩承诺期间营业收入金额统计的准确性</w:t>
      </w:r>
      <w:r>
        <w:rPr>
          <w:rFonts w:hint="eastAsia"/>
          <w:sz w:val="24"/>
        </w:rPr>
        <w:t>；</w:t>
      </w:r>
    </w:p>
    <w:p w:rsidR="000D3334" w:rsidRDefault="000D3334" w:rsidP="000D3334">
      <w:pPr>
        <w:spacing w:beforeLines="50" w:before="120" w:line="360" w:lineRule="auto"/>
        <w:ind w:firstLineChars="200" w:firstLine="480"/>
        <w:rPr>
          <w:sz w:val="24"/>
        </w:rPr>
      </w:pPr>
      <w:r>
        <w:rPr>
          <w:sz w:val="24"/>
        </w:rPr>
        <w:t>2</w:t>
      </w:r>
      <w:r>
        <w:rPr>
          <w:sz w:val="24"/>
        </w:rPr>
        <w:t>、获取</w:t>
      </w:r>
      <w:proofErr w:type="gramStart"/>
      <w:r>
        <w:rPr>
          <w:rFonts w:hint="eastAsia"/>
          <w:sz w:val="24"/>
        </w:rPr>
        <w:t>交建建筑</w:t>
      </w:r>
      <w:proofErr w:type="gramEnd"/>
      <w:r>
        <w:rPr>
          <w:sz w:val="24"/>
        </w:rPr>
        <w:t>应收账款明细，复核检查前五名关联方客户名称、业务类型、销售金额、项目进展等统计的准确性；复核</w:t>
      </w:r>
      <w:proofErr w:type="gramStart"/>
      <w:r>
        <w:rPr>
          <w:rFonts w:hint="eastAsia"/>
          <w:sz w:val="24"/>
        </w:rPr>
        <w:t>交建建筑</w:t>
      </w:r>
      <w:proofErr w:type="gramEnd"/>
      <w:r>
        <w:rPr>
          <w:sz w:val="24"/>
        </w:rPr>
        <w:t>关联业务收入形成的应收账款前十名欠款方名称、形成时间、金额的准确性以及形成后至</w:t>
      </w:r>
      <w:r>
        <w:rPr>
          <w:sz w:val="24"/>
        </w:rPr>
        <w:t>2024</w:t>
      </w:r>
      <w:r>
        <w:rPr>
          <w:sz w:val="24"/>
        </w:rPr>
        <w:t>年每年年末余额与坏账计提金额统计的准确性</w:t>
      </w:r>
      <w:r>
        <w:rPr>
          <w:rFonts w:hint="eastAsia"/>
          <w:sz w:val="24"/>
        </w:rPr>
        <w:t>；</w:t>
      </w:r>
    </w:p>
    <w:p w:rsidR="000D3334" w:rsidRDefault="000D3334" w:rsidP="000D3334">
      <w:pPr>
        <w:spacing w:beforeLines="50" w:before="120" w:line="360" w:lineRule="auto"/>
        <w:ind w:firstLineChars="200" w:firstLine="480"/>
        <w:rPr>
          <w:sz w:val="24"/>
        </w:rPr>
      </w:pPr>
      <w:r>
        <w:rPr>
          <w:rFonts w:hint="eastAsia"/>
          <w:sz w:val="24"/>
        </w:rPr>
        <w:lastRenderedPageBreak/>
        <w:t>3</w:t>
      </w:r>
      <w:r>
        <w:rPr>
          <w:sz w:val="24"/>
        </w:rPr>
        <w:t>、</w:t>
      </w:r>
      <w:r>
        <w:rPr>
          <w:rFonts w:hint="eastAsia"/>
          <w:sz w:val="24"/>
        </w:rPr>
        <w:t>获取抵债房产清单，复核检查抵债房产最新处置进展，相关房产是否存在减值情况，以及控股股东承诺履行情况；</w:t>
      </w:r>
    </w:p>
    <w:p w:rsidR="000D3334" w:rsidRDefault="000D3334" w:rsidP="000D3334">
      <w:pPr>
        <w:spacing w:beforeLines="50" w:before="120" w:line="360" w:lineRule="auto"/>
        <w:ind w:firstLineChars="200" w:firstLine="480"/>
        <w:rPr>
          <w:sz w:val="24"/>
        </w:rPr>
      </w:pPr>
      <w:r>
        <w:rPr>
          <w:rFonts w:hint="eastAsia"/>
          <w:sz w:val="24"/>
        </w:rPr>
        <w:t>4</w:t>
      </w:r>
      <w:r>
        <w:rPr>
          <w:rFonts w:hint="eastAsia"/>
          <w:sz w:val="24"/>
        </w:rPr>
        <w:t>、复核检查交</w:t>
      </w:r>
      <w:proofErr w:type="gramStart"/>
      <w:r>
        <w:rPr>
          <w:rFonts w:hint="eastAsia"/>
          <w:sz w:val="24"/>
        </w:rPr>
        <w:t>建</w:t>
      </w:r>
      <w:proofErr w:type="gramEnd"/>
      <w:r>
        <w:rPr>
          <w:rFonts w:hint="eastAsia"/>
          <w:sz w:val="24"/>
        </w:rPr>
        <w:t>建筑</w:t>
      </w:r>
      <w:r>
        <w:rPr>
          <w:rFonts w:hint="eastAsia"/>
          <w:sz w:val="24"/>
        </w:rPr>
        <w:t>2024</w:t>
      </w:r>
      <w:r>
        <w:rPr>
          <w:rFonts w:hint="eastAsia"/>
          <w:sz w:val="24"/>
        </w:rPr>
        <w:t>年业绩情况数据</w:t>
      </w:r>
      <w:r>
        <w:rPr>
          <w:sz w:val="24"/>
        </w:rPr>
        <w:t>的准确性</w:t>
      </w:r>
      <w:r>
        <w:rPr>
          <w:rFonts w:hint="eastAsia"/>
          <w:sz w:val="24"/>
        </w:rPr>
        <w:t>，了解并分析收入及利润变动情况及具体原因；复核关联应收款收回情况。</w:t>
      </w:r>
    </w:p>
    <w:p w:rsidR="000D3334" w:rsidRDefault="000D3334" w:rsidP="000D3334">
      <w:pPr>
        <w:spacing w:beforeLines="50" w:before="120" w:line="360" w:lineRule="auto"/>
        <w:ind w:firstLineChars="200" w:firstLine="482"/>
        <w:outlineLvl w:val="1"/>
        <w:rPr>
          <w:b/>
          <w:bCs/>
          <w:sz w:val="24"/>
        </w:rPr>
      </w:pPr>
      <w:r>
        <w:rPr>
          <w:b/>
          <w:bCs/>
          <w:sz w:val="24"/>
        </w:rPr>
        <w:t>（二）核查意见</w:t>
      </w:r>
    </w:p>
    <w:p w:rsidR="000D3334" w:rsidRDefault="000D3334" w:rsidP="000D3334">
      <w:pPr>
        <w:spacing w:beforeLines="50" w:before="120" w:line="360" w:lineRule="auto"/>
        <w:ind w:firstLineChars="200" w:firstLine="480"/>
        <w:rPr>
          <w:sz w:val="24"/>
        </w:rPr>
      </w:pPr>
      <w:r>
        <w:rPr>
          <w:sz w:val="24"/>
        </w:rPr>
        <w:t>经核查，</w:t>
      </w:r>
      <w:r>
        <w:rPr>
          <w:rFonts w:hint="eastAsia"/>
          <w:sz w:val="24"/>
        </w:rPr>
        <w:t>年审会计师</w:t>
      </w:r>
      <w:r>
        <w:rPr>
          <w:sz w:val="24"/>
        </w:rPr>
        <w:t>认为：</w:t>
      </w:r>
    </w:p>
    <w:p w:rsidR="000D3334" w:rsidRPr="002D6703" w:rsidRDefault="000D3334" w:rsidP="000D3334">
      <w:pPr>
        <w:numPr>
          <w:ilvl w:val="0"/>
          <w:numId w:val="3"/>
        </w:numPr>
        <w:spacing w:beforeLines="50" w:before="120" w:line="360" w:lineRule="auto"/>
        <w:ind w:firstLineChars="200" w:firstLine="480"/>
        <w:rPr>
          <w:sz w:val="24"/>
        </w:rPr>
      </w:pPr>
      <w:r w:rsidRPr="002D6703">
        <w:rPr>
          <w:sz w:val="24"/>
        </w:rPr>
        <w:t>2021-2023</w:t>
      </w:r>
      <w:r w:rsidRPr="002D6703">
        <w:rPr>
          <w:sz w:val="24"/>
        </w:rPr>
        <w:t>年度，业绩承诺期间收购标的收入来自于关联方的占比分别为</w:t>
      </w:r>
      <w:r w:rsidRPr="002D6703">
        <w:rPr>
          <w:sz w:val="24"/>
        </w:rPr>
        <w:t>95.07%</w:t>
      </w:r>
      <w:r w:rsidRPr="002D6703">
        <w:rPr>
          <w:sz w:val="24"/>
        </w:rPr>
        <w:t>、</w:t>
      </w:r>
      <w:r w:rsidRPr="002D6703">
        <w:rPr>
          <w:sz w:val="24"/>
        </w:rPr>
        <w:t>82.57%</w:t>
      </w:r>
      <w:r w:rsidRPr="002D6703">
        <w:rPr>
          <w:sz w:val="24"/>
        </w:rPr>
        <w:t>和</w:t>
      </w:r>
      <w:r w:rsidRPr="002D6703">
        <w:rPr>
          <w:sz w:val="24"/>
        </w:rPr>
        <w:t>50.23%</w:t>
      </w:r>
      <w:r w:rsidRPr="002D6703">
        <w:rPr>
          <w:sz w:val="24"/>
        </w:rPr>
        <w:t>，呈逐年下降趋势；关联客户项目无明显异常情况；</w:t>
      </w:r>
    </w:p>
    <w:p w:rsidR="000D3334" w:rsidRPr="002D6703" w:rsidRDefault="000D3334" w:rsidP="000D3334">
      <w:pPr>
        <w:numPr>
          <w:ilvl w:val="0"/>
          <w:numId w:val="3"/>
        </w:numPr>
        <w:spacing w:beforeLines="50" w:before="120" w:line="360" w:lineRule="auto"/>
        <w:ind w:firstLineChars="200" w:firstLine="480"/>
        <w:rPr>
          <w:sz w:val="24"/>
        </w:rPr>
      </w:pPr>
      <w:r w:rsidRPr="002D6703">
        <w:rPr>
          <w:sz w:val="24"/>
        </w:rPr>
        <w:t>业绩承诺期内关联业务收入形成的应收账款前十名余额回款正常，不存在业绩承诺期内坏账计提不充分、承诺期满大额计提坏账的情况；</w:t>
      </w:r>
    </w:p>
    <w:p w:rsidR="000D3334" w:rsidRPr="002D6703" w:rsidRDefault="000D3334" w:rsidP="000D3334">
      <w:pPr>
        <w:numPr>
          <w:ilvl w:val="0"/>
          <w:numId w:val="3"/>
        </w:numPr>
        <w:spacing w:beforeLines="50" w:before="120" w:line="360" w:lineRule="auto"/>
        <w:ind w:firstLineChars="200" w:firstLine="480"/>
        <w:rPr>
          <w:sz w:val="24"/>
        </w:rPr>
      </w:pPr>
      <w:r w:rsidRPr="002D6703">
        <w:rPr>
          <w:sz w:val="24"/>
        </w:rPr>
        <w:t>截至目前，公司大部分抵债房产已完成对</w:t>
      </w:r>
      <w:proofErr w:type="gramStart"/>
      <w:r w:rsidRPr="002D6703">
        <w:rPr>
          <w:sz w:val="24"/>
        </w:rPr>
        <w:t>下工抵且未</w:t>
      </w:r>
      <w:proofErr w:type="gramEnd"/>
      <w:r w:rsidRPr="002D6703">
        <w:rPr>
          <w:sz w:val="24"/>
        </w:rPr>
        <w:t>发生</w:t>
      </w:r>
      <w:proofErr w:type="gramStart"/>
      <w:r w:rsidRPr="002D6703">
        <w:rPr>
          <w:sz w:val="24"/>
        </w:rPr>
        <w:t>折价工抵的</w:t>
      </w:r>
      <w:proofErr w:type="gramEnd"/>
      <w:r w:rsidRPr="002D6703">
        <w:rPr>
          <w:sz w:val="24"/>
        </w:rPr>
        <w:t>情形，剩余未抵房产</w:t>
      </w:r>
      <w:proofErr w:type="gramStart"/>
      <w:r w:rsidRPr="002D6703">
        <w:rPr>
          <w:sz w:val="24"/>
        </w:rPr>
        <w:t>期末不</w:t>
      </w:r>
      <w:proofErr w:type="gramEnd"/>
      <w:r w:rsidRPr="002D6703">
        <w:rPr>
          <w:sz w:val="24"/>
        </w:rPr>
        <w:t>存在减值情况，故尚未触发控股股东需履行相关承诺的情况；</w:t>
      </w:r>
    </w:p>
    <w:bookmarkEnd w:id="8"/>
    <w:p w:rsidR="000D3334" w:rsidRPr="001A1802" w:rsidRDefault="000D3334" w:rsidP="000D3334">
      <w:pPr>
        <w:widowControl/>
        <w:numPr>
          <w:ilvl w:val="0"/>
          <w:numId w:val="3"/>
        </w:numPr>
        <w:spacing w:beforeLines="50" w:before="120" w:line="360" w:lineRule="auto"/>
        <w:ind w:firstLineChars="200" w:firstLine="480"/>
        <w:jc w:val="left"/>
        <w:rPr>
          <w:sz w:val="24"/>
        </w:rPr>
      </w:pPr>
      <w:r w:rsidRPr="00890A49">
        <w:rPr>
          <w:rFonts w:hint="eastAsia"/>
          <w:sz w:val="24"/>
        </w:rPr>
        <w:t>交</w:t>
      </w:r>
      <w:proofErr w:type="gramStart"/>
      <w:r w:rsidRPr="00890A49">
        <w:rPr>
          <w:rFonts w:hint="eastAsia"/>
          <w:sz w:val="24"/>
        </w:rPr>
        <w:t>建</w:t>
      </w:r>
      <w:proofErr w:type="gramEnd"/>
      <w:r w:rsidRPr="00890A49">
        <w:rPr>
          <w:rFonts w:hint="eastAsia"/>
          <w:sz w:val="24"/>
        </w:rPr>
        <w:t>建筑</w:t>
      </w:r>
      <w:r w:rsidRPr="00890A49">
        <w:rPr>
          <w:rFonts w:hint="eastAsia"/>
          <w:sz w:val="24"/>
        </w:rPr>
        <w:t>2024</w:t>
      </w:r>
      <w:r w:rsidRPr="00890A49">
        <w:rPr>
          <w:rFonts w:hint="eastAsia"/>
          <w:sz w:val="24"/>
        </w:rPr>
        <w:t>年度业绩下滑主要系公司逐步控制关联交易比重，关联销售收入规模下降，以及</w:t>
      </w:r>
      <w:r>
        <w:rPr>
          <w:rFonts w:hint="eastAsia"/>
          <w:sz w:val="24"/>
        </w:rPr>
        <w:t>外部业务</w:t>
      </w:r>
      <w:r w:rsidRPr="00890A49">
        <w:rPr>
          <w:rFonts w:hint="eastAsia"/>
          <w:sz w:val="24"/>
        </w:rPr>
        <w:t>新拓展的</w:t>
      </w:r>
      <w:r>
        <w:rPr>
          <w:rFonts w:hint="eastAsia"/>
          <w:sz w:val="24"/>
        </w:rPr>
        <w:t>区域</w:t>
      </w:r>
      <w:r w:rsidRPr="00890A49">
        <w:rPr>
          <w:rFonts w:hint="eastAsia"/>
          <w:sz w:val="24"/>
        </w:rPr>
        <w:t>市场项目毛利率较低所致，具备合理性</w:t>
      </w:r>
      <w:r w:rsidRPr="001A1802">
        <w:rPr>
          <w:rFonts w:hint="eastAsia"/>
          <w:sz w:val="24"/>
        </w:rPr>
        <w:t>；近年来，房地产销售难度增加导致回款难度加大，为了加快应收账款回收，公司制定了可行的对下供应</w:t>
      </w:r>
      <w:proofErr w:type="gramStart"/>
      <w:r w:rsidRPr="001A1802">
        <w:rPr>
          <w:rFonts w:hint="eastAsia"/>
          <w:sz w:val="24"/>
        </w:rPr>
        <w:t>商工抵方案</w:t>
      </w:r>
      <w:proofErr w:type="gramEnd"/>
      <w:r w:rsidRPr="001A1802">
        <w:rPr>
          <w:rFonts w:hint="eastAsia"/>
          <w:sz w:val="24"/>
        </w:rPr>
        <w:t>，将尽快完成抵债房产的处置工作，避免关联应收账款不能及时回收的风险；业绩承诺期内收入及利润的确认真实、准确、审慎</w:t>
      </w:r>
      <w:r w:rsidRPr="002D6703">
        <w:rPr>
          <w:sz w:val="24"/>
        </w:rPr>
        <w:t>。</w:t>
      </w:r>
    </w:p>
    <w:p w:rsidR="000D3334" w:rsidRPr="002D6703" w:rsidRDefault="000D3334" w:rsidP="000D3334">
      <w:pPr>
        <w:widowControl/>
        <w:spacing w:beforeLines="50" w:before="120" w:line="360" w:lineRule="auto"/>
        <w:ind w:left="480"/>
        <w:jc w:val="left"/>
        <w:rPr>
          <w:sz w:val="24"/>
        </w:rPr>
      </w:pPr>
    </w:p>
    <w:p w:rsidR="000D3334" w:rsidRDefault="000D3334" w:rsidP="000D3334">
      <w:pPr>
        <w:spacing w:beforeLines="50" w:before="120" w:line="360" w:lineRule="auto"/>
        <w:ind w:firstLineChars="200" w:firstLine="482"/>
        <w:outlineLvl w:val="0"/>
        <w:rPr>
          <w:b/>
          <w:bCs/>
          <w:sz w:val="24"/>
        </w:rPr>
      </w:pPr>
      <w:r>
        <w:rPr>
          <w:rFonts w:hint="eastAsia"/>
          <w:b/>
          <w:bCs/>
          <w:sz w:val="24"/>
        </w:rPr>
        <w:t>问题</w:t>
      </w:r>
      <w:r>
        <w:rPr>
          <w:rFonts w:hint="eastAsia"/>
          <w:b/>
          <w:bCs/>
          <w:sz w:val="24"/>
        </w:rPr>
        <w:t>2</w:t>
      </w:r>
      <w:r>
        <w:rPr>
          <w:rFonts w:hint="eastAsia"/>
          <w:b/>
          <w:bCs/>
          <w:sz w:val="24"/>
        </w:rPr>
        <w:t>、关于关联应收账款及合同资产</w:t>
      </w:r>
    </w:p>
    <w:p w:rsidR="000D3334" w:rsidRDefault="000D3334" w:rsidP="000D3334">
      <w:pPr>
        <w:spacing w:beforeLines="50" w:before="120" w:line="360" w:lineRule="auto"/>
        <w:ind w:firstLineChars="200" w:firstLine="482"/>
        <w:rPr>
          <w:b/>
          <w:bCs/>
          <w:sz w:val="24"/>
        </w:rPr>
      </w:pPr>
      <w:r>
        <w:rPr>
          <w:rFonts w:hint="eastAsia"/>
          <w:b/>
          <w:bCs/>
          <w:sz w:val="24"/>
        </w:rPr>
        <w:t>年报显示，公司应收账款、合同资产期末余额分别为</w:t>
      </w:r>
      <w:r>
        <w:rPr>
          <w:rFonts w:hint="eastAsia"/>
          <w:b/>
          <w:bCs/>
          <w:sz w:val="24"/>
        </w:rPr>
        <w:t>48.73</w:t>
      </w:r>
      <w:r>
        <w:rPr>
          <w:rFonts w:hint="eastAsia"/>
          <w:b/>
          <w:bCs/>
          <w:sz w:val="24"/>
        </w:rPr>
        <w:t>亿元、</w:t>
      </w:r>
      <w:r>
        <w:rPr>
          <w:rFonts w:hint="eastAsia"/>
          <w:b/>
          <w:bCs/>
          <w:sz w:val="24"/>
        </w:rPr>
        <w:t>10.79</w:t>
      </w:r>
      <w:r>
        <w:rPr>
          <w:rFonts w:hint="eastAsia"/>
          <w:b/>
          <w:bCs/>
          <w:sz w:val="24"/>
        </w:rPr>
        <w:t>亿元，其中对关联方应收账款、合同资产余额分别为</w:t>
      </w:r>
      <w:r>
        <w:rPr>
          <w:rFonts w:hint="eastAsia"/>
          <w:b/>
          <w:bCs/>
          <w:sz w:val="24"/>
        </w:rPr>
        <w:t>7.08</w:t>
      </w:r>
      <w:r>
        <w:rPr>
          <w:rFonts w:hint="eastAsia"/>
          <w:b/>
          <w:bCs/>
          <w:sz w:val="24"/>
        </w:rPr>
        <w:t>亿元、</w:t>
      </w:r>
      <w:r>
        <w:rPr>
          <w:rFonts w:hint="eastAsia"/>
          <w:b/>
          <w:bCs/>
          <w:sz w:val="24"/>
        </w:rPr>
        <w:t>1.33</w:t>
      </w:r>
      <w:r>
        <w:rPr>
          <w:rFonts w:hint="eastAsia"/>
          <w:b/>
          <w:bCs/>
          <w:sz w:val="24"/>
        </w:rPr>
        <w:t>亿元，占比均超过</w:t>
      </w:r>
      <w:r>
        <w:rPr>
          <w:rFonts w:hint="eastAsia"/>
          <w:b/>
          <w:bCs/>
          <w:sz w:val="24"/>
        </w:rPr>
        <w:t>10%</w:t>
      </w:r>
      <w:r>
        <w:rPr>
          <w:rFonts w:hint="eastAsia"/>
          <w:b/>
          <w:bCs/>
          <w:sz w:val="24"/>
        </w:rPr>
        <w:t>。在按组合计提坏账准备时，公司对普通欠款方与关联欠款方采取不同的计提比例，普通欠款</w:t>
      </w:r>
      <w:proofErr w:type="gramStart"/>
      <w:r>
        <w:rPr>
          <w:rFonts w:hint="eastAsia"/>
          <w:b/>
          <w:bCs/>
          <w:sz w:val="24"/>
        </w:rPr>
        <w:t>方整体</w:t>
      </w:r>
      <w:proofErr w:type="gramEnd"/>
      <w:r>
        <w:rPr>
          <w:rFonts w:hint="eastAsia"/>
          <w:b/>
          <w:bCs/>
          <w:sz w:val="24"/>
        </w:rPr>
        <w:t>计提比例</w:t>
      </w:r>
      <w:r>
        <w:rPr>
          <w:rFonts w:hint="eastAsia"/>
          <w:b/>
          <w:bCs/>
          <w:sz w:val="24"/>
        </w:rPr>
        <w:t>6.83%</w:t>
      </w:r>
      <w:r>
        <w:rPr>
          <w:rFonts w:hint="eastAsia"/>
          <w:b/>
          <w:bCs/>
          <w:sz w:val="24"/>
        </w:rPr>
        <w:t>，关联欠款</w:t>
      </w:r>
      <w:proofErr w:type="gramStart"/>
      <w:r>
        <w:rPr>
          <w:rFonts w:hint="eastAsia"/>
          <w:b/>
          <w:bCs/>
          <w:sz w:val="24"/>
        </w:rPr>
        <w:t>方整体</w:t>
      </w:r>
      <w:proofErr w:type="gramEnd"/>
      <w:r>
        <w:rPr>
          <w:rFonts w:hint="eastAsia"/>
          <w:b/>
          <w:bCs/>
          <w:sz w:val="24"/>
        </w:rPr>
        <w:t>计提比例</w:t>
      </w:r>
      <w:r>
        <w:rPr>
          <w:rFonts w:hint="eastAsia"/>
          <w:b/>
          <w:bCs/>
          <w:sz w:val="24"/>
        </w:rPr>
        <w:t>1.27%</w:t>
      </w:r>
      <w:r>
        <w:rPr>
          <w:rFonts w:hint="eastAsia"/>
          <w:b/>
          <w:bCs/>
          <w:sz w:val="24"/>
        </w:rPr>
        <w:t>。此外，报告期内对海口城中城建项目管理公司应收账款按单项计提坏账准备</w:t>
      </w:r>
      <w:r>
        <w:rPr>
          <w:rFonts w:hint="eastAsia"/>
          <w:b/>
          <w:bCs/>
          <w:sz w:val="24"/>
        </w:rPr>
        <w:t>6559.90</w:t>
      </w:r>
      <w:r>
        <w:rPr>
          <w:rFonts w:hint="eastAsia"/>
          <w:b/>
          <w:bCs/>
          <w:sz w:val="24"/>
        </w:rPr>
        <w:t>万元，计提比例</w:t>
      </w:r>
      <w:r>
        <w:rPr>
          <w:rFonts w:hint="eastAsia"/>
          <w:b/>
          <w:bCs/>
          <w:sz w:val="24"/>
        </w:rPr>
        <w:t xml:space="preserve"> 91.54%</w:t>
      </w:r>
      <w:r>
        <w:rPr>
          <w:rFonts w:hint="eastAsia"/>
          <w:b/>
          <w:bCs/>
          <w:sz w:val="24"/>
        </w:rPr>
        <w:t>。请公司补充披露：</w:t>
      </w:r>
      <w:bookmarkStart w:id="9" w:name="OLE_LINK3"/>
      <w:r>
        <w:rPr>
          <w:rFonts w:hint="eastAsia"/>
          <w:b/>
          <w:bCs/>
          <w:sz w:val="24"/>
        </w:rPr>
        <w:t>（</w:t>
      </w:r>
      <w:r>
        <w:rPr>
          <w:rFonts w:hint="eastAsia"/>
          <w:b/>
          <w:bCs/>
          <w:sz w:val="24"/>
        </w:rPr>
        <w:t>1</w:t>
      </w:r>
      <w:r>
        <w:rPr>
          <w:rFonts w:hint="eastAsia"/>
          <w:b/>
          <w:bCs/>
          <w:sz w:val="24"/>
        </w:rPr>
        <w:t>）前十名关联方应收账款及合同资产欠款对象的名称、金额、形成背景、账龄、坏账计提情况等，核实相关关联交易审议程序是否合</w:t>
      </w:r>
      <w:proofErr w:type="gramStart"/>
      <w:r>
        <w:rPr>
          <w:rFonts w:hint="eastAsia"/>
          <w:b/>
          <w:bCs/>
          <w:sz w:val="24"/>
        </w:rPr>
        <w:t>规</w:t>
      </w:r>
      <w:proofErr w:type="gramEnd"/>
      <w:r>
        <w:rPr>
          <w:rFonts w:hint="eastAsia"/>
          <w:b/>
          <w:bCs/>
          <w:sz w:val="24"/>
        </w:rPr>
        <w:t>，说明公司与控股股东关联方开展大量关联交易的原因与必要性；（</w:t>
      </w:r>
      <w:r>
        <w:rPr>
          <w:rFonts w:hint="eastAsia"/>
          <w:b/>
          <w:bCs/>
          <w:sz w:val="24"/>
        </w:rPr>
        <w:t>2</w:t>
      </w:r>
      <w:r>
        <w:rPr>
          <w:rFonts w:hint="eastAsia"/>
          <w:b/>
          <w:bCs/>
          <w:sz w:val="24"/>
        </w:rPr>
        <w:t>）结合业务</w:t>
      </w:r>
      <w:r>
        <w:rPr>
          <w:rFonts w:hint="eastAsia"/>
          <w:b/>
          <w:bCs/>
          <w:sz w:val="24"/>
        </w:rPr>
        <w:lastRenderedPageBreak/>
        <w:t>实际运营情况，说明公司针对关联方与非关联方坏账采用不同计提确认方法与依据，以及相关会计处理是否符合《企业会计准则》的规定，是否与同行业可比公司相一致；（</w:t>
      </w:r>
      <w:r>
        <w:rPr>
          <w:rFonts w:hint="eastAsia"/>
          <w:b/>
          <w:bCs/>
          <w:sz w:val="24"/>
        </w:rPr>
        <w:t>3</w:t>
      </w:r>
      <w:r>
        <w:rPr>
          <w:rFonts w:hint="eastAsia"/>
          <w:b/>
          <w:bCs/>
          <w:sz w:val="24"/>
        </w:rPr>
        <w:t>）说明公司对海口城中城建项目管理公司应收账款单项计提大额坏账的原因，核实该客户与公司控股股东及关联方是否存在资金或业务往来。请年审会计师发表意见。</w:t>
      </w:r>
    </w:p>
    <w:bookmarkEnd w:id="9"/>
    <w:p w:rsidR="000D3334" w:rsidRDefault="000D3334" w:rsidP="000D3334">
      <w:pPr>
        <w:spacing w:beforeLines="50" w:before="120" w:line="360" w:lineRule="auto"/>
        <w:ind w:firstLineChars="200" w:firstLine="482"/>
        <w:outlineLvl w:val="0"/>
        <w:rPr>
          <w:b/>
          <w:bCs/>
          <w:sz w:val="24"/>
        </w:rPr>
      </w:pPr>
      <w:r>
        <w:rPr>
          <w:b/>
          <w:bCs/>
          <w:sz w:val="24"/>
        </w:rPr>
        <w:t>回复</w:t>
      </w:r>
      <w:r>
        <w:rPr>
          <w:rFonts w:hint="eastAsia"/>
          <w:b/>
          <w:bCs/>
          <w:sz w:val="24"/>
        </w:rPr>
        <w:t>：</w:t>
      </w:r>
    </w:p>
    <w:p w:rsidR="000D3334" w:rsidRDefault="000D3334" w:rsidP="000D3334">
      <w:pPr>
        <w:spacing w:beforeLines="50" w:before="120" w:line="360" w:lineRule="auto"/>
        <w:ind w:firstLineChars="200" w:firstLine="482"/>
        <w:outlineLvl w:val="0"/>
        <w:rPr>
          <w:b/>
          <w:bCs/>
          <w:sz w:val="24"/>
        </w:rPr>
      </w:pPr>
      <w:r>
        <w:rPr>
          <w:b/>
          <w:bCs/>
          <w:sz w:val="24"/>
        </w:rPr>
        <w:t>一、</w:t>
      </w:r>
      <w:r>
        <w:rPr>
          <w:rFonts w:hint="eastAsia"/>
          <w:b/>
          <w:bCs/>
          <w:sz w:val="24"/>
        </w:rPr>
        <w:t>前十名关联方应收账款及合同资产欠款对象的名称、金额、形成背景、账龄、坏账计提情况等，核实相关关联交易审议程序是否合</w:t>
      </w:r>
      <w:proofErr w:type="gramStart"/>
      <w:r>
        <w:rPr>
          <w:rFonts w:hint="eastAsia"/>
          <w:b/>
          <w:bCs/>
          <w:sz w:val="24"/>
        </w:rPr>
        <w:t>规</w:t>
      </w:r>
      <w:proofErr w:type="gramEnd"/>
      <w:r>
        <w:rPr>
          <w:rFonts w:hint="eastAsia"/>
          <w:b/>
          <w:bCs/>
          <w:sz w:val="24"/>
        </w:rPr>
        <w:t>，说明公司与控股股东关联方开展大量关联交易的原因与必要性</w:t>
      </w:r>
    </w:p>
    <w:p w:rsidR="000D3334" w:rsidRDefault="000D3334" w:rsidP="000D3334">
      <w:pPr>
        <w:spacing w:beforeLines="50" w:before="120" w:line="360" w:lineRule="auto"/>
        <w:ind w:firstLineChars="200" w:firstLine="482"/>
        <w:outlineLvl w:val="1"/>
        <w:rPr>
          <w:b/>
          <w:bCs/>
          <w:sz w:val="24"/>
        </w:rPr>
      </w:pPr>
      <w:r>
        <w:rPr>
          <w:rFonts w:hint="eastAsia"/>
          <w:b/>
          <w:bCs/>
          <w:sz w:val="24"/>
        </w:rPr>
        <w:t>（一）前十名关联方应收账款及合同资产欠款对象的名称、金额、形成背景、账龄、坏账计提情况</w:t>
      </w:r>
    </w:p>
    <w:p w:rsidR="000D3334" w:rsidRDefault="000D3334" w:rsidP="000D3334">
      <w:pPr>
        <w:spacing w:beforeLines="50" w:before="120" w:line="360" w:lineRule="auto"/>
        <w:ind w:firstLineChars="200" w:firstLine="480"/>
        <w:rPr>
          <w:sz w:val="24"/>
        </w:rPr>
      </w:pPr>
      <w:r>
        <w:rPr>
          <w:rFonts w:hint="eastAsia"/>
          <w:sz w:val="24"/>
        </w:rPr>
        <w:t>截至</w:t>
      </w:r>
      <w:r>
        <w:rPr>
          <w:rFonts w:hint="eastAsia"/>
          <w:sz w:val="24"/>
        </w:rPr>
        <w:t>2024</w:t>
      </w:r>
      <w:r>
        <w:rPr>
          <w:rFonts w:hint="eastAsia"/>
          <w:sz w:val="24"/>
        </w:rPr>
        <w:t>年末，公司前十名关联方应收账款及合同资产欠款对象的名称、金额、账龄、坏账计提情况如下：</w:t>
      </w:r>
    </w:p>
    <w:p w:rsidR="000D3334" w:rsidRDefault="000D3334" w:rsidP="000D3334">
      <w:pPr>
        <w:spacing w:beforeLines="50" w:before="120"/>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5"/>
        <w:gridCol w:w="1082"/>
        <w:gridCol w:w="1079"/>
        <w:gridCol w:w="1233"/>
        <w:gridCol w:w="2800"/>
        <w:gridCol w:w="974"/>
      </w:tblGrid>
      <w:tr w:rsidR="000D3334" w:rsidTr="00F3634B">
        <w:trPr>
          <w:trHeight w:val="397"/>
          <w:tblHeader/>
        </w:trPr>
        <w:tc>
          <w:tcPr>
            <w:tcW w:w="1019"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公司名称</w:t>
            </w:r>
          </w:p>
        </w:tc>
        <w:tc>
          <w:tcPr>
            <w:tcW w:w="601"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应收账款期末余额</w:t>
            </w:r>
          </w:p>
        </w:tc>
        <w:tc>
          <w:tcPr>
            <w:tcW w:w="599"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合同资产期末余额</w:t>
            </w:r>
          </w:p>
        </w:tc>
        <w:tc>
          <w:tcPr>
            <w:tcW w:w="685"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应收账款和合同资产期末余额</w:t>
            </w:r>
          </w:p>
        </w:tc>
        <w:tc>
          <w:tcPr>
            <w:tcW w:w="1555"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账龄</w:t>
            </w:r>
          </w:p>
        </w:tc>
        <w:tc>
          <w:tcPr>
            <w:tcW w:w="541" w:type="pct"/>
            <w:shd w:val="clear" w:color="auto" w:fill="D9D9D9" w:themeFill="background1" w:themeFillShade="D9"/>
            <w:vAlign w:val="center"/>
          </w:tcPr>
          <w:p w:rsidR="000D3334" w:rsidRDefault="000D3334" w:rsidP="00F3634B">
            <w:pPr>
              <w:adjustRightInd w:val="0"/>
              <w:jc w:val="center"/>
              <w:rPr>
                <w:b/>
                <w:bCs/>
                <w:sz w:val="18"/>
                <w:szCs w:val="18"/>
              </w:rPr>
            </w:pPr>
            <w:r>
              <w:rPr>
                <w:b/>
                <w:bCs/>
                <w:sz w:val="18"/>
                <w:szCs w:val="18"/>
              </w:rPr>
              <w:t>坏账</w:t>
            </w:r>
            <w:proofErr w:type="gramStart"/>
            <w:r>
              <w:rPr>
                <w:b/>
                <w:bCs/>
                <w:sz w:val="18"/>
                <w:szCs w:val="18"/>
              </w:rPr>
              <w:t>准备</w:t>
            </w:r>
            <w:r>
              <w:rPr>
                <w:rFonts w:hint="eastAsia"/>
                <w:b/>
                <w:bCs/>
                <w:sz w:val="18"/>
                <w:szCs w:val="18"/>
              </w:rPr>
              <w:t>余额</w:t>
            </w:r>
            <w:proofErr w:type="gramEnd"/>
          </w:p>
        </w:tc>
      </w:tr>
      <w:tr w:rsidR="000D3334" w:rsidTr="00F3634B">
        <w:trPr>
          <w:trHeight w:val="397"/>
        </w:trPr>
        <w:tc>
          <w:tcPr>
            <w:tcW w:w="1019" w:type="pct"/>
            <w:vAlign w:val="center"/>
          </w:tcPr>
          <w:p w:rsidR="000D3334" w:rsidRDefault="000D3334" w:rsidP="00F3634B">
            <w:pPr>
              <w:adjustRightInd w:val="0"/>
              <w:rPr>
                <w:sz w:val="18"/>
                <w:szCs w:val="18"/>
              </w:rPr>
            </w:pPr>
            <w:r>
              <w:rPr>
                <w:sz w:val="18"/>
                <w:szCs w:val="18"/>
              </w:rPr>
              <w:t>宁波</w:t>
            </w:r>
            <w:proofErr w:type="gramStart"/>
            <w:r>
              <w:rPr>
                <w:sz w:val="18"/>
                <w:szCs w:val="18"/>
              </w:rPr>
              <w:t>祥</w:t>
            </w:r>
            <w:proofErr w:type="gramEnd"/>
            <w:r>
              <w:rPr>
                <w:sz w:val="18"/>
                <w:szCs w:val="18"/>
              </w:rPr>
              <w:t>源旅游开发有限公司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15,127.42 </w:t>
            </w:r>
          </w:p>
        </w:tc>
        <w:tc>
          <w:tcPr>
            <w:tcW w:w="599" w:type="pct"/>
            <w:vAlign w:val="center"/>
          </w:tcPr>
          <w:p w:rsidR="000D3334" w:rsidRDefault="000D3334" w:rsidP="00F3634B">
            <w:pPr>
              <w:adjustRightInd w:val="0"/>
              <w:jc w:val="right"/>
              <w:rPr>
                <w:b/>
                <w:bCs/>
                <w:sz w:val="18"/>
                <w:szCs w:val="18"/>
              </w:rPr>
            </w:pPr>
            <w:r>
              <w:rPr>
                <w:sz w:val="18"/>
                <w:szCs w:val="18"/>
              </w:rPr>
              <w:t xml:space="preserve"> 2,883.09 </w:t>
            </w:r>
          </w:p>
        </w:tc>
        <w:tc>
          <w:tcPr>
            <w:tcW w:w="685" w:type="pct"/>
            <w:vAlign w:val="center"/>
          </w:tcPr>
          <w:p w:rsidR="000D3334" w:rsidRDefault="000D3334" w:rsidP="00F3634B">
            <w:pPr>
              <w:adjustRightInd w:val="0"/>
              <w:jc w:val="right"/>
              <w:rPr>
                <w:b/>
                <w:bCs/>
                <w:sz w:val="18"/>
                <w:szCs w:val="18"/>
              </w:rPr>
            </w:pPr>
            <w:r>
              <w:rPr>
                <w:sz w:val="18"/>
                <w:szCs w:val="18"/>
              </w:rPr>
              <w:t xml:space="preserve"> 18,010.51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16</w:t>
            </w:r>
            <w:r>
              <w:rPr>
                <w:rFonts w:hint="eastAsia"/>
                <w:sz w:val="18"/>
                <w:szCs w:val="18"/>
              </w:rPr>
              <w:t>,</w:t>
            </w:r>
            <w:r>
              <w:rPr>
                <w:sz w:val="18"/>
                <w:szCs w:val="18"/>
              </w:rPr>
              <w:t>634.68</w:t>
            </w:r>
            <w:r>
              <w:rPr>
                <w:sz w:val="18"/>
                <w:szCs w:val="18"/>
              </w:rPr>
              <w:t>万元，</w:t>
            </w:r>
            <w:r>
              <w:rPr>
                <w:sz w:val="18"/>
                <w:szCs w:val="18"/>
              </w:rPr>
              <w:t>1-2</w:t>
            </w:r>
            <w:r>
              <w:rPr>
                <w:sz w:val="18"/>
                <w:szCs w:val="18"/>
              </w:rPr>
              <w:t>年</w:t>
            </w:r>
            <w:r>
              <w:rPr>
                <w:sz w:val="18"/>
                <w:szCs w:val="18"/>
              </w:rPr>
              <w:t>1</w:t>
            </w:r>
            <w:r>
              <w:rPr>
                <w:rFonts w:hint="eastAsia"/>
                <w:sz w:val="18"/>
                <w:szCs w:val="18"/>
              </w:rPr>
              <w:t>,</w:t>
            </w:r>
            <w:r>
              <w:rPr>
                <w:sz w:val="18"/>
                <w:szCs w:val="18"/>
              </w:rPr>
              <w:t>086.86</w:t>
            </w:r>
            <w:r>
              <w:rPr>
                <w:sz w:val="18"/>
                <w:szCs w:val="18"/>
              </w:rPr>
              <w:t>万元，</w:t>
            </w:r>
            <w:r>
              <w:rPr>
                <w:sz w:val="18"/>
                <w:szCs w:val="18"/>
              </w:rPr>
              <w:t>2-3</w:t>
            </w:r>
            <w:r>
              <w:rPr>
                <w:sz w:val="18"/>
                <w:szCs w:val="18"/>
              </w:rPr>
              <w:t>年</w:t>
            </w:r>
            <w:r>
              <w:rPr>
                <w:sz w:val="18"/>
                <w:szCs w:val="18"/>
              </w:rPr>
              <w:t>273.63</w:t>
            </w:r>
            <w:r>
              <w:rPr>
                <w:sz w:val="18"/>
                <w:szCs w:val="18"/>
              </w:rPr>
              <w:t>万元，</w:t>
            </w:r>
            <w:r>
              <w:rPr>
                <w:sz w:val="18"/>
                <w:szCs w:val="18"/>
              </w:rPr>
              <w:t>3</w:t>
            </w:r>
            <w:r>
              <w:rPr>
                <w:sz w:val="18"/>
                <w:szCs w:val="18"/>
              </w:rPr>
              <w:t>年以上</w:t>
            </w:r>
            <w:r>
              <w:rPr>
                <w:sz w:val="18"/>
                <w:szCs w:val="18"/>
              </w:rPr>
              <w:t>15.34</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119.70 </w:t>
            </w:r>
          </w:p>
        </w:tc>
      </w:tr>
      <w:tr w:rsidR="000D3334" w:rsidTr="00F3634B">
        <w:trPr>
          <w:trHeight w:val="397"/>
        </w:trPr>
        <w:tc>
          <w:tcPr>
            <w:tcW w:w="1019" w:type="pct"/>
            <w:vAlign w:val="center"/>
          </w:tcPr>
          <w:p w:rsidR="000D3334" w:rsidRDefault="000D3334" w:rsidP="00F3634B">
            <w:pPr>
              <w:adjustRightInd w:val="0"/>
              <w:rPr>
                <w:sz w:val="18"/>
                <w:szCs w:val="18"/>
              </w:rPr>
            </w:pPr>
            <w:r>
              <w:rPr>
                <w:sz w:val="18"/>
                <w:szCs w:val="18"/>
              </w:rPr>
              <w:t>阜南县城北</w:t>
            </w:r>
            <w:proofErr w:type="gramStart"/>
            <w:r>
              <w:rPr>
                <w:sz w:val="18"/>
                <w:szCs w:val="18"/>
              </w:rPr>
              <w:t>祥</w:t>
            </w:r>
            <w:proofErr w:type="gramEnd"/>
            <w:r>
              <w:rPr>
                <w:sz w:val="18"/>
                <w:szCs w:val="18"/>
              </w:rPr>
              <w:t>源房地产开发有限公司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11,808.01 </w:t>
            </w:r>
          </w:p>
        </w:tc>
        <w:tc>
          <w:tcPr>
            <w:tcW w:w="599" w:type="pct"/>
            <w:vAlign w:val="center"/>
          </w:tcPr>
          <w:p w:rsidR="000D3334" w:rsidRDefault="000D3334" w:rsidP="00F3634B">
            <w:pPr>
              <w:adjustRightInd w:val="0"/>
              <w:jc w:val="right"/>
              <w:rPr>
                <w:b/>
                <w:bCs/>
                <w:sz w:val="18"/>
                <w:szCs w:val="18"/>
              </w:rPr>
            </w:pPr>
            <w:r>
              <w:rPr>
                <w:sz w:val="18"/>
                <w:szCs w:val="18"/>
              </w:rPr>
              <w:t xml:space="preserve"> 2,717.60 </w:t>
            </w:r>
          </w:p>
        </w:tc>
        <w:tc>
          <w:tcPr>
            <w:tcW w:w="685" w:type="pct"/>
            <w:vAlign w:val="center"/>
          </w:tcPr>
          <w:p w:rsidR="000D3334" w:rsidRDefault="000D3334" w:rsidP="00F3634B">
            <w:pPr>
              <w:adjustRightInd w:val="0"/>
              <w:jc w:val="right"/>
              <w:rPr>
                <w:b/>
                <w:bCs/>
                <w:sz w:val="18"/>
                <w:szCs w:val="18"/>
              </w:rPr>
            </w:pPr>
            <w:r>
              <w:rPr>
                <w:sz w:val="18"/>
                <w:szCs w:val="18"/>
              </w:rPr>
              <w:t xml:space="preserve"> 14,525.61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12</w:t>
            </w:r>
            <w:r>
              <w:rPr>
                <w:rFonts w:hint="eastAsia"/>
                <w:sz w:val="18"/>
                <w:szCs w:val="18"/>
              </w:rPr>
              <w:t>,</w:t>
            </w:r>
            <w:r>
              <w:rPr>
                <w:sz w:val="18"/>
                <w:szCs w:val="18"/>
              </w:rPr>
              <w:t>919.72</w:t>
            </w:r>
            <w:r>
              <w:rPr>
                <w:sz w:val="18"/>
                <w:szCs w:val="18"/>
              </w:rPr>
              <w:t>万元，</w:t>
            </w:r>
            <w:r>
              <w:rPr>
                <w:sz w:val="18"/>
                <w:szCs w:val="18"/>
              </w:rPr>
              <w:t>1-2</w:t>
            </w:r>
            <w:r>
              <w:rPr>
                <w:sz w:val="18"/>
                <w:szCs w:val="18"/>
              </w:rPr>
              <w:t>年</w:t>
            </w:r>
            <w:r>
              <w:rPr>
                <w:sz w:val="18"/>
                <w:szCs w:val="18"/>
              </w:rPr>
              <w:t>1</w:t>
            </w:r>
            <w:r>
              <w:rPr>
                <w:rFonts w:hint="eastAsia"/>
                <w:sz w:val="18"/>
                <w:szCs w:val="18"/>
              </w:rPr>
              <w:t>,</w:t>
            </w:r>
            <w:r>
              <w:rPr>
                <w:sz w:val="18"/>
                <w:szCs w:val="18"/>
              </w:rPr>
              <w:t>382.2</w:t>
            </w:r>
            <w:r>
              <w:rPr>
                <w:sz w:val="18"/>
                <w:szCs w:val="18"/>
              </w:rPr>
              <w:t>万元，</w:t>
            </w:r>
            <w:r>
              <w:rPr>
                <w:sz w:val="18"/>
                <w:szCs w:val="18"/>
              </w:rPr>
              <w:t>2-3</w:t>
            </w:r>
            <w:r>
              <w:rPr>
                <w:sz w:val="18"/>
                <w:szCs w:val="18"/>
              </w:rPr>
              <w:t>年</w:t>
            </w:r>
            <w:r>
              <w:rPr>
                <w:sz w:val="18"/>
                <w:szCs w:val="18"/>
              </w:rPr>
              <w:t>64.5</w:t>
            </w:r>
            <w:r>
              <w:rPr>
                <w:sz w:val="18"/>
                <w:szCs w:val="18"/>
              </w:rPr>
              <w:t>万元，</w:t>
            </w:r>
            <w:r>
              <w:rPr>
                <w:sz w:val="18"/>
                <w:szCs w:val="18"/>
              </w:rPr>
              <w:t>3</w:t>
            </w:r>
            <w:r>
              <w:rPr>
                <w:sz w:val="18"/>
                <w:szCs w:val="18"/>
              </w:rPr>
              <w:t>年以上</w:t>
            </w:r>
            <w:r>
              <w:rPr>
                <w:sz w:val="18"/>
                <w:szCs w:val="18"/>
              </w:rPr>
              <w:t>159.19</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117.03 </w:t>
            </w:r>
          </w:p>
        </w:tc>
      </w:tr>
      <w:tr w:rsidR="000D3334" w:rsidTr="00F3634B">
        <w:trPr>
          <w:trHeight w:val="397"/>
        </w:trPr>
        <w:tc>
          <w:tcPr>
            <w:tcW w:w="1019" w:type="pct"/>
            <w:vAlign w:val="center"/>
          </w:tcPr>
          <w:p w:rsidR="000D3334" w:rsidRDefault="000D3334" w:rsidP="00F3634B">
            <w:pPr>
              <w:adjustRightInd w:val="0"/>
              <w:rPr>
                <w:sz w:val="18"/>
                <w:szCs w:val="18"/>
              </w:rPr>
            </w:pPr>
            <w:r>
              <w:rPr>
                <w:sz w:val="18"/>
                <w:szCs w:val="18"/>
              </w:rPr>
              <w:t>合肥祥瀚房地产开发有限公司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9,967.29 </w:t>
            </w:r>
          </w:p>
        </w:tc>
        <w:tc>
          <w:tcPr>
            <w:tcW w:w="599" w:type="pct"/>
            <w:vAlign w:val="center"/>
          </w:tcPr>
          <w:p w:rsidR="000D3334" w:rsidRDefault="000D3334" w:rsidP="00F3634B">
            <w:pPr>
              <w:adjustRightInd w:val="0"/>
              <w:jc w:val="right"/>
              <w:rPr>
                <w:b/>
                <w:bCs/>
                <w:sz w:val="18"/>
                <w:szCs w:val="18"/>
              </w:rPr>
            </w:pPr>
            <w:r>
              <w:rPr>
                <w:sz w:val="18"/>
                <w:szCs w:val="18"/>
              </w:rPr>
              <w:t xml:space="preserve"> 1,589.13 </w:t>
            </w:r>
          </w:p>
        </w:tc>
        <w:tc>
          <w:tcPr>
            <w:tcW w:w="685" w:type="pct"/>
            <w:vAlign w:val="center"/>
          </w:tcPr>
          <w:p w:rsidR="000D3334" w:rsidRDefault="000D3334" w:rsidP="00F3634B">
            <w:pPr>
              <w:adjustRightInd w:val="0"/>
              <w:jc w:val="right"/>
              <w:rPr>
                <w:b/>
                <w:bCs/>
                <w:sz w:val="18"/>
                <w:szCs w:val="18"/>
              </w:rPr>
            </w:pPr>
            <w:r>
              <w:rPr>
                <w:sz w:val="18"/>
                <w:szCs w:val="18"/>
              </w:rPr>
              <w:t xml:space="preserve"> 11,556.42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2</w:t>
            </w:r>
            <w:r>
              <w:rPr>
                <w:rFonts w:hint="eastAsia"/>
                <w:sz w:val="18"/>
                <w:szCs w:val="18"/>
              </w:rPr>
              <w:t>,</w:t>
            </w:r>
            <w:r>
              <w:rPr>
                <w:sz w:val="18"/>
                <w:szCs w:val="18"/>
              </w:rPr>
              <w:t>431.26</w:t>
            </w:r>
            <w:r>
              <w:rPr>
                <w:sz w:val="18"/>
                <w:szCs w:val="18"/>
              </w:rPr>
              <w:t>万元，</w:t>
            </w:r>
            <w:r>
              <w:rPr>
                <w:sz w:val="18"/>
                <w:szCs w:val="18"/>
              </w:rPr>
              <w:t>1-2</w:t>
            </w:r>
            <w:r>
              <w:rPr>
                <w:sz w:val="18"/>
                <w:szCs w:val="18"/>
              </w:rPr>
              <w:t>年</w:t>
            </w:r>
            <w:r>
              <w:rPr>
                <w:sz w:val="18"/>
                <w:szCs w:val="18"/>
              </w:rPr>
              <w:t>9</w:t>
            </w:r>
            <w:r>
              <w:rPr>
                <w:rFonts w:hint="eastAsia"/>
                <w:sz w:val="18"/>
                <w:szCs w:val="18"/>
              </w:rPr>
              <w:t>,</w:t>
            </w:r>
            <w:r>
              <w:rPr>
                <w:sz w:val="18"/>
                <w:szCs w:val="18"/>
              </w:rPr>
              <w:t>125.16</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154.67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五河</w:t>
            </w:r>
            <w:proofErr w:type="gramStart"/>
            <w:r>
              <w:rPr>
                <w:sz w:val="18"/>
                <w:szCs w:val="18"/>
              </w:rPr>
              <w:t>祥</w:t>
            </w:r>
            <w:proofErr w:type="gramEnd"/>
            <w:r>
              <w:rPr>
                <w:sz w:val="18"/>
                <w:szCs w:val="18"/>
              </w:rPr>
              <w:t>源投资开发有限公司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5,509.33 </w:t>
            </w:r>
          </w:p>
        </w:tc>
        <w:tc>
          <w:tcPr>
            <w:tcW w:w="599" w:type="pct"/>
            <w:vAlign w:val="center"/>
          </w:tcPr>
          <w:p w:rsidR="000D3334" w:rsidRDefault="000D3334" w:rsidP="00F3634B">
            <w:pPr>
              <w:adjustRightInd w:val="0"/>
              <w:jc w:val="right"/>
              <w:rPr>
                <w:b/>
                <w:bCs/>
                <w:sz w:val="18"/>
                <w:szCs w:val="18"/>
              </w:rPr>
            </w:pPr>
            <w:r>
              <w:rPr>
                <w:sz w:val="18"/>
                <w:szCs w:val="18"/>
              </w:rPr>
              <w:t xml:space="preserve"> 1,753.09 </w:t>
            </w:r>
          </w:p>
        </w:tc>
        <w:tc>
          <w:tcPr>
            <w:tcW w:w="685" w:type="pct"/>
            <w:vAlign w:val="center"/>
          </w:tcPr>
          <w:p w:rsidR="000D3334" w:rsidRDefault="000D3334" w:rsidP="00F3634B">
            <w:pPr>
              <w:adjustRightInd w:val="0"/>
              <w:jc w:val="right"/>
              <w:rPr>
                <w:b/>
                <w:bCs/>
                <w:sz w:val="18"/>
                <w:szCs w:val="18"/>
              </w:rPr>
            </w:pPr>
            <w:r>
              <w:rPr>
                <w:sz w:val="18"/>
                <w:szCs w:val="18"/>
              </w:rPr>
              <w:t xml:space="preserve"> 7,262.42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1</w:t>
            </w:r>
            <w:r>
              <w:rPr>
                <w:rFonts w:hint="eastAsia"/>
                <w:sz w:val="18"/>
                <w:szCs w:val="18"/>
              </w:rPr>
              <w:t>,</w:t>
            </w:r>
            <w:r>
              <w:rPr>
                <w:sz w:val="18"/>
                <w:szCs w:val="18"/>
              </w:rPr>
              <w:t>062.14</w:t>
            </w:r>
            <w:r>
              <w:rPr>
                <w:sz w:val="18"/>
                <w:szCs w:val="18"/>
              </w:rPr>
              <w:t>万元，</w:t>
            </w:r>
            <w:r>
              <w:rPr>
                <w:sz w:val="18"/>
                <w:szCs w:val="18"/>
              </w:rPr>
              <w:t>1-2</w:t>
            </w:r>
            <w:r>
              <w:rPr>
                <w:sz w:val="18"/>
                <w:szCs w:val="18"/>
              </w:rPr>
              <w:t>年</w:t>
            </w:r>
            <w:r>
              <w:rPr>
                <w:sz w:val="18"/>
                <w:szCs w:val="18"/>
              </w:rPr>
              <w:t>4</w:t>
            </w:r>
            <w:r>
              <w:rPr>
                <w:rFonts w:hint="eastAsia"/>
                <w:sz w:val="18"/>
                <w:szCs w:val="18"/>
              </w:rPr>
              <w:t>,</w:t>
            </w:r>
            <w:r>
              <w:rPr>
                <w:sz w:val="18"/>
                <w:szCs w:val="18"/>
              </w:rPr>
              <w:t>046.55</w:t>
            </w:r>
            <w:r>
              <w:rPr>
                <w:sz w:val="18"/>
                <w:szCs w:val="18"/>
              </w:rPr>
              <w:t>万元，</w:t>
            </w:r>
            <w:r>
              <w:rPr>
                <w:sz w:val="18"/>
                <w:szCs w:val="18"/>
              </w:rPr>
              <w:t>2-3</w:t>
            </w:r>
            <w:r>
              <w:rPr>
                <w:sz w:val="18"/>
                <w:szCs w:val="18"/>
              </w:rPr>
              <w:t>年</w:t>
            </w:r>
            <w:r>
              <w:rPr>
                <w:sz w:val="18"/>
                <w:szCs w:val="18"/>
              </w:rPr>
              <w:t>1</w:t>
            </w:r>
            <w:r>
              <w:rPr>
                <w:rFonts w:hint="eastAsia"/>
                <w:sz w:val="18"/>
                <w:szCs w:val="18"/>
              </w:rPr>
              <w:t>,</w:t>
            </w:r>
            <w:r>
              <w:rPr>
                <w:sz w:val="18"/>
                <w:szCs w:val="18"/>
              </w:rPr>
              <w:t>918.65</w:t>
            </w:r>
            <w:r>
              <w:rPr>
                <w:sz w:val="18"/>
                <w:szCs w:val="18"/>
              </w:rPr>
              <w:t>万元，</w:t>
            </w:r>
            <w:r>
              <w:rPr>
                <w:sz w:val="18"/>
                <w:szCs w:val="18"/>
              </w:rPr>
              <w:t>3</w:t>
            </w:r>
            <w:r>
              <w:rPr>
                <w:sz w:val="18"/>
                <w:szCs w:val="18"/>
              </w:rPr>
              <w:t>年以上</w:t>
            </w:r>
            <w:r>
              <w:rPr>
                <w:sz w:val="18"/>
                <w:szCs w:val="18"/>
              </w:rPr>
              <w:t>235.08</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141.98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上海万锦置业发展有限公司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3,579.57 </w:t>
            </w:r>
          </w:p>
        </w:tc>
        <w:tc>
          <w:tcPr>
            <w:tcW w:w="599" w:type="pct"/>
            <w:vAlign w:val="center"/>
          </w:tcPr>
          <w:p w:rsidR="000D3334" w:rsidRDefault="000D3334" w:rsidP="00F3634B">
            <w:pPr>
              <w:adjustRightInd w:val="0"/>
              <w:jc w:val="right"/>
              <w:rPr>
                <w:b/>
                <w:bCs/>
                <w:sz w:val="18"/>
                <w:szCs w:val="18"/>
              </w:rPr>
            </w:pPr>
            <w:r>
              <w:rPr>
                <w:sz w:val="18"/>
                <w:szCs w:val="18"/>
              </w:rPr>
              <w:t xml:space="preserve"> 3,273.61 </w:t>
            </w:r>
          </w:p>
        </w:tc>
        <w:tc>
          <w:tcPr>
            <w:tcW w:w="685" w:type="pct"/>
            <w:vAlign w:val="center"/>
          </w:tcPr>
          <w:p w:rsidR="000D3334" w:rsidRDefault="000D3334" w:rsidP="00F3634B">
            <w:pPr>
              <w:adjustRightInd w:val="0"/>
              <w:jc w:val="right"/>
              <w:rPr>
                <w:b/>
                <w:bCs/>
                <w:sz w:val="18"/>
                <w:szCs w:val="18"/>
              </w:rPr>
            </w:pPr>
            <w:r>
              <w:rPr>
                <w:sz w:val="18"/>
                <w:szCs w:val="18"/>
              </w:rPr>
              <w:t xml:space="preserve"> 6,853.17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3</w:t>
            </w:r>
            <w:r>
              <w:rPr>
                <w:rFonts w:hint="eastAsia"/>
                <w:sz w:val="18"/>
                <w:szCs w:val="18"/>
              </w:rPr>
              <w:t>,</w:t>
            </w:r>
            <w:r>
              <w:rPr>
                <w:sz w:val="18"/>
                <w:szCs w:val="18"/>
              </w:rPr>
              <w:t>915.06</w:t>
            </w:r>
            <w:r>
              <w:rPr>
                <w:sz w:val="18"/>
                <w:szCs w:val="18"/>
              </w:rPr>
              <w:t>万元，</w:t>
            </w:r>
            <w:r>
              <w:rPr>
                <w:sz w:val="18"/>
                <w:szCs w:val="18"/>
              </w:rPr>
              <w:t>1-2</w:t>
            </w:r>
            <w:r>
              <w:rPr>
                <w:sz w:val="18"/>
                <w:szCs w:val="18"/>
              </w:rPr>
              <w:t>年</w:t>
            </w:r>
            <w:r>
              <w:rPr>
                <w:sz w:val="18"/>
                <w:szCs w:val="18"/>
              </w:rPr>
              <w:t>1</w:t>
            </w:r>
            <w:r>
              <w:rPr>
                <w:rFonts w:hint="eastAsia"/>
                <w:sz w:val="18"/>
                <w:szCs w:val="18"/>
              </w:rPr>
              <w:t>,</w:t>
            </w:r>
            <w:r>
              <w:rPr>
                <w:sz w:val="18"/>
                <w:szCs w:val="18"/>
              </w:rPr>
              <w:t>593.28</w:t>
            </w:r>
            <w:r>
              <w:rPr>
                <w:sz w:val="18"/>
                <w:szCs w:val="18"/>
              </w:rPr>
              <w:t>万元，</w:t>
            </w:r>
            <w:r>
              <w:rPr>
                <w:sz w:val="18"/>
                <w:szCs w:val="18"/>
              </w:rPr>
              <w:t>2-3</w:t>
            </w:r>
            <w:r>
              <w:rPr>
                <w:sz w:val="18"/>
                <w:szCs w:val="18"/>
              </w:rPr>
              <w:t>年</w:t>
            </w:r>
            <w:r>
              <w:rPr>
                <w:sz w:val="18"/>
                <w:szCs w:val="18"/>
              </w:rPr>
              <w:t>1</w:t>
            </w:r>
            <w:r>
              <w:rPr>
                <w:rFonts w:hint="eastAsia"/>
                <w:sz w:val="18"/>
                <w:szCs w:val="18"/>
              </w:rPr>
              <w:t>,</w:t>
            </w:r>
            <w:r>
              <w:rPr>
                <w:sz w:val="18"/>
                <w:szCs w:val="18"/>
              </w:rPr>
              <w:t>344.84</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38.69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安徽新祥源房地产开发有限公司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5,839.33 </w:t>
            </w:r>
          </w:p>
        </w:tc>
        <w:tc>
          <w:tcPr>
            <w:tcW w:w="599" w:type="pct"/>
            <w:vAlign w:val="center"/>
          </w:tcPr>
          <w:p w:rsidR="000D3334" w:rsidRDefault="000D3334" w:rsidP="00F3634B">
            <w:pPr>
              <w:adjustRightInd w:val="0"/>
              <w:jc w:val="right"/>
              <w:rPr>
                <w:b/>
                <w:bCs/>
                <w:sz w:val="18"/>
                <w:szCs w:val="18"/>
              </w:rPr>
            </w:pPr>
            <w:r>
              <w:rPr>
                <w:sz w:val="18"/>
                <w:szCs w:val="18"/>
              </w:rPr>
              <w:t xml:space="preserve"> 645.91 </w:t>
            </w:r>
          </w:p>
        </w:tc>
        <w:tc>
          <w:tcPr>
            <w:tcW w:w="685" w:type="pct"/>
            <w:vAlign w:val="center"/>
          </w:tcPr>
          <w:p w:rsidR="000D3334" w:rsidRDefault="000D3334" w:rsidP="00F3634B">
            <w:pPr>
              <w:adjustRightInd w:val="0"/>
              <w:jc w:val="right"/>
              <w:rPr>
                <w:b/>
                <w:bCs/>
                <w:sz w:val="18"/>
                <w:szCs w:val="18"/>
              </w:rPr>
            </w:pPr>
            <w:r>
              <w:rPr>
                <w:sz w:val="18"/>
                <w:szCs w:val="18"/>
              </w:rPr>
              <w:t xml:space="preserve"> 6,485.24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2</w:t>
            </w:r>
            <w:r>
              <w:rPr>
                <w:rFonts w:hint="eastAsia"/>
                <w:sz w:val="18"/>
                <w:szCs w:val="18"/>
              </w:rPr>
              <w:t>,</w:t>
            </w:r>
            <w:r>
              <w:rPr>
                <w:sz w:val="18"/>
                <w:szCs w:val="18"/>
              </w:rPr>
              <w:t>814.63</w:t>
            </w:r>
            <w:r>
              <w:rPr>
                <w:sz w:val="18"/>
                <w:szCs w:val="18"/>
              </w:rPr>
              <w:t>万元，</w:t>
            </w:r>
            <w:r>
              <w:rPr>
                <w:sz w:val="18"/>
                <w:szCs w:val="18"/>
              </w:rPr>
              <w:t>1-2</w:t>
            </w:r>
            <w:r>
              <w:rPr>
                <w:sz w:val="18"/>
                <w:szCs w:val="18"/>
              </w:rPr>
              <w:t>年</w:t>
            </w:r>
            <w:r>
              <w:rPr>
                <w:sz w:val="18"/>
                <w:szCs w:val="18"/>
              </w:rPr>
              <w:t>3</w:t>
            </w:r>
            <w:r>
              <w:rPr>
                <w:rFonts w:hint="eastAsia"/>
                <w:sz w:val="18"/>
                <w:szCs w:val="18"/>
              </w:rPr>
              <w:t>,</w:t>
            </w:r>
            <w:r>
              <w:rPr>
                <w:sz w:val="18"/>
                <w:szCs w:val="18"/>
              </w:rPr>
              <w:t>253.55</w:t>
            </w:r>
            <w:r>
              <w:rPr>
                <w:sz w:val="18"/>
                <w:szCs w:val="18"/>
              </w:rPr>
              <w:t>万元，</w:t>
            </w:r>
            <w:r>
              <w:rPr>
                <w:sz w:val="18"/>
                <w:szCs w:val="18"/>
              </w:rPr>
              <w:t>2-3</w:t>
            </w:r>
            <w:r>
              <w:rPr>
                <w:sz w:val="18"/>
                <w:szCs w:val="18"/>
              </w:rPr>
              <w:t>年</w:t>
            </w:r>
            <w:r>
              <w:rPr>
                <w:sz w:val="18"/>
                <w:szCs w:val="18"/>
              </w:rPr>
              <w:t>253.37</w:t>
            </w:r>
            <w:r>
              <w:rPr>
                <w:sz w:val="18"/>
                <w:szCs w:val="18"/>
              </w:rPr>
              <w:t>万元，</w:t>
            </w:r>
            <w:r>
              <w:rPr>
                <w:sz w:val="18"/>
                <w:szCs w:val="18"/>
              </w:rPr>
              <w:t>3</w:t>
            </w:r>
            <w:r>
              <w:rPr>
                <w:sz w:val="18"/>
                <w:szCs w:val="18"/>
              </w:rPr>
              <w:t>年以上</w:t>
            </w:r>
            <w:r>
              <w:rPr>
                <w:sz w:val="18"/>
                <w:szCs w:val="18"/>
              </w:rPr>
              <w:t>163.69</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95.26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安徽祥源公园城开发有限公司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5,430.62 </w:t>
            </w:r>
          </w:p>
        </w:tc>
        <w:tc>
          <w:tcPr>
            <w:tcW w:w="599" w:type="pct"/>
            <w:vAlign w:val="center"/>
          </w:tcPr>
          <w:p w:rsidR="000D3334" w:rsidRDefault="000D3334" w:rsidP="00F3634B">
            <w:pPr>
              <w:adjustRightInd w:val="0"/>
              <w:jc w:val="right"/>
              <w:rPr>
                <w:b/>
                <w:bCs/>
                <w:sz w:val="18"/>
                <w:szCs w:val="18"/>
              </w:rPr>
            </w:pPr>
            <w:r>
              <w:rPr>
                <w:sz w:val="18"/>
                <w:szCs w:val="18"/>
              </w:rPr>
              <w:t xml:space="preserve"> 47.58 </w:t>
            </w:r>
          </w:p>
        </w:tc>
        <w:tc>
          <w:tcPr>
            <w:tcW w:w="685" w:type="pct"/>
            <w:vAlign w:val="center"/>
          </w:tcPr>
          <w:p w:rsidR="000D3334" w:rsidRDefault="000D3334" w:rsidP="00F3634B">
            <w:pPr>
              <w:adjustRightInd w:val="0"/>
              <w:jc w:val="right"/>
              <w:rPr>
                <w:b/>
                <w:bCs/>
                <w:sz w:val="18"/>
                <w:szCs w:val="18"/>
              </w:rPr>
            </w:pPr>
            <w:r>
              <w:rPr>
                <w:sz w:val="18"/>
                <w:szCs w:val="18"/>
              </w:rPr>
              <w:t xml:space="preserve"> 5,478.20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4</w:t>
            </w:r>
            <w:r>
              <w:rPr>
                <w:rFonts w:hint="eastAsia"/>
                <w:sz w:val="18"/>
                <w:szCs w:val="18"/>
              </w:rPr>
              <w:t>,</w:t>
            </w:r>
            <w:r>
              <w:rPr>
                <w:sz w:val="18"/>
                <w:szCs w:val="18"/>
              </w:rPr>
              <w:t>255.71</w:t>
            </w:r>
            <w:r>
              <w:rPr>
                <w:sz w:val="18"/>
                <w:szCs w:val="18"/>
              </w:rPr>
              <w:t>万元，</w:t>
            </w:r>
            <w:r>
              <w:rPr>
                <w:sz w:val="18"/>
                <w:szCs w:val="18"/>
              </w:rPr>
              <w:t>1-2</w:t>
            </w:r>
            <w:r>
              <w:rPr>
                <w:sz w:val="18"/>
                <w:szCs w:val="18"/>
              </w:rPr>
              <w:t>年</w:t>
            </w:r>
            <w:r>
              <w:rPr>
                <w:sz w:val="18"/>
                <w:szCs w:val="18"/>
              </w:rPr>
              <w:t>1</w:t>
            </w:r>
            <w:r>
              <w:rPr>
                <w:rFonts w:hint="eastAsia"/>
                <w:sz w:val="18"/>
                <w:szCs w:val="18"/>
              </w:rPr>
              <w:t>,</w:t>
            </w:r>
            <w:r>
              <w:rPr>
                <w:sz w:val="18"/>
                <w:szCs w:val="18"/>
              </w:rPr>
              <w:t>053.32</w:t>
            </w:r>
            <w:r>
              <w:rPr>
                <w:sz w:val="18"/>
                <w:szCs w:val="18"/>
              </w:rPr>
              <w:t>万元，</w:t>
            </w:r>
            <w:r>
              <w:rPr>
                <w:sz w:val="18"/>
                <w:szCs w:val="18"/>
              </w:rPr>
              <w:t>2-3</w:t>
            </w:r>
            <w:r>
              <w:rPr>
                <w:sz w:val="18"/>
                <w:szCs w:val="18"/>
              </w:rPr>
              <w:t>年</w:t>
            </w:r>
            <w:r>
              <w:rPr>
                <w:sz w:val="18"/>
                <w:szCs w:val="18"/>
              </w:rPr>
              <w:t>157.81</w:t>
            </w:r>
            <w:r>
              <w:rPr>
                <w:sz w:val="18"/>
                <w:szCs w:val="18"/>
              </w:rPr>
              <w:t>万元，</w:t>
            </w:r>
            <w:r>
              <w:rPr>
                <w:sz w:val="18"/>
                <w:szCs w:val="18"/>
              </w:rPr>
              <w:t>3</w:t>
            </w:r>
            <w:r>
              <w:rPr>
                <w:sz w:val="18"/>
                <w:szCs w:val="18"/>
              </w:rPr>
              <w:t>年以上</w:t>
            </w:r>
            <w:r>
              <w:rPr>
                <w:sz w:val="18"/>
                <w:szCs w:val="18"/>
              </w:rPr>
              <w:t>11.36</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52.69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滁州</w:t>
            </w:r>
            <w:proofErr w:type="gramStart"/>
            <w:r>
              <w:rPr>
                <w:sz w:val="18"/>
                <w:szCs w:val="18"/>
              </w:rPr>
              <w:t>祥</w:t>
            </w:r>
            <w:proofErr w:type="gramEnd"/>
            <w:r>
              <w:rPr>
                <w:sz w:val="18"/>
                <w:szCs w:val="18"/>
              </w:rPr>
              <w:t>源旅游发展有限公司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4,888.57 </w:t>
            </w:r>
          </w:p>
        </w:tc>
        <w:tc>
          <w:tcPr>
            <w:tcW w:w="599" w:type="pct"/>
            <w:vAlign w:val="center"/>
          </w:tcPr>
          <w:p w:rsidR="000D3334" w:rsidRDefault="000D3334" w:rsidP="00F3634B">
            <w:pPr>
              <w:adjustRightInd w:val="0"/>
              <w:jc w:val="right"/>
              <w:rPr>
                <w:b/>
                <w:bCs/>
                <w:sz w:val="18"/>
                <w:szCs w:val="18"/>
              </w:rPr>
            </w:pPr>
            <w:r>
              <w:rPr>
                <w:sz w:val="18"/>
                <w:szCs w:val="18"/>
              </w:rPr>
              <w:t xml:space="preserve"> 78.33 </w:t>
            </w:r>
          </w:p>
        </w:tc>
        <w:tc>
          <w:tcPr>
            <w:tcW w:w="685" w:type="pct"/>
            <w:vAlign w:val="center"/>
          </w:tcPr>
          <w:p w:rsidR="000D3334" w:rsidRDefault="000D3334" w:rsidP="00F3634B">
            <w:pPr>
              <w:adjustRightInd w:val="0"/>
              <w:jc w:val="right"/>
              <w:rPr>
                <w:b/>
                <w:bCs/>
                <w:sz w:val="18"/>
                <w:szCs w:val="18"/>
              </w:rPr>
            </w:pPr>
            <w:r>
              <w:rPr>
                <w:sz w:val="18"/>
                <w:szCs w:val="18"/>
              </w:rPr>
              <w:t xml:space="preserve"> 4,966.90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1</w:t>
            </w:r>
            <w:r>
              <w:rPr>
                <w:rFonts w:hint="eastAsia"/>
                <w:sz w:val="18"/>
                <w:szCs w:val="18"/>
              </w:rPr>
              <w:t>,</w:t>
            </w:r>
            <w:r>
              <w:rPr>
                <w:sz w:val="18"/>
                <w:szCs w:val="18"/>
              </w:rPr>
              <w:t>040.25</w:t>
            </w:r>
            <w:r>
              <w:rPr>
                <w:sz w:val="18"/>
                <w:szCs w:val="18"/>
              </w:rPr>
              <w:t>万元，</w:t>
            </w:r>
            <w:r>
              <w:rPr>
                <w:sz w:val="18"/>
                <w:szCs w:val="18"/>
              </w:rPr>
              <w:t>1-2</w:t>
            </w:r>
            <w:r>
              <w:rPr>
                <w:sz w:val="18"/>
                <w:szCs w:val="18"/>
              </w:rPr>
              <w:t>年</w:t>
            </w:r>
            <w:r>
              <w:rPr>
                <w:sz w:val="18"/>
                <w:szCs w:val="18"/>
              </w:rPr>
              <w:t>3</w:t>
            </w:r>
            <w:r>
              <w:rPr>
                <w:rFonts w:hint="eastAsia"/>
                <w:sz w:val="18"/>
                <w:szCs w:val="18"/>
              </w:rPr>
              <w:t>,</w:t>
            </w:r>
            <w:r>
              <w:rPr>
                <w:sz w:val="18"/>
                <w:szCs w:val="18"/>
              </w:rPr>
              <w:t>852.8</w:t>
            </w:r>
            <w:r>
              <w:rPr>
                <w:sz w:val="18"/>
                <w:szCs w:val="18"/>
              </w:rPr>
              <w:t>万元，</w:t>
            </w:r>
            <w:r>
              <w:rPr>
                <w:sz w:val="18"/>
                <w:szCs w:val="18"/>
              </w:rPr>
              <w:t>2-3</w:t>
            </w:r>
            <w:r>
              <w:rPr>
                <w:sz w:val="18"/>
                <w:szCs w:val="18"/>
              </w:rPr>
              <w:t>年</w:t>
            </w:r>
            <w:r>
              <w:rPr>
                <w:sz w:val="18"/>
                <w:szCs w:val="18"/>
              </w:rPr>
              <w:t>66.35</w:t>
            </w:r>
            <w:r>
              <w:rPr>
                <w:sz w:val="18"/>
                <w:szCs w:val="18"/>
              </w:rPr>
              <w:t>万元，</w:t>
            </w:r>
            <w:r>
              <w:rPr>
                <w:sz w:val="18"/>
                <w:szCs w:val="18"/>
              </w:rPr>
              <w:t>3</w:t>
            </w:r>
            <w:r>
              <w:rPr>
                <w:sz w:val="18"/>
                <w:szCs w:val="18"/>
              </w:rPr>
              <w:t>年以上</w:t>
            </w:r>
            <w:r>
              <w:rPr>
                <w:sz w:val="18"/>
                <w:szCs w:val="18"/>
              </w:rPr>
              <w:t>7.5</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72.05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t>阜南县</w:t>
            </w:r>
            <w:proofErr w:type="gramStart"/>
            <w:r>
              <w:rPr>
                <w:sz w:val="18"/>
                <w:szCs w:val="18"/>
              </w:rPr>
              <w:t>祥</w:t>
            </w:r>
            <w:proofErr w:type="gramEnd"/>
            <w:r>
              <w:rPr>
                <w:sz w:val="18"/>
                <w:szCs w:val="18"/>
              </w:rPr>
              <w:t>源生态文</w:t>
            </w:r>
            <w:r>
              <w:rPr>
                <w:sz w:val="18"/>
                <w:szCs w:val="18"/>
              </w:rPr>
              <w:lastRenderedPageBreak/>
              <w:t>化旅游开发有限公司</w:t>
            </w:r>
          </w:p>
        </w:tc>
        <w:tc>
          <w:tcPr>
            <w:tcW w:w="601" w:type="pct"/>
            <w:vAlign w:val="center"/>
          </w:tcPr>
          <w:p w:rsidR="000D3334" w:rsidRDefault="000D3334" w:rsidP="00F3634B">
            <w:pPr>
              <w:adjustRightInd w:val="0"/>
              <w:jc w:val="right"/>
              <w:rPr>
                <w:b/>
                <w:bCs/>
                <w:sz w:val="18"/>
                <w:szCs w:val="18"/>
              </w:rPr>
            </w:pPr>
            <w:r>
              <w:rPr>
                <w:sz w:val="18"/>
                <w:szCs w:val="18"/>
              </w:rPr>
              <w:lastRenderedPageBreak/>
              <w:t xml:space="preserve"> 2,950.05 </w:t>
            </w:r>
          </w:p>
        </w:tc>
        <w:tc>
          <w:tcPr>
            <w:tcW w:w="599" w:type="pct"/>
            <w:vAlign w:val="center"/>
          </w:tcPr>
          <w:p w:rsidR="000D3334" w:rsidRDefault="000D3334" w:rsidP="00F3634B">
            <w:pPr>
              <w:adjustRightInd w:val="0"/>
              <w:jc w:val="right"/>
              <w:rPr>
                <w:b/>
                <w:bCs/>
                <w:sz w:val="18"/>
                <w:szCs w:val="18"/>
              </w:rPr>
            </w:pPr>
            <w:r>
              <w:rPr>
                <w:sz w:val="18"/>
                <w:szCs w:val="18"/>
              </w:rPr>
              <w:t xml:space="preserve"> 1.06 </w:t>
            </w:r>
          </w:p>
        </w:tc>
        <w:tc>
          <w:tcPr>
            <w:tcW w:w="685" w:type="pct"/>
            <w:vAlign w:val="center"/>
          </w:tcPr>
          <w:p w:rsidR="000D3334" w:rsidRDefault="000D3334" w:rsidP="00F3634B">
            <w:pPr>
              <w:adjustRightInd w:val="0"/>
              <w:jc w:val="right"/>
              <w:rPr>
                <w:b/>
                <w:bCs/>
                <w:sz w:val="18"/>
                <w:szCs w:val="18"/>
              </w:rPr>
            </w:pPr>
            <w:r>
              <w:rPr>
                <w:sz w:val="18"/>
                <w:szCs w:val="18"/>
              </w:rPr>
              <w:t xml:space="preserve"> 2,951.11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47.91</w:t>
            </w:r>
            <w:r>
              <w:rPr>
                <w:sz w:val="18"/>
                <w:szCs w:val="18"/>
              </w:rPr>
              <w:t>万元，</w:t>
            </w:r>
            <w:r>
              <w:rPr>
                <w:sz w:val="18"/>
                <w:szCs w:val="18"/>
              </w:rPr>
              <w:t>1-2</w:t>
            </w:r>
            <w:r>
              <w:rPr>
                <w:sz w:val="18"/>
                <w:szCs w:val="18"/>
              </w:rPr>
              <w:t>年</w:t>
            </w:r>
            <w:r>
              <w:rPr>
                <w:sz w:val="18"/>
                <w:szCs w:val="18"/>
              </w:rPr>
              <w:lastRenderedPageBreak/>
              <w:t>2</w:t>
            </w:r>
            <w:r>
              <w:rPr>
                <w:rFonts w:hint="eastAsia"/>
                <w:sz w:val="18"/>
                <w:szCs w:val="18"/>
              </w:rPr>
              <w:t>,</w:t>
            </w:r>
            <w:r>
              <w:rPr>
                <w:sz w:val="18"/>
                <w:szCs w:val="18"/>
              </w:rPr>
              <w:t>848.45</w:t>
            </w:r>
            <w:r>
              <w:rPr>
                <w:sz w:val="18"/>
                <w:szCs w:val="18"/>
              </w:rPr>
              <w:t>万元，</w:t>
            </w:r>
            <w:r>
              <w:rPr>
                <w:sz w:val="18"/>
                <w:szCs w:val="18"/>
              </w:rPr>
              <w:t>2-3</w:t>
            </w:r>
            <w:r>
              <w:rPr>
                <w:sz w:val="18"/>
                <w:szCs w:val="18"/>
              </w:rPr>
              <w:t>年</w:t>
            </w:r>
            <w:r>
              <w:rPr>
                <w:sz w:val="18"/>
                <w:szCs w:val="18"/>
              </w:rPr>
              <w:t>4.3</w:t>
            </w:r>
            <w:r>
              <w:rPr>
                <w:sz w:val="18"/>
                <w:szCs w:val="18"/>
              </w:rPr>
              <w:t>万元，</w:t>
            </w:r>
            <w:r>
              <w:rPr>
                <w:sz w:val="18"/>
                <w:szCs w:val="18"/>
              </w:rPr>
              <w:t>3</w:t>
            </w:r>
            <w:r>
              <w:rPr>
                <w:sz w:val="18"/>
                <w:szCs w:val="18"/>
              </w:rPr>
              <w:t>年以上</w:t>
            </w:r>
            <w:r>
              <w:rPr>
                <w:sz w:val="18"/>
                <w:szCs w:val="18"/>
              </w:rPr>
              <w:t>50.45</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lastRenderedPageBreak/>
              <w:t xml:space="preserve"> 56.18 </w:t>
            </w:r>
          </w:p>
        </w:tc>
      </w:tr>
      <w:tr w:rsidR="000D3334" w:rsidTr="00F3634B">
        <w:trPr>
          <w:trHeight w:val="397"/>
        </w:trPr>
        <w:tc>
          <w:tcPr>
            <w:tcW w:w="1019" w:type="pct"/>
            <w:vAlign w:val="center"/>
          </w:tcPr>
          <w:p w:rsidR="000D3334" w:rsidRDefault="000D3334" w:rsidP="00F3634B">
            <w:pPr>
              <w:adjustRightInd w:val="0"/>
              <w:rPr>
                <w:b/>
                <w:bCs/>
                <w:sz w:val="18"/>
                <w:szCs w:val="18"/>
              </w:rPr>
            </w:pPr>
            <w:r>
              <w:rPr>
                <w:sz w:val="18"/>
                <w:szCs w:val="18"/>
              </w:rPr>
              <w:lastRenderedPageBreak/>
              <w:t>安徽</w:t>
            </w:r>
            <w:proofErr w:type="gramStart"/>
            <w:r>
              <w:rPr>
                <w:sz w:val="18"/>
                <w:szCs w:val="18"/>
              </w:rPr>
              <w:t>祥</w:t>
            </w:r>
            <w:proofErr w:type="gramEnd"/>
            <w:r>
              <w:rPr>
                <w:sz w:val="18"/>
                <w:szCs w:val="18"/>
              </w:rPr>
              <w:t>源城市更新有限公司</w:t>
            </w:r>
          </w:p>
        </w:tc>
        <w:tc>
          <w:tcPr>
            <w:tcW w:w="601" w:type="pct"/>
            <w:vAlign w:val="center"/>
          </w:tcPr>
          <w:p w:rsidR="000D3334" w:rsidRDefault="000D3334" w:rsidP="00F3634B">
            <w:pPr>
              <w:adjustRightInd w:val="0"/>
              <w:jc w:val="right"/>
              <w:rPr>
                <w:b/>
                <w:bCs/>
                <w:sz w:val="18"/>
                <w:szCs w:val="18"/>
              </w:rPr>
            </w:pPr>
            <w:r>
              <w:rPr>
                <w:sz w:val="18"/>
                <w:szCs w:val="18"/>
              </w:rPr>
              <w:t xml:space="preserve"> 1,823.09 </w:t>
            </w:r>
          </w:p>
        </w:tc>
        <w:tc>
          <w:tcPr>
            <w:tcW w:w="599" w:type="pct"/>
            <w:vAlign w:val="center"/>
          </w:tcPr>
          <w:p w:rsidR="000D3334" w:rsidRDefault="000D3334" w:rsidP="00F3634B">
            <w:pPr>
              <w:adjustRightInd w:val="0"/>
              <w:jc w:val="right"/>
              <w:rPr>
                <w:b/>
                <w:bCs/>
                <w:sz w:val="18"/>
                <w:szCs w:val="18"/>
              </w:rPr>
            </w:pPr>
            <w:r>
              <w:rPr>
                <w:sz w:val="18"/>
                <w:szCs w:val="18"/>
              </w:rPr>
              <w:t xml:space="preserve"> 74.93 </w:t>
            </w:r>
          </w:p>
        </w:tc>
        <w:tc>
          <w:tcPr>
            <w:tcW w:w="685" w:type="pct"/>
            <w:vAlign w:val="center"/>
          </w:tcPr>
          <w:p w:rsidR="000D3334" w:rsidRDefault="000D3334" w:rsidP="00F3634B">
            <w:pPr>
              <w:adjustRightInd w:val="0"/>
              <w:jc w:val="right"/>
              <w:rPr>
                <w:b/>
                <w:bCs/>
                <w:sz w:val="18"/>
                <w:szCs w:val="18"/>
              </w:rPr>
            </w:pPr>
            <w:r>
              <w:rPr>
                <w:sz w:val="18"/>
                <w:szCs w:val="18"/>
              </w:rPr>
              <w:t xml:space="preserve"> 1,898.02 </w:t>
            </w:r>
          </w:p>
        </w:tc>
        <w:tc>
          <w:tcPr>
            <w:tcW w:w="1555" w:type="pct"/>
            <w:vAlign w:val="center"/>
          </w:tcPr>
          <w:p w:rsidR="000D3334" w:rsidRDefault="000D3334" w:rsidP="00F3634B">
            <w:pPr>
              <w:adjustRightInd w:val="0"/>
              <w:rPr>
                <w:sz w:val="18"/>
                <w:szCs w:val="18"/>
              </w:rPr>
            </w:pPr>
            <w:r>
              <w:rPr>
                <w:sz w:val="18"/>
                <w:szCs w:val="18"/>
              </w:rPr>
              <w:t>1</w:t>
            </w:r>
            <w:r>
              <w:rPr>
                <w:sz w:val="18"/>
                <w:szCs w:val="18"/>
              </w:rPr>
              <w:t>年以内</w:t>
            </w:r>
            <w:r>
              <w:rPr>
                <w:sz w:val="18"/>
                <w:szCs w:val="18"/>
              </w:rPr>
              <w:t>57.63</w:t>
            </w:r>
            <w:r>
              <w:rPr>
                <w:sz w:val="18"/>
                <w:szCs w:val="18"/>
              </w:rPr>
              <w:t>万元，</w:t>
            </w:r>
            <w:r>
              <w:rPr>
                <w:sz w:val="18"/>
                <w:szCs w:val="18"/>
              </w:rPr>
              <w:t>1-2</w:t>
            </w:r>
            <w:r>
              <w:rPr>
                <w:sz w:val="18"/>
                <w:szCs w:val="18"/>
              </w:rPr>
              <w:t>年</w:t>
            </w:r>
            <w:r>
              <w:rPr>
                <w:sz w:val="18"/>
                <w:szCs w:val="18"/>
              </w:rPr>
              <w:t>1</w:t>
            </w:r>
            <w:r>
              <w:rPr>
                <w:rFonts w:hint="eastAsia"/>
                <w:sz w:val="18"/>
                <w:szCs w:val="18"/>
              </w:rPr>
              <w:t>,</w:t>
            </w:r>
            <w:r>
              <w:rPr>
                <w:sz w:val="18"/>
                <w:szCs w:val="18"/>
              </w:rPr>
              <w:t>586.36</w:t>
            </w:r>
            <w:r>
              <w:rPr>
                <w:sz w:val="18"/>
                <w:szCs w:val="18"/>
              </w:rPr>
              <w:t>万元，</w:t>
            </w:r>
            <w:r>
              <w:rPr>
                <w:sz w:val="18"/>
                <w:szCs w:val="18"/>
              </w:rPr>
              <w:t>2-3</w:t>
            </w:r>
            <w:r>
              <w:rPr>
                <w:sz w:val="18"/>
                <w:szCs w:val="18"/>
              </w:rPr>
              <w:t>年</w:t>
            </w:r>
            <w:r>
              <w:rPr>
                <w:sz w:val="18"/>
                <w:szCs w:val="18"/>
              </w:rPr>
              <w:t>205.11</w:t>
            </w:r>
            <w:r>
              <w:rPr>
                <w:sz w:val="18"/>
                <w:szCs w:val="18"/>
              </w:rPr>
              <w:t>万元，</w:t>
            </w:r>
            <w:r>
              <w:rPr>
                <w:sz w:val="18"/>
                <w:szCs w:val="18"/>
              </w:rPr>
              <w:t>3</w:t>
            </w:r>
            <w:r>
              <w:rPr>
                <w:sz w:val="18"/>
                <w:szCs w:val="18"/>
              </w:rPr>
              <w:t>年以上</w:t>
            </w:r>
            <w:r>
              <w:rPr>
                <w:sz w:val="18"/>
                <w:szCs w:val="18"/>
              </w:rPr>
              <w:t>48.92</w:t>
            </w:r>
            <w:r>
              <w:rPr>
                <w:sz w:val="18"/>
                <w:szCs w:val="18"/>
              </w:rPr>
              <w:t>万元</w:t>
            </w:r>
          </w:p>
        </w:tc>
        <w:tc>
          <w:tcPr>
            <w:tcW w:w="541" w:type="pct"/>
            <w:vAlign w:val="center"/>
          </w:tcPr>
          <w:p w:rsidR="000D3334" w:rsidRDefault="000D3334" w:rsidP="00F3634B">
            <w:pPr>
              <w:adjustRightInd w:val="0"/>
              <w:jc w:val="right"/>
              <w:rPr>
                <w:b/>
                <w:bCs/>
                <w:sz w:val="18"/>
                <w:szCs w:val="18"/>
              </w:rPr>
            </w:pPr>
            <w:r>
              <w:rPr>
                <w:sz w:val="18"/>
                <w:szCs w:val="18"/>
              </w:rPr>
              <w:t xml:space="preserve"> 36.70 </w:t>
            </w:r>
          </w:p>
        </w:tc>
      </w:tr>
      <w:tr w:rsidR="000D3334" w:rsidTr="00F3634B">
        <w:trPr>
          <w:trHeight w:val="397"/>
        </w:trPr>
        <w:tc>
          <w:tcPr>
            <w:tcW w:w="1019" w:type="pct"/>
            <w:vAlign w:val="center"/>
          </w:tcPr>
          <w:p w:rsidR="000D3334" w:rsidRDefault="000D3334" w:rsidP="00F3634B">
            <w:pPr>
              <w:adjustRightInd w:val="0"/>
              <w:jc w:val="center"/>
              <w:rPr>
                <w:b/>
                <w:bCs/>
                <w:sz w:val="18"/>
                <w:szCs w:val="18"/>
              </w:rPr>
            </w:pPr>
            <w:r>
              <w:rPr>
                <w:b/>
                <w:bCs/>
                <w:sz w:val="18"/>
                <w:szCs w:val="18"/>
              </w:rPr>
              <w:t>合计</w:t>
            </w:r>
          </w:p>
        </w:tc>
        <w:tc>
          <w:tcPr>
            <w:tcW w:w="601" w:type="pct"/>
            <w:vAlign w:val="center"/>
          </w:tcPr>
          <w:p w:rsidR="000D3334" w:rsidRDefault="000D3334" w:rsidP="00F3634B">
            <w:pPr>
              <w:adjustRightInd w:val="0"/>
              <w:jc w:val="right"/>
              <w:rPr>
                <w:b/>
                <w:bCs/>
                <w:sz w:val="18"/>
                <w:szCs w:val="18"/>
              </w:rPr>
            </w:pPr>
            <w:r>
              <w:rPr>
                <w:b/>
                <w:bCs/>
                <w:sz w:val="18"/>
                <w:szCs w:val="18"/>
              </w:rPr>
              <w:t xml:space="preserve">66,923.28 </w:t>
            </w:r>
          </w:p>
        </w:tc>
        <w:tc>
          <w:tcPr>
            <w:tcW w:w="599" w:type="pct"/>
            <w:vAlign w:val="center"/>
          </w:tcPr>
          <w:p w:rsidR="000D3334" w:rsidRDefault="000D3334" w:rsidP="00F3634B">
            <w:pPr>
              <w:adjustRightInd w:val="0"/>
              <w:jc w:val="right"/>
              <w:rPr>
                <w:b/>
                <w:bCs/>
                <w:sz w:val="18"/>
                <w:szCs w:val="18"/>
              </w:rPr>
            </w:pPr>
            <w:r>
              <w:rPr>
                <w:b/>
                <w:bCs/>
                <w:sz w:val="18"/>
                <w:szCs w:val="18"/>
              </w:rPr>
              <w:t xml:space="preserve">13,064.32 </w:t>
            </w:r>
          </w:p>
        </w:tc>
        <w:tc>
          <w:tcPr>
            <w:tcW w:w="685" w:type="pct"/>
            <w:vAlign w:val="center"/>
          </w:tcPr>
          <w:p w:rsidR="000D3334" w:rsidRDefault="000D3334" w:rsidP="00F3634B">
            <w:pPr>
              <w:adjustRightInd w:val="0"/>
              <w:jc w:val="right"/>
              <w:rPr>
                <w:b/>
                <w:bCs/>
                <w:sz w:val="18"/>
                <w:szCs w:val="18"/>
              </w:rPr>
            </w:pPr>
            <w:r>
              <w:rPr>
                <w:b/>
                <w:bCs/>
                <w:sz w:val="18"/>
                <w:szCs w:val="18"/>
              </w:rPr>
              <w:t xml:space="preserve"> 79,987.60 </w:t>
            </w:r>
          </w:p>
        </w:tc>
        <w:tc>
          <w:tcPr>
            <w:tcW w:w="1555" w:type="pct"/>
            <w:vAlign w:val="center"/>
          </w:tcPr>
          <w:p w:rsidR="000D3334" w:rsidRDefault="000D3334" w:rsidP="00F3634B">
            <w:pPr>
              <w:adjustRightInd w:val="0"/>
              <w:jc w:val="center"/>
              <w:rPr>
                <w:b/>
                <w:bCs/>
                <w:sz w:val="18"/>
                <w:szCs w:val="18"/>
              </w:rPr>
            </w:pPr>
            <w:r>
              <w:rPr>
                <w:rFonts w:hint="eastAsia"/>
                <w:b/>
                <w:bCs/>
                <w:sz w:val="18"/>
                <w:szCs w:val="18"/>
              </w:rPr>
              <w:t>—</w:t>
            </w:r>
          </w:p>
        </w:tc>
        <w:tc>
          <w:tcPr>
            <w:tcW w:w="541" w:type="pct"/>
            <w:vAlign w:val="center"/>
          </w:tcPr>
          <w:p w:rsidR="000D3334" w:rsidRDefault="000D3334" w:rsidP="00F3634B">
            <w:pPr>
              <w:adjustRightInd w:val="0"/>
              <w:jc w:val="right"/>
              <w:rPr>
                <w:b/>
                <w:bCs/>
                <w:sz w:val="18"/>
                <w:szCs w:val="18"/>
              </w:rPr>
            </w:pPr>
            <w:r>
              <w:rPr>
                <w:b/>
                <w:bCs/>
                <w:sz w:val="18"/>
                <w:szCs w:val="18"/>
              </w:rPr>
              <w:t xml:space="preserve"> 884.95 </w:t>
            </w:r>
          </w:p>
        </w:tc>
      </w:tr>
    </w:tbl>
    <w:p w:rsidR="000D3334" w:rsidRDefault="000D3334" w:rsidP="000D3334">
      <w:pPr>
        <w:spacing w:beforeLines="50" w:before="120" w:line="360" w:lineRule="auto"/>
        <w:ind w:firstLineChars="200" w:firstLine="480"/>
        <w:rPr>
          <w:sz w:val="24"/>
        </w:rPr>
      </w:pPr>
      <w:r>
        <w:rPr>
          <w:rFonts w:hint="eastAsia"/>
          <w:sz w:val="24"/>
        </w:rPr>
        <w:t>由上表所示，截至</w:t>
      </w:r>
      <w:r>
        <w:rPr>
          <w:rFonts w:hint="eastAsia"/>
          <w:sz w:val="24"/>
        </w:rPr>
        <w:t>2024</w:t>
      </w:r>
      <w:r>
        <w:rPr>
          <w:rFonts w:hint="eastAsia"/>
          <w:sz w:val="24"/>
        </w:rPr>
        <w:t>年末，公司前十名关联方应收账款及合同资产余额</w:t>
      </w:r>
      <w:r>
        <w:rPr>
          <w:rFonts w:hint="eastAsia"/>
          <w:sz w:val="24"/>
        </w:rPr>
        <w:t>79,987.60</w:t>
      </w:r>
      <w:r>
        <w:rPr>
          <w:rFonts w:hint="eastAsia"/>
          <w:sz w:val="24"/>
        </w:rPr>
        <w:t>万元，占公司应收账款及合同资产余额的比例为</w:t>
      </w:r>
      <w:r w:rsidRPr="00053D71">
        <w:rPr>
          <w:sz w:val="24"/>
        </w:rPr>
        <w:t>13.44%</w:t>
      </w:r>
      <w:r>
        <w:rPr>
          <w:rFonts w:hint="eastAsia"/>
          <w:sz w:val="24"/>
        </w:rPr>
        <w:t>，前十名关联方款项形成均系子公司</w:t>
      </w:r>
      <w:proofErr w:type="gramStart"/>
      <w:r>
        <w:rPr>
          <w:rFonts w:hint="eastAsia"/>
          <w:sz w:val="24"/>
        </w:rPr>
        <w:t>交建建筑自</w:t>
      </w:r>
      <w:proofErr w:type="gramEnd"/>
      <w:r>
        <w:rPr>
          <w:rFonts w:hint="eastAsia"/>
          <w:sz w:val="24"/>
        </w:rPr>
        <w:t>关联方承接的施工项目形成。其中，应收账款余额主要系各施工项目尚未达到付款时点的应收工程款，根据合同约定，在项目实施阶段，按月或根据工程节点进度向工程监理、客户单位提交工程进度报表，经工程监理和客户审核后，客户支付实际完成工程结算产值一定比例的款项，通常为</w:t>
      </w:r>
      <w:r>
        <w:rPr>
          <w:rFonts w:hint="eastAsia"/>
          <w:sz w:val="24"/>
        </w:rPr>
        <w:t>70%-95%</w:t>
      </w:r>
      <w:r>
        <w:rPr>
          <w:rFonts w:hint="eastAsia"/>
          <w:sz w:val="24"/>
        </w:rPr>
        <w:t>，符合行业惯例；合同资产余额主要系各施工项目尚未达到合同约定支付条件的工程质保金，以及按照履约进度确认、尚未得到客户单位确认的已完工未结算资产。</w:t>
      </w:r>
    </w:p>
    <w:p w:rsidR="000D3334" w:rsidRDefault="000D3334" w:rsidP="000D3334">
      <w:pPr>
        <w:spacing w:beforeLines="50" w:before="120" w:line="360" w:lineRule="auto"/>
        <w:ind w:firstLineChars="200" w:firstLine="482"/>
        <w:outlineLvl w:val="1"/>
        <w:rPr>
          <w:b/>
          <w:bCs/>
          <w:sz w:val="24"/>
        </w:rPr>
      </w:pPr>
      <w:r>
        <w:rPr>
          <w:rFonts w:hint="eastAsia"/>
          <w:b/>
          <w:bCs/>
          <w:sz w:val="24"/>
        </w:rPr>
        <w:t>（二）核实相关关联交易审议程序是否合</w:t>
      </w:r>
      <w:proofErr w:type="gramStart"/>
      <w:r>
        <w:rPr>
          <w:rFonts w:hint="eastAsia"/>
          <w:b/>
          <w:bCs/>
          <w:sz w:val="24"/>
        </w:rPr>
        <w:t>规</w:t>
      </w:r>
      <w:proofErr w:type="gramEnd"/>
      <w:r>
        <w:rPr>
          <w:rFonts w:hint="eastAsia"/>
          <w:b/>
          <w:bCs/>
          <w:sz w:val="24"/>
        </w:rPr>
        <w:t>，说明公司与控股股东关联方开展大量关联交易的原因与必要性</w:t>
      </w:r>
    </w:p>
    <w:p w:rsidR="000D3334" w:rsidRDefault="000D3334" w:rsidP="000D3334">
      <w:pPr>
        <w:spacing w:beforeLines="50" w:before="120" w:line="360" w:lineRule="auto"/>
        <w:ind w:firstLineChars="200" w:firstLine="480"/>
        <w:rPr>
          <w:sz w:val="24"/>
        </w:rPr>
      </w:pPr>
      <w:r>
        <w:rPr>
          <w:rFonts w:hint="eastAsia"/>
          <w:sz w:val="24"/>
        </w:rPr>
        <w:t>公司制定了《安徽省交通建设股份有限公司关联交易管理制度》，公司严格按照相关制度执行，对于新签关联交易合同主要通过年度关联交易预计，对于未单独预计的通过召开董事会及股东大会方式审议，公司关联交易均按照上市公司关联交易决策制度履行相应审批，相关关联交易审议程序合</w:t>
      </w:r>
      <w:proofErr w:type="gramStart"/>
      <w:r>
        <w:rPr>
          <w:rFonts w:hint="eastAsia"/>
          <w:sz w:val="24"/>
        </w:rPr>
        <w:t>规</w:t>
      </w:r>
      <w:proofErr w:type="gramEnd"/>
      <w:r>
        <w:rPr>
          <w:rFonts w:hint="eastAsia"/>
          <w:sz w:val="24"/>
        </w:rPr>
        <w:t>。</w:t>
      </w:r>
      <w:r w:rsidDel="00856150">
        <w:rPr>
          <w:rFonts w:hint="eastAsia"/>
          <w:sz w:val="24"/>
        </w:rPr>
        <w:t xml:space="preserve"> </w:t>
      </w:r>
    </w:p>
    <w:p w:rsidR="000D3334" w:rsidRDefault="000D3334" w:rsidP="000D3334">
      <w:pPr>
        <w:spacing w:beforeLines="50" w:before="120" w:line="360" w:lineRule="auto"/>
        <w:ind w:firstLineChars="200" w:firstLine="480"/>
        <w:rPr>
          <w:sz w:val="24"/>
        </w:rPr>
      </w:pPr>
      <w:r>
        <w:rPr>
          <w:rFonts w:hint="eastAsia"/>
          <w:sz w:val="24"/>
        </w:rPr>
        <w:t>2022-2025</w:t>
      </w:r>
      <w:r>
        <w:rPr>
          <w:rFonts w:hint="eastAsia"/>
          <w:sz w:val="24"/>
        </w:rPr>
        <w:t>年度，公司关联交易预计及实际执行情况如下：</w:t>
      </w:r>
    </w:p>
    <w:p w:rsidR="000D3334" w:rsidRDefault="000D3334" w:rsidP="000D3334">
      <w:pPr>
        <w:spacing w:beforeLines="50" w:before="120"/>
        <w:ind w:firstLineChars="200" w:firstLine="420"/>
        <w:jc w:val="right"/>
        <w:rPr>
          <w:bCs/>
          <w:szCs w:val="21"/>
        </w:rPr>
      </w:pPr>
      <w:bookmarkStart w:id="10" w:name="OLE_LINK1"/>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3"/>
        <w:gridCol w:w="1898"/>
        <w:gridCol w:w="1900"/>
        <w:gridCol w:w="1950"/>
        <w:gridCol w:w="1892"/>
      </w:tblGrid>
      <w:tr w:rsidR="000D3334" w:rsidTr="00F3634B">
        <w:trPr>
          <w:trHeight w:val="397"/>
          <w:tblHeader/>
        </w:trPr>
        <w:tc>
          <w:tcPr>
            <w:tcW w:w="757" w:type="pct"/>
            <w:shd w:val="clear" w:color="auto" w:fill="D9D9D9" w:themeFill="background1" w:themeFillShade="D9"/>
            <w:vAlign w:val="center"/>
          </w:tcPr>
          <w:bookmarkEnd w:id="10"/>
          <w:p w:rsidR="000D3334" w:rsidRDefault="000D3334" w:rsidP="00F3634B">
            <w:pPr>
              <w:adjustRightInd w:val="0"/>
              <w:jc w:val="center"/>
              <w:rPr>
                <w:b/>
                <w:bCs/>
                <w:szCs w:val="21"/>
              </w:rPr>
            </w:pPr>
            <w:r>
              <w:rPr>
                <w:b/>
                <w:bCs/>
                <w:szCs w:val="21"/>
              </w:rPr>
              <w:t>年度</w:t>
            </w:r>
          </w:p>
        </w:tc>
        <w:tc>
          <w:tcPr>
            <w:tcW w:w="1054"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预计新签关联交易合同额</w:t>
            </w:r>
          </w:p>
        </w:tc>
        <w:tc>
          <w:tcPr>
            <w:tcW w:w="1055"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实际新签关联交易合同额</w:t>
            </w:r>
          </w:p>
        </w:tc>
        <w:tc>
          <w:tcPr>
            <w:tcW w:w="1083"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预计关联交易发生额</w:t>
            </w:r>
          </w:p>
        </w:tc>
        <w:tc>
          <w:tcPr>
            <w:tcW w:w="1051"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实际关联交易发生额</w:t>
            </w:r>
          </w:p>
        </w:tc>
      </w:tr>
      <w:tr w:rsidR="000D3334" w:rsidTr="00F3634B">
        <w:trPr>
          <w:trHeight w:val="397"/>
        </w:trPr>
        <w:tc>
          <w:tcPr>
            <w:tcW w:w="757" w:type="pct"/>
            <w:vAlign w:val="center"/>
          </w:tcPr>
          <w:p w:rsidR="000D3334" w:rsidRDefault="000D3334" w:rsidP="00F3634B">
            <w:pPr>
              <w:adjustRightInd w:val="0"/>
              <w:jc w:val="center"/>
              <w:rPr>
                <w:b/>
                <w:bCs/>
                <w:szCs w:val="21"/>
              </w:rPr>
            </w:pPr>
            <w:r>
              <w:rPr>
                <w:szCs w:val="21"/>
              </w:rPr>
              <w:t>2022</w:t>
            </w:r>
          </w:p>
        </w:tc>
        <w:tc>
          <w:tcPr>
            <w:tcW w:w="1054" w:type="pct"/>
            <w:vAlign w:val="center"/>
          </w:tcPr>
          <w:p w:rsidR="000D3334" w:rsidRDefault="000D3334" w:rsidP="00F3634B">
            <w:pPr>
              <w:adjustRightInd w:val="0"/>
              <w:jc w:val="right"/>
              <w:rPr>
                <w:b/>
                <w:bCs/>
                <w:szCs w:val="21"/>
              </w:rPr>
            </w:pPr>
            <w:r>
              <w:rPr>
                <w:szCs w:val="21"/>
              </w:rPr>
              <w:t>55,600.00</w:t>
            </w:r>
          </w:p>
        </w:tc>
        <w:tc>
          <w:tcPr>
            <w:tcW w:w="1055" w:type="pct"/>
            <w:vAlign w:val="center"/>
          </w:tcPr>
          <w:p w:rsidR="000D3334" w:rsidRDefault="000D3334" w:rsidP="00F3634B">
            <w:pPr>
              <w:adjustRightInd w:val="0"/>
              <w:jc w:val="right"/>
              <w:rPr>
                <w:b/>
                <w:bCs/>
                <w:szCs w:val="21"/>
              </w:rPr>
            </w:pPr>
            <w:r>
              <w:rPr>
                <w:szCs w:val="21"/>
              </w:rPr>
              <w:t>42,120.02</w:t>
            </w:r>
          </w:p>
        </w:tc>
        <w:tc>
          <w:tcPr>
            <w:tcW w:w="1083" w:type="pct"/>
            <w:vAlign w:val="center"/>
          </w:tcPr>
          <w:p w:rsidR="000D3334" w:rsidRDefault="000D3334" w:rsidP="00F3634B">
            <w:pPr>
              <w:adjustRightInd w:val="0"/>
              <w:jc w:val="right"/>
              <w:rPr>
                <w:b/>
                <w:bCs/>
                <w:szCs w:val="21"/>
              </w:rPr>
            </w:pPr>
            <w:r>
              <w:rPr>
                <w:szCs w:val="21"/>
              </w:rPr>
              <w:t>74,417.00</w:t>
            </w:r>
          </w:p>
        </w:tc>
        <w:tc>
          <w:tcPr>
            <w:tcW w:w="1051" w:type="pct"/>
            <w:vAlign w:val="center"/>
          </w:tcPr>
          <w:p w:rsidR="000D3334" w:rsidRDefault="000D3334" w:rsidP="00F3634B">
            <w:pPr>
              <w:adjustRightInd w:val="0"/>
              <w:jc w:val="right"/>
              <w:rPr>
                <w:b/>
                <w:bCs/>
                <w:szCs w:val="21"/>
              </w:rPr>
            </w:pPr>
            <w:r>
              <w:rPr>
                <w:szCs w:val="21"/>
              </w:rPr>
              <w:t>68,979.03</w:t>
            </w:r>
          </w:p>
        </w:tc>
      </w:tr>
      <w:tr w:rsidR="000D3334" w:rsidTr="00F3634B">
        <w:trPr>
          <w:trHeight w:val="397"/>
        </w:trPr>
        <w:tc>
          <w:tcPr>
            <w:tcW w:w="757" w:type="pct"/>
            <w:vAlign w:val="center"/>
          </w:tcPr>
          <w:p w:rsidR="000D3334" w:rsidRDefault="000D3334" w:rsidP="00F3634B">
            <w:pPr>
              <w:adjustRightInd w:val="0"/>
              <w:jc w:val="center"/>
              <w:rPr>
                <w:szCs w:val="21"/>
              </w:rPr>
            </w:pPr>
            <w:r>
              <w:rPr>
                <w:szCs w:val="21"/>
              </w:rPr>
              <w:t>2023</w:t>
            </w:r>
          </w:p>
        </w:tc>
        <w:tc>
          <w:tcPr>
            <w:tcW w:w="1054" w:type="pct"/>
            <w:vAlign w:val="center"/>
          </w:tcPr>
          <w:p w:rsidR="000D3334" w:rsidRDefault="000D3334" w:rsidP="00F3634B">
            <w:pPr>
              <w:adjustRightInd w:val="0"/>
              <w:jc w:val="right"/>
              <w:rPr>
                <w:szCs w:val="21"/>
              </w:rPr>
            </w:pPr>
            <w:r>
              <w:rPr>
                <w:szCs w:val="21"/>
              </w:rPr>
              <w:t>45,300.00</w:t>
            </w:r>
          </w:p>
        </w:tc>
        <w:tc>
          <w:tcPr>
            <w:tcW w:w="1055" w:type="pct"/>
            <w:vAlign w:val="center"/>
          </w:tcPr>
          <w:p w:rsidR="000D3334" w:rsidRDefault="000D3334" w:rsidP="00F3634B">
            <w:pPr>
              <w:adjustRightInd w:val="0"/>
              <w:jc w:val="right"/>
              <w:rPr>
                <w:szCs w:val="21"/>
              </w:rPr>
            </w:pPr>
            <w:r>
              <w:rPr>
                <w:szCs w:val="21"/>
              </w:rPr>
              <w:t>42,304.41</w:t>
            </w:r>
          </w:p>
        </w:tc>
        <w:tc>
          <w:tcPr>
            <w:tcW w:w="1083" w:type="pct"/>
            <w:vAlign w:val="center"/>
          </w:tcPr>
          <w:p w:rsidR="000D3334" w:rsidRDefault="000D3334" w:rsidP="00F3634B">
            <w:pPr>
              <w:adjustRightInd w:val="0"/>
              <w:jc w:val="right"/>
              <w:rPr>
                <w:szCs w:val="21"/>
              </w:rPr>
            </w:pPr>
            <w:r>
              <w:rPr>
                <w:szCs w:val="21"/>
              </w:rPr>
              <w:t>56,674.00</w:t>
            </w:r>
          </w:p>
        </w:tc>
        <w:tc>
          <w:tcPr>
            <w:tcW w:w="1051" w:type="pct"/>
            <w:vAlign w:val="center"/>
          </w:tcPr>
          <w:p w:rsidR="000D3334" w:rsidRDefault="000D3334" w:rsidP="00F3634B">
            <w:pPr>
              <w:adjustRightInd w:val="0"/>
              <w:jc w:val="right"/>
              <w:rPr>
                <w:szCs w:val="21"/>
              </w:rPr>
            </w:pPr>
            <w:r>
              <w:rPr>
                <w:szCs w:val="21"/>
              </w:rPr>
              <w:t>47,927.75</w:t>
            </w:r>
          </w:p>
        </w:tc>
      </w:tr>
      <w:tr w:rsidR="000D3334" w:rsidTr="00F3634B">
        <w:trPr>
          <w:trHeight w:val="397"/>
        </w:trPr>
        <w:tc>
          <w:tcPr>
            <w:tcW w:w="757" w:type="pct"/>
            <w:vAlign w:val="center"/>
          </w:tcPr>
          <w:p w:rsidR="000D3334" w:rsidRDefault="000D3334" w:rsidP="00F3634B">
            <w:pPr>
              <w:adjustRightInd w:val="0"/>
              <w:jc w:val="center"/>
              <w:rPr>
                <w:szCs w:val="21"/>
              </w:rPr>
            </w:pPr>
            <w:r>
              <w:rPr>
                <w:szCs w:val="21"/>
              </w:rPr>
              <w:t>2024</w:t>
            </w:r>
          </w:p>
        </w:tc>
        <w:tc>
          <w:tcPr>
            <w:tcW w:w="1054" w:type="pct"/>
            <w:vAlign w:val="center"/>
          </w:tcPr>
          <w:p w:rsidR="000D3334" w:rsidRDefault="000D3334" w:rsidP="00F3634B">
            <w:pPr>
              <w:adjustRightInd w:val="0"/>
              <w:jc w:val="right"/>
              <w:rPr>
                <w:szCs w:val="21"/>
              </w:rPr>
            </w:pPr>
            <w:r>
              <w:rPr>
                <w:szCs w:val="21"/>
              </w:rPr>
              <w:t>5,800.00</w:t>
            </w:r>
          </w:p>
        </w:tc>
        <w:tc>
          <w:tcPr>
            <w:tcW w:w="1055" w:type="pct"/>
            <w:vAlign w:val="center"/>
          </w:tcPr>
          <w:p w:rsidR="000D3334" w:rsidRDefault="000D3334" w:rsidP="00F3634B">
            <w:pPr>
              <w:adjustRightInd w:val="0"/>
              <w:jc w:val="right"/>
              <w:rPr>
                <w:szCs w:val="21"/>
              </w:rPr>
            </w:pPr>
            <w:r>
              <w:rPr>
                <w:szCs w:val="21"/>
              </w:rPr>
              <w:t>3,114.46</w:t>
            </w:r>
          </w:p>
        </w:tc>
        <w:tc>
          <w:tcPr>
            <w:tcW w:w="1083" w:type="pct"/>
            <w:vAlign w:val="center"/>
          </w:tcPr>
          <w:p w:rsidR="000D3334" w:rsidRDefault="000D3334" w:rsidP="00F3634B">
            <w:pPr>
              <w:adjustRightInd w:val="0"/>
              <w:jc w:val="right"/>
              <w:rPr>
                <w:szCs w:val="21"/>
              </w:rPr>
            </w:pPr>
            <w:r>
              <w:rPr>
                <w:szCs w:val="21"/>
              </w:rPr>
              <w:t>37,910.00</w:t>
            </w:r>
          </w:p>
        </w:tc>
        <w:tc>
          <w:tcPr>
            <w:tcW w:w="1051" w:type="pct"/>
            <w:vAlign w:val="center"/>
          </w:tcPr>
          <w:p w:rsidR="000D3334" w:rsidRDefault="000D3334" w:rsidP="00F3634B">
            <w:pPr>
              <w:adjustRightInd w:val="0"/>
              <w:jc w:val="right"/>
              <w:rPr>
                <w:szCs w:val="21"/>
              </w:rPr>
            </w:pPr>
            <w:r>
              <w:rPr>
                <w:szCs w:val="21"/>
              </w:rPr>
              <w:t>23,063.35</w:t>
            </w:r>
          </w:p>
        </w:tc>
      </w:tr>
      <w:tr w:rsidR="000D3334" w:rsidTr="00F3634B">
        <w:trPr>
          <w:trHeight w:val="397"/>
        </w:trPr>
        <w:tc>
          <w:tcPr>
            <w:tcW w:w="757" w:type="pct"/>
            <w:vAlign w:val="center"/>
          </w:tcPr>
          <w:p w:rsidR="000D3334" w:rsidRDefault="000D3334" w:rsidP="00F3634B">
            <w:pPr>
              <w:adjustRightInd w:val="0"/>
              <w:jc w:val="center"/>
              <w:rPr>
                <w:szCs w:val="21"/>
              </w:rPr>
            </w:pPr>
            <w:r>
              <w:rPr>
                <w:szCs w:val="21"/>
              </w:rPr>
              <w:t>2025</w:t>
            </w:r>
          </w:p>
        </w:tc>
        <w:tc>
          <w:tcPr>
            <w:tcW w:w="1054" w:type="pct"/>
            <w:vAlign w:val="center"/>
          </w:tcPr>
          <w:p w:rsidR="000D3334" w:rsidRDefault="000D3334" w:rsidP="00F3634B">
            <w:pPr>
              <w:adjustRightInd w:val="0"/>
              <w:jc w:val="right"/>
              <w:rPr>
                <w:szCs w:val="21"/>
              </w:rPr>
            </w:pPr>
            <w:r>
              <w:rPr>
                <w:szCs w:val="21"/>
              </w:rPr>
              <w:t>192.36</w:t>
            </w:r>
          </w:p>
        </w:tc>
        <w:tc>
          <w:tcPr>
            <w:tcW w:w="1055" w:type="pct"/>
            <w:vAlign w:val="center"/>
          </w:tcPr>
          <w:p w:rsidR="000D3334" w:rsidRDefault="000D3334" w:rsidP="00F3634B">
            <w:pPr>
              <w:adjustRightInd w:val="0"/>
              <w:jc w:val="right"/>
              <w:rPr>
                <w:szCs w:val="21"/>
              </w:rPr>
            </w:pPr>
            <w:r>
              <w:rPr>
                <w:szCs w:val="21"/>
              </w:rPr>
              <w:t>-</w:t>
            </w:r>
          </w:p>
        </w:tc>
        <w:tc>
          <w:tcPr>
            <w:tcW w:w="1083" w:type="pct"/>
            <w:vAlign w:val="center"/>
          </w:tcPr>
          <w:p w:rsidR="000D3334" w:rsidRDefault="000D3334" w:rsidP="00F3634B">
            <w:pPr>
              <w:adjustRightInd w:val="0"/>
              <w:jc w:val="right"/>
              <w:rPr>
                <w:szCs w:val="21"/>
              </w:rPr>
            </w:pPr>
            <w:r>
              <w:rPr>
                <w:szCs w:val="21"/>
              </w:rPr>
              <w:t>24,487.34</w:t>
            </w:r>
          </w:p>
        </w:tc>
        <w:tc>
          <w:tcPr>
            <w:tcW w:w="1051" w:type="pct"/>
            <w:vAlign w:val="center"/>
          </w:tcPr>
          <w:p w:rsidR="000D3334" w:rsidRDefault="000D3334" w:rsidP="00F3634B">
            <w:pPr>
              <w:adjustRightInd w:val="0"/>
              <w:jc w:val="right"/>
              <w:rPr>
                <w:szCs w:val="21"/>
              </w:rPr>
            </w:pPr>
            <w:r>
              <w:rPr>
                <w:szCs w:val="21"/>
              </w:rPr>
              <w:t>-</w:t>
            </w:r>
          </w:p>
        </w:tc>
      </w:tr>
    </w:tbl>
    <w:p w:rsidR="000D3334" w:rsidRDefault="000D3334" w:rsidP="000D3334">
      <w:pPr>
        <w:spacing w:beforeLines="50" w:before="120" w:line="360" w:lineRule="auto"/>
        <w:ind w:firstLineChars="200" w:firstLine="480"/>
        <w:rPr>
          <w:sz w:val="24"/>
        </w:rPr>
      </w:pPr>
      <w:r>
        <w:rPr>
          <w:rFonts w:hint="eastAsia"/>
          <w:sz w:val="24"/>
        </w:rPr>
        <w:t>如上表所示，公司实际关联交易发生额呈逐年下降趋势，上述关联交易</w:t>
      </w:r>
      <w:bookmarkStart w:id="11" w:name="_Hlk198924412"/>
      <w:r>
        <w:rPr>
          <w:rFonts w:hint="eastAsia"/>
          <w:sz w:val="24"/>
        </w:rPr>
        <w:t>系公司日常生产经营和业务延续的需要，公司向关联方提供房建服务，可以让子公司</w:t>
      </w:r>
      <w:proofErr w:type="gramStart"/>
      <w:r>
        <w:rPr>
          <w:rFonts w:hint="eastAsia"/>
          <w:sz w:val="24"/>
        </w:rPr>
        <w:t>交建建筑</w:t>
      </w:r>
      <w:proofErr w:type="gramEnd"/>
      <w:r>
        <w:rPr>
          <w:rFonts w:hint="eastAsia"/>
          <w:sz w:val="24"/>
        </w:rPr>
        <w:lastRenderedPageBreak/>
        <w:t>以市场价为基础，在同等条件下形成一定收益，同时，在保障其业务稳定的情况下，控制了关联交易比例，不会损害公司利益。相关关联交易遵循定价公允、公平的市场原则执行</w:t>
      </w:r>
      <w:bookmarkEnd w:id="11"/>
      <w:r>
        <w:rPr>
          <w:rFonts w:hint="eastAsia"/>
          <w:sz w:val="24"/>
        </w:rPr>
        <w:t>，</w:t>
      </w:r>
      <w:r w:rsidRPr="00C02289">
        <w:rPr>
          <w:rFonts w:hint="eastAsia"/>
          <w:sz w:val="24"/>
        </w:rPr>
        <w:t>符合有关法律法规、规范性文件及公司章程的规定</w:t>
      </w:r>
      <w:r>
        <w:rPr>
          <w:rFonts w:hint="eastAsia"/>
          <w:sz w:val="24"/>
        </w:rPr>
        <w:t>，</w:t>
      </w:r>
      <w:r w:rsidRPr="00C617F3">
        <w:rPr>
          <w:rFonts w:hint="eastAsia"/>
          <w:sz w:val="24"/>
        </w:rPr>
        <w:t>不存在损害公司及公司股东特别是中小股东利益的情形</w:t>
      </w:r>
      <w:r>
        <w:rPr>
          <w:rFonts w:hint="eastAsia"/>
          <w:sz w:val="24"/>
        </w:rPr>
        <w:t>。</w:t>
      </w:r>
    </w:p>
    <w:p w:rsidR="000D3334" w:rsidRDefault="000D3334" w:rsidP="000D3334">
      <w:pPr>
        <w:spacing w:beforeLines="50" w:before="120" w:line="360" w:lineRule="auto"/>
        <w:ind w:firstLineChars="200" w:firstLine="482"/>
        <w:outlineLvl w:val="0"/>
        <w:rPr>
          <w:b/>
          <w:bCs/>
          <w:sz w:val="24"/>
        </w:rPr>
      </w:pPr>
      <w:r w:rsidRPr="007775BA" w:rsidDel="00313C3F">
        <w:rPr>
          <w:rFonts w:hint="eastAsia"/>
          <w:b/>
          <w:bCs/>
          <w:sz w:val="24"/>
        </w:rPr>
        <w:t xml:space="preserve"> </w:t>
      </w:r>
      <w:r>
        <w:rPr>
          <w:rFonts w:hint="eastAsia"/>
          <w:b/>
          <w:bCs/>
          <w:sz w:val="24"/>
        </w:rPr>
        <w:t>二、结合业务实际运营情况，说明公司针对关联方与非关联方坏账采用不同计提确认方法与依据，以及相关会计处理是否符合《企业会计准则》的规定，是否与同行业可比公司相一致</w:t>
      </w:r>
    </w:p>
    <w:p w:rsidR="000D3334" w:rsidRDefault="000D3334" w:rsidP="000D3334">
      <w:pPr>
        <w:spacing w:beforeLines="50" w:before="120" w:line="360" w:lineRule="auto"/>
        <w:ind w:firstLineChars="200" w:firstLine="482"/>
        <w:outlineLvl w:val="1"/>
        <w:rPr>
          <w:b/>
          <w:bCs/>
          <w:sz w:val="24"/>
        </w:rPr>
      </w:pPr>
      <w:r>
        <w:rPr>
          <w:rFonts w:hint="eastAsia"/>
          <w:b/>
          <w:bCs/>
          <w:sz w:val="24"/>
        </w:rPr>
        <w:t>（一）公司针对关联方与非关联方的坏账计提确认方法与依据</w:t>
      </w:r>
      <w:r>
        <w:rPr>
          <w:rFonts w:hint="eastAsia"/>
          <w:b/>
          <w:bCs/>
          <w:sz w:val="24"/>
        </w:rPr>
        <w:t xml:space="preserve"> </w:t>
      </w:r>
    </w:p>
    <w:p w:rsidR="000D3334" w:rsidRDefault="000D3334" w:rsidP="000D3334">
      <w:pPr>
        <w:spacing w:beforeLines="50" w:before="120" w:line="360" w:lineRule="auto"/>
        <w:ind w:firstLineChars="200" w:firstLine="480"/>
        <w:rPr>
          <w:sz w:val="24"/>
        </w:rPr>
      </w:pPr>
      <w:r>
        <w:rPr>
          <w:rFonts w:hint="eastAsia"/>
          <w:sz w:val="24"/>
        </w:rPr>
        <w:t>公司针对关联方与非关联方采用的应收账款坏账准备计提方法是一致的，均按照整个存续期的预期信用损失计量损失准备。报告期期末，在按组合计提坏账准备时，对应收外部客户综合计提比例为</w:t>
      </w:r>
      <w:r>
        <w:rPr>
          <w:rFonts w:hint="eastAsia"/>
          <w:sz w:val="24"/>
        </w:rPr>
        <w:t>6.83%</w:t>
      </w:r>
      <w:r>
        <w:rPr>
          <w:rFonts w:hint="eastAsia"/>
          <w:sz w:val="24"/>
        </w:rPr>
        <w:t>，对应收外部关联方综合计提比例为</w:t>
      </w:r>
      <w:r>
        <w:rPr>
          <w:rFonts w:hint="eastAsia"/>
          <w:sz w:val="24"/>
        </w:rPr>
        <w:t>1.27%</w:t>
      </w:r>
      <w:r>
        <w:rPr>
          <w:rFonts w:hint="eastAsia"/>
          <w:sz w:val="24"/>
        </w:rPr>
        <w:t>，主要</w:t>
      </w:r>
      <w:proofErr w:type="gramStart"/>
      <w:r>
        <w:rPr>
          <w:rFonts w:hint="eastAsia"/>
          <w:sz w:val="24"/>
        </w:rPr>
        <w:t>系不同</w:t>
      </w:r>
      <w:proofErr w:type="gramEnd"/>
      <w:r>
        <w:rPr>
          <w:rFonts w:hint="eastAsia"/>
          <w:sz w:val="24"/>
        </w:rPr>
        <w:t>组合的应收账款历史迁徙率情况不同所致，公司在确定预期信用损失率时已充分考虑不同组合的预期信用风险，不存在因客户为关联方而降低坏账准备计提比例的情况。</w:t>
      </w:r>
    </w:p>
    <w:p w:rsidR="000D3334" w:rsidRDefault="000D3334" w:rsidP="000D3334">
      <w:pPr>
        <w:spacing w:beforeLines="50" w:before="120" w:line="360" w:lineRule="auto"/>
        <w:ind w:firstLineChars="200" w:firstLine="482"/>
        <w:outlineLvl w:val="1"/>
        <w:rPr>
          <w:b/>
          <w:bCs/>
          <w:sz w:val="24"/>
        </w:rPr>
      </w:pPr>
      <w:r>
        <w:rPr>
          <w:rFonts w:hint="eastAsia"/>
          <w:b/>
          <w:bCs/>
          <w:sz w:val="24"/>
        </w:rPr>
        <w:t>（二）相关会计处理是否符合《企业会计准则》的规定，是否与同行业可比公司相一致</w:t>
      </w:r>
    </w:p>
    <w:p w:rsidR="000D3334" w:rsidRDefault="000D3334" w:rsidP="000D3334">
      <w:pPr>
        <w:spacing w:beforeLines="50" w:before="120" w:line="360" w:lineRule="auto"/>
        <w:ind w:firstLineChars="200" w:firstLine="480"/>
        <w:rPr>
          <w:sz w:val="24"/>
        </w:rPr>
      </w:pPr>
      <w:r>
        <w:rPr>
          <w:rFonts w:hint="eastAsia"/>
          <w:sz w:val="24"/>
        </w:rPr>
        <w:t>公司</w:t>
      </w:r>
      <w:r w:rsidRPr="00F36830">
        <w:rPr>
          <w:rFonts w:hint="eastAsia"/>
          <w:sz w:val="24"/>
        </w:rPr>
        <w:t>应收账款确定组合的依据如下：</w:t>
      </w:r>
    </w:p>
    <w:p w:rsidR="000D3334" w:rsidRPr="00FA2FFA" w:rsidRDefault="000D3334" w:rsidP="000D3334">
      <w:pPr>
        <w:spacing w:beforeLines="50" w:before="120" w:line="360" w:lineRule="auto"/>
        <w:ind w:firstLineChars="200" w:firstLine="480"/>
        <w:rPr>
          <w:sz w:val="24"/>
        </w:rPr>
      </w:pPr>
      <w:r w:rsidRPr="00FA2FFA">
        <w:rPr>
          <w:rFonts w:hint="eastAsia"/>
          <w:sz w:val="24"/>
        </w:rPr>
        <w:t>应收账款组合</w:t>
      </w:r>
      <w:r w:rsidRPr="00FA2FFA">
        <w:rPr>
          <w:rFonts w:hint="eastAsia"/>
          <w:sz w:val="24"/>
        </w:rPr>
        <w:t xml:space="preserve">1  </w:t>
      </w:r>
      <w:r w:rsidRPr="00FA2FFA">
        <w:rPr>
          <w:rFonts w:hint="eastAsia"/>
          <w:sz w:val="24"/>
        </w:rPr>
        <w:t>应收合并范围内关联方</w:t>
      </w:r>
    </w:p>
    <w:p w:rsidR="000D3334" w:rsidRPr="00FA2FFA" w:rsidRDefault="000D3334" w:rsidP="000D3334">
      <w:pPr>
        <w:spacing w:beforeLines="50" w:before="120" w:line="360" w:lineRule="auto"/>
        <w:ind w:firstLineChars="200" w:firstLine="480"/>
        <w:rPr>
          <w:sz w:val="24"/>
        </w:rPr>
      </w:pPr>
      <w:r w:rsidRPr="00FA2FFA">
        <w:rPr>
          <w:rFonts w:hint="eastAsia"/>
          <w:sz w:val="24"/>
        </w:rPr>
        <w:t>应收账款组合</w:t>
      </w:r>
      <w:r w:rsidRPr="00FA2FFA">
        <w:rPr>
          <w:rFonts w:hint="eastAsia"/>
          <w:sz w:val="24"/>
        </w:rPr>
        <w:t xml:space="preserve">2  </w:t>
      </w:r>
      <w:r w:rsidRPr="00FA2FFA">
        <w:rPr>
          <w:rFonts w:hint="eastAsia"/>
          <w:sz w:val="24"/>
        </w:rPr>
        <w:t>应收合并范围外关联方</w:t>
      </w:r>
    </w:p>
    <w:p w:rsidR="000D3334" w:rsidRDefault="000D3334" w:rsidP="000D3334">
      <w:pPr>
        <w:spacing w:beforeLines="50" w:before="120" w:line="360" w:lineRule="auto"/>
        <w:ind w:firstLineChars="200" w:firstLine="480"/>
        <w:rPr>
          <w:sz w:val="24"/>
        </w:rPr>
      </w:pPr>
      <w:r w:rsidRPr="00FA2FFA">
        <w:rPr>
          <w:rFonts w:hint="eastAsia"/>
          <w:sz w:val="24"/>
        </w:rPr>
        <w:t>应收账款组合</w:t>
      </w:r>
      <w:r w:rsidRPr="00FA2FFA">
        <w:rPr>
          <w:rFonts w:hint="eastAsia"/>
          <w:sz w:val="24"/>
        </w:rPr>
        <w:t xml:space="preserve">3  </w:t>
      </w:r>
      <w:r w:rsidRPr="00FA2FFA">
        <w:rPr>
          <w:rFonts w:hint="eastAsia"/>
          <w:sz w:val="24"/>
        </w:rPr>
        <w:t>应收外部客户</w:t>
      </w:r>
    </w:p>
    <w:p w:rsidR="000D3334" w:rsidRDefault="000D3334" w:rsidP="000D3334">
      <w:pPr>
        <w:spacing w:beforeLines="50" w:before="120" w:line="360" w:lineRule="auto"/>
        <w:ind w:firstLineChars="200" w:firstLine="480"/>
        <w:rPr>
          <w:sz w:val="24"/>
        </w:rPr>
      </w:pPr>
      <w:r>
        <w:rPr>
          <w:rFonts w:hint="eastAsia"/>
          <w:sz w:val="24"/>
        </w:rPr>
        <w:t>对于组合</w:t>
      </w:r>
      <w:r>
        <w:rPr>
          <w:rFonts w:hint="eastAsia"/>
          <w:sz w:val="24"/>
        </w:rPr>
        <w:t>1</w:t>
      </w:r>
      <w:r w:rsidRPr="00FA2FFA">
        <w:rPr>
          <w:rFonts w:hint="eastAsia"/>
          <w:sz w:val="24"/>
        </w:rPr>
        <w:t>应收合并范围内关联方</w:t>
      </w:r>
      <w:r>
        <w:rPr>
          <w:rFonts w:hint="eastAsia"/>
          <w:sz w:val="24"/>
        </w:rPr>
        <w:t>，已合并抵消，期末无余额；</w:t>
      </w:r>
      <w:r w:rsidRPr="00E95BF9">
        <w:rPr>
          <w:rFonts w:hint="eastAsia"/>
          <w:sz w:val="24"/>
        </w:rPr>
        <w:t>对于划分为</w:t>
      </w:r>
      <w:r>
        <w:rPr>
          <w:rFonts w:hint="eastAsia"/>
          <w:sz w:val="24"/>
        </w:rPr>
        <w:t>组合</w:t>
      </w:r>
      <w:r>
        <w:rPr>
          <w:rFonts w:hint="eastAsia"/>
          <w:sz w:val="24"/>
        </w:rPr>
        <w:t>2</w:t>
      </w:r>
      <w:r>
        <w:rPr>
          <w:rFonts w:hint="eastAsia"/>
          <w:sz w:val="24"/>
        </w:rPr>
        <w:t>和组合</w:t>
      </w:r>
      <w:r>
        <w:rPr>
          <w:rFonts w:hint="eastAsia"/>
          <w:sz w:val="24"/>
        </w:rPr>
        <w:t>3</w:t>
      </w:r>
      <w:r w:rsidRPr="00E95BF9">
        <w:rPr>
          <w:rFonts w:hint="eastAsia"/>
          <w:sz w:val="24"/>
        </w:rPr>
        <w:t>的应收账款</w:t>
      </w:r>
      <w:r>
        <w:rPr>
          <w:rFonts w:hint="eastAsia"/>
          <w:sz w:val="24"/>
        </w:rPr>
        <w:t>：①</w:t>
      </w:r>
      <w:r w:rsidRPr="00E95BF9">
        <w:rPr>
          <w:rFonts w:hint="eastAsia"/>
          <w:sz w:val="24"/>
        </w:rPr>
        <w:t>公司分别编制较为稳定的历史经营期间（</w:t>
      </w:r>
      <w:r w:rsidRPr="00E95BF9">
        <w:rPr>
          <w:rFonts w:hint="eastAsia"/>
          <w:sz w:val="24"/>
        </w:rPr>
        <w:t>2021-2024</w:t>
      </w:r>
      <w:r w:rsidRPr="00E95BF9">
        <w:rPr>
          <w:rFonts w:hint="eastAsia"/>
          <w:sz w:val="24"/>
        </w:rPr>
        <w:t>年）应收账款账龄情况</w:t>
      </w:r>
      <w:r>
        <w:rPr>
          <w:rFonts w:hint="eastAsia"/>
          <w:sz w:val="24"/>
        </w:rPr>
        <w:t>；②</w:t>
      </w:r>
      <w:r w:rsidRPr="00E95BF9">
        <w:rPr>
          <w:rFonts w:hint="eastAsia"/>
          <w:sz w:val="24"/>
        </w:rPr>
        <w:t>分别计算各年度、各级次</w:t>
      </w:r>
      <w:proofErr w:type="gramStart"/>
      <w:r w:rsidRPr="00E95BF9">
        <w:rPr>
          <w:rFonts w:hint="eastAsia"/>
          <w:sz w:val="24"/>
        </w:rPr>
        <w:t>账龄段应收</w:t>
      </w:r>
      <w:proofErr w:type="gramEnd"/>
      <w:r w:rsidRPr="00E95BF9">
        <w:rPr>
          <w:rFonts w:hint="eastAsia"/>
          <w:sz w:val="24"/>
        </w:rPr>
        <w:t>账款平均迁徙率情况；</w:t>
      </w:r>
      <w:r>
        <w:rPr>
          <w:rFonts w:hint="eastAsia"/>
          <w:sz w:val="24"/>
        </w:rPr>
        <w:t>③</w:t>
      </w:r>
      <w:r w:rsidRPr="00E95BF9">
        <w:rPr>
          <w:rFonts w:hint="eastAsia"/>
          <w:sz w:val="24"/>
        </w:rPr>
        <w:t>在考虑前瞻性信息调整时，针对</w:t>
      </w:r>
      <w:r w:rsidRPr="00FA2FFA">
        <w:rPr>
          <w:rFonts w:hint="eastAsia"/>
          <w:sz w:val="24"/>
        </w:rPr>
        <w:t>组合</w:t>
      </w:r>
      <w:r w:rsidRPr="00FA2FFA">
        <w:rPr>
          <w:rFonts w:hint="eastAsia"/>
          <w:sz w:val="24"/>
        </w:rPr>
        <w:t>2</w:t>
      </w:r>
      <w:r w:rsidRPr="00E95BF9">
        <w:rPr>
          <w:rFonts w:hint="eastAsia"/>
          <w:sz w:val="24"/>
        </w:rPr>
        <w:t>应收合并范围外关联方客户组合</w:t>
      </w:r>
      <w:r>
        <w:rPr>
          <w:rFonts w:hint="eastAsia"/>
          <w:sz w:val="24"/>
        </w:rPr>
        <w:t>（</w:t>
      </w:r>
      <w:r w:rsidRPr="008B768A">
        <w:rPr>
          <w:rFonts w:hint="eastAsia"/>
          <w:sz w:val="24"/>
        </w:rPr>
        <w:t>客户主要系应收控股股东</w:t>
      </w:r>
      <w:proofErr w:type="gramStart"/>
      <w:r w:rsidRPr="008B768A">
        <w:rPr>
          <w:rFonts w:hint="eastAsia"/>
          <w:sz w:val="24"/>
        </w:rPr>
        <w:t>祥</w:t>
      </w:r>
      <w:proofErr w:type="gramEnd"/>
      <w:r w:rsidRPr="008B768A">
        <w:rPr>
          <w:rFonts w:hint="eastAsia"/>
          <w:sz w:val="24"/>
        </w:rPr>
        <w:t>源控股集团有限责任公司及其下属公司</w:t>
      </w:r>
      <w:r>
        <w:rPr>
          <w:rFonts w:hint="eastAsia"/>
          <w:sz w:val="24"/>
        </w:rPr>
        <w:t>）</w:t>
      </w:r>
      <w:r w:rsidRPr="00E95BF9">
        <w:rPr>
          <w:rFonts w:hint="eastAsia"/>
          <w:sz w:val="24"/>
        </w:rPr>
        <w:t>，考虑到行业情况因素影响，提高</w:t>
      </w:r>
      <w:r>
        <w:rPr>
          <w:rFonts w:hint="eastAsia"/>
          <w:sz w:val="24"/>
        </w:rPr>
        <w:t>了</w:t>
      </w:r>
      <w:r w:rsidRPr="00E95BF9">
        <w:rPr>
          <w:rFonts w:hint="eastAsia"/>
          <w:sz w:val="24"/>
        </w:rPr>
        <w:t>前瞻性信息比例</w:t>
      </w:r>
      <w:r>
        <w:rPr>
          <w:rFonts w:hint="eastAsia"/>
          <w:sz w:val="24"/>
        </w:rPr>
        <w:t>；④</w:t>
      </w:r>
      <w:r w:rsidRPr="00E95BF9">
        <w:rPr>
          <w:rFonts w:hint="eastAsia"/>
          <w:sz w:val="24"/>
        </w:rPr>
        <w:t>计算预期信用损失率。</w:t>
      </w:r>
    </w:p>
    <w:p w:rsidR="000D3334" w:rsidRDefault="000D3334" w:rsidP="000D3334">
      <w:pPr>
        <w:spacing w:beforeLines="50" w:before="120" w:line="360" w:lineRule="auto"/>
        <w:ind w:firstLineChars="200" w:firstLine="480"/>
        <w:rPr>
          <w:sz w:val="24"/>
        </w:rPr>
      </w:pPr>
      <w:r>
        <w:rPr>
          <w:rFonts w:hint="eastAsia"/>
          <w:sz w:val="24"/>
        </w:rPr>
        <w:lastRenderedPageBreak/>
        <w:t>截至报告期期末，</w:t>
      </w:r>
      <w:r w:rsidRPr="00B665EA">
        <w:rPr>
          <w:rFonts w:hint="eastAsia"/>
          <w:sz w:val="24"/>
        </w:rPr>
        <w:t>按组合</w:t>
      </w:r>
      <w:r w:rsidRPr="00E20A43">
        <w:rPr>
          <w:rFonts w:hint="eastAsia"/>
          <w:sz w:val="24"/>
        </w:rPr>
        <w:t>计提坏账准备的应收账款</w:t>
      </w:r>
      <w:r>
        <w:rPr>
          <w:rFonts w:hint="eastAsia"/>
          <w:sz w:val="24"/>
        </w:rPr>
        <w:t>情况如下：</w:t>
      </w:r>
    </w:p>
    <w:p w:rsidR="000D3334" w:rsidRDefault="000D3334" w:rsidP="000D3334">
      <w:pPr>
        <w:spacing w:beforeLines="50" w:before="120"/>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1"/>
        <w:gridCol w:w="1309"/>
        <w:gridCol w:w="1309"/>
        <w:gridCol w:w="1309"/>
        <w:gridCol w:w="1309"/>
        <w:gridCol w:w="1309"/>
        <w:gridCol w:w="1307"/>
      </w:tblGrid>
      <w:tr w:rsidR="000D3334" w:rsidTr="00F3634B">
        <w:trPr>
          <w:trHeight w:val="397"/>
          <w:tblHeader/>
        </w:trPr>
        <w:tc>
          <w:tcPr>
            <w:tcW w:w="639" w:type="pct"/>
            <w:vMerge w:val="restart"/>
            <w:shd w:val="clear" w:color="auto" w:fill="D9D9D9" w:themeFill="background1" w:themeFillShade="D9"/>
            <w:vAlign w:val="center"/>
          </w:tcPr>
          <w:p w:rsidR="000D3334" w:rsidRDefault="000D3334" w:rsidP="00F3634B">
            <w:pPr>
              <w:adjustRightInd w:val="0"/>
              <w:jc w:val="center"/>
              <w:rPr>
                <w:b/>
                <w:bCs/>
                <w:szCs w:val="21"/>
              </w:rPr>
            </w:pPr>
            <w:r>
              <w:rPr>
                <w:rFonts w:hint="eastAsia"/>
                <w:b/>
                <w:bCs/>
                <w:szCs w:val="21"/>
              </w:rPr>
              <w:t>账龄</w:t>
            </w:r>
          </w:p>
        </w:tc>
        <w:tc>
          <w:tcPr>
            <w:tcW w:w="2181" w:type="pct"/>
            <w:gridSpan w:val="3"/>
            <w:shd w:val="clear" w:color="auto" w:fill="D9D9D9" w:themeFill="background1" w:themeFillShade="D9"/>
            <w:vAlign w:val="center"/>
          </w:tcPr>
          <w:p w:rsidR="000D3334" w:rsidRDefault="000D3334" w:rsidP="00F3634B">
            <w:pPr>
              <w:adjustRightInd w:val="0"/>
              <w:jc w:val="center"/>
              <w:rPr>
                <w:b/>
                <w:bCs/>
                <w:szCs w:val="21"/>
              </w:rPr>
            </w:pPr>
            <w:r w:rsidRPr="00A32128">
              <w:rPr>
                <w:rFonts w:hint="eastAsia"/>
                <w:b/>
                <w:bCs/>
                <w:szCs w:val="21"/>
              </w:rPr>
              <w:t>应收合并范围外关联方</w:t>
            </w:r>
          </w:p>
        </w:tc>
        <w:tc>
          <w:tcPr>
            <w:tcW w:w="2181" w:type="pct"/>
            <w:gridSpan w:val="3"/>
            <w:shd w:val="clear" w:color="auto" w:fill="D9D9D9" w:themeFill="background1" w:themeFillShade="D9"/>
            <w:vAlign w:val="center"/>
          </w:tcPr>
          <w:p w:rsidR="000D3334" w:rsidRDefault="000D3334" w:rsidP="00F3634B">
            <w:pPr>
              <w:adjustRightInd w:val="0"/>
              <w:jc w:val="center"/>
              <w:rPr>
                <w:b/>
                <w:bCs/>
                <w:szCs w:val="21"/>
              </w:rPr>
            </w:pPr>
            <w:r w:rsidRPr="00A32128">
              <w:rPr>
                <w:rFonts w:hint="eastAsia"/>
                <w:b/>
                <w:bCs/>
                <w:szCs w:val="21"/>
              </w:rPr>
              <w:t>应收外部客户</w:t>
            </w:r>
          </w:p>
        </w:tc>
      </w:tr>
      <w:tr w:rsidR="000D3334" w:rsidTr="00F3634B">
        <w:trPr>
          <w:trHeight w:val="397"/>
        </w:trPr>
        <w:tc>
          <w:tcPr>
            <w:tcW w:w="639" w:type="pct"/>
            <w:vMerge/>
            <w:vAlign w:val="center"/>
          </w:tcPr>
          <w:p w:rsidR="000D3334" w:rsidRDefault="000D3334" w:rsidP="00F3634B">
            <w:pPr>
              <w:adjustRightInd w:val="0"/>
              <w:jc w:val="center"/>
              <w:rPr>
                <w:b/>
                <w:bCs/>
                <w:szCs w:val="21"/>
              </w:rPr>
            </w:pP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账面余额</w:t>
            </w: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占比</w:t>
            </w:r>
            <w:r w:rsidRPr="00A12A12">
              <w:rPr>
                <w:rFonts w:hint="eastAsia"/>
                <w:b/>
                <w:bCs/>
                <w:szCs w:val="21"/>
              </w:rPr>
              <w:t>(%)</w:t>
            </w: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坏账准备</w:t>
            </w: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账面余额</w:t>
            </w: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占比</w:t>
            </w:r>
            <w:r w:rsidRPr="00A12A12">
              <w:rPr>
                <w:rFonts w:hint="eastAsia"/>
                <w:b/>
                <w:bCs/>
                <w:szCs w:val="21"/>
              </w:rPr>
              <w:t>(%)</w:t>
            </w:r>
          </w:p>
        </w:tc>
        <w:tc>
          <w:tcPr>
            <w:tcW w:w="727" w:type="pct"/>
            <w:shd w:val="clear" w:color="auto" w:fill="D9D9D9" w:themeFill="background1" w:themeFillShade="D9"/>
            <w:vAlign w:val="center"/>
          </w:tcPr>
          <w:p w:rsidR="000D3334" w:rsidRPr="00A32128" w:rsidRDefault="000D3334" w:rsidP="00F3634B">
            <w:pPr>
              <w:adjustRightInd w:val="0"/>
              <w:jc w:val="center"/>
              <w:rPr>
                <w:b/>
                <w:bCs/>
                <w:szCs w:val="21"/>
              </w:rPr>
            </w:pPr>
            <w:r w:rsidRPr="00A12A12">
              <w:rPr>
                <w:rFonts w:hint="eastAsia"/>
                <w:b/>
                <w:bCs/>
                <w:szCs w:val="21"/>
              </w:rPr>
              <w:t>坏账准备</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1</w:t>
            </w:r>
            <w:r w:rsidRPr="00775AEF">
              <w:rPr>
                <w:rFonts w:hint="eastAsia"/>
              </w:rPr>
              <w:t>年以内</w:t>
            </w:r>
          </w:p>
        </w:tc>
        <w:tc>
          <w:tcPr>
            <w:tcW w:w="727" w:type="pct"/>
            <w:vAlign w:val="center"/>
          </w:tcPr>
          <w:p w:rsidR="000D3334" w:rsidRDefault="000D3334" w:rsidP="00F3634B">
            <w:pPr>
              <w:adjustRightInd w:val="0"/>
              <w:jc w:val="right"/>
              <w:rPr>
                <w:szCs w:val="21"/>
              </w:rPr>
            </w:pPr>
            <w:r w:rsidRPr="00F66228">
              <w:t>40,479.01</w:t>
            </w:r>
          </w:p>
        </w:tc>
        <w:tc>
          <w:tcPr>
            <w:tcW w:w="727" w:type="pct"/>
            <w:vAlign w:val="center"/>
          </w:tcPr>
          <w:p w:rsidR="000D3334" w:rsidRDefault="000D3334" w:rsidP="00F3634B">
            <w:pPr>
              <w:adjustRightInd w:val="0"/>
              <w:jc w:val="right"/>
              <w:rPr>
                <w:szCs w:val="21"/>
              </w:rPr>
            </w:pPr>
            <w:r w:rsidRPr="00F66228">
              <w:t xml:space="preserve"> 57.14 </w:t>
            </w:r>
          </w:p>
        </w:tc>
        <w:tc>
          <w:tcPr>
            <w:tcW w:w="727" w:type="pct"/>
            <w:vAlign w:val="center"/>
          </w:tcPr>
          <w:p w:rsidR="000D3334" w:rsidRDefault="000D3334" w:rsidP="00F3634B">
            <w:pPr>
              <w:adjustRightInd w:val="0"/>
              <w:jc w:val="right"/>
              <w:rPr>
                <w:szCs w:val="21"/>
              </w:rPr>
            </w:pPr>
            <w:r w:rsidRPr="00F66228">
              <w:t>250.97</w:t>
            </w:r>
          </w:p>
        </w:tc>
        <w:tc>
          <w:tcPr>
            <w:tcW w:w="727" w:type="pct"/>
            <w:vAlign w:val="center"/>
          </w:tcPr>
          <w:p w:rsidR="000D3334" w:rsidRDefault="000D3334" w:rsidP="00F3634B">
            <w:pPr>
              <w:adjustRightInd w:val="0"/>
              <w:jc w:val="right"/>
              <w:rPr>
                <w:szCs w:val="21"/>
              </w:rPr>
            </w:pPr>
            <w:r w:rsidRPr="00F66228">
              <w:t>189,342.25</w:t>
            </w:r>
          </w:p>
        </w:tc>
        <w:tc>
          <w:tcPr>
            <w:tcW w:w="727" w:type="pct"/>
            <w:vAlign w:val="center"/>
          </w:tcPr>
          <w:p w:rsidR="000D3334" w:rsidRDefault="000D3334" w:rsidP="00F3634B">
            <w:pPr>
              <w:adjustRightInd w:val="0"/>
              <w:jc w:val="right"/>
              <w:rPr>
                <w:szCs w:val="21"/>
              </w:rPr>
            </w:pPr>
            <w:r w:rsidRPr="00F66228">
              <w:t>46.26</w:t>
            </w:r>
          </w:p>
        </w:tc>
        <w:tc>
          <w:tcPr>
            <w:tcW w:w="727" w:type="pct"/>
            <w:vAlign w:val="center"/>
          </w:tcPr>
          <w:p w:rsidR="000D3334" w:rsidRDefault="000D3334" w:rsidP="00F3634B">
            <w:pPr>
              <w:adjustRightInd w:val="0"/>
              <w:jc w:val="right"/>
              <w:rPr>
                <w:szCs w:val="21"/>
              </w:rPr>
            </w:pPr>
            <w:r w:rsidRPr="00F66228">
              <w:t>1,235.84</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1-2</w:t>
            </w:r>
            <w:r w:rsidRPr="00775AEF">
              <w:rPr>
                <w:rFonts w:hint="eastAsia"/>
              </w:rPr>
              <w:t>年</w:t>
            </w:r>
          </w:p>
        </w:tc>
        <w:tc>
          <w:tcPr>
            <w:tcW w:w="727" w:type="pct"/>
            <w:vAlign w:val="center"/>
          </w:tcPr>
          <w:p w:rsidR="000D3334" w:rsidRDefault="000D3334" w:rsidP="00F3634B">
            <w:pPr>
              <w:adjustRightInd w:val="0"/>
              <w:jc w:val="right"/>
              <w:rPr>
                <w:szCs w:val="21"/>
              </w:rPr>
            </w:pPr>
            <w:r w:rsidRPr="00F66228">
              <w:t>26,184.33</w:t>
            </w:r>
          </w:p>
        </w:tc>
        <w:tc>
          <w:tcPr>
            <w:tcW w:w="727" w:type="pct"/>
            <w:vAlign w:val="center"/>
          </w:tcPr>
          <w:p w:rsidR="000D3334" w:rsidRDefault="000D3334" w:rsidP="00F3634B">
            <w:pPr>
              <w:adjustRightInd w:val="0"/>
              <w:jc w:val="right"/>
              <w:rPr>
                <w:szCs w:val="21"/>
              </w:rPr>
            </w:pPr>
            <w:r w:rsidRPr="00F66228">
              <w:t xml:space="preserve"> 36.96 </w:t>
            </w:r>
          </w:p>
        </w:tc>
        <w:tc>
          <w:tcPr>
            <w:tcW w:w="727" w:type="pct"/>
            <w:vAlign w:val="center"/>
          </w:tcPr>
          <w:p w:rsidR="000D3334" w:rsidRDefault="000D3334" w:rsidP="00F3634B">
            <w:pPr>
              <w:adjustRightInd w:val="0"/>
              <w:jc w:val="right"/>
              <w:rPr>
                <w:szCs w:val="21"/>
              </w:rPr>
            </w:pPr>
            <w:r w:rsidRPr="00F66228">
              <w:t>439.92</w:t>
            </w:r>
          </w:p>
        </w:tc>
        <w:tc>
          <w:tcPr>
            <w:tcW w:w="727" w:type="pct"/>
            <w:vAlign w:val="center"/>
          </w:tcPr>
          <w:p w:rsidR="000D3334" w:rsidRDefault="000D3334" w:rsidP="00F3634B">
            <w:pPr>
              <w:adjustRightInd w:val="0"/>
              <w:jc w:val="right"/>
              <w:rPr>
                <w:szCs w:val="21"/>
              </w:rPr>
            </w:pPr>
            <w:r w:rsidRPr="00F66228">
              <w:t>98,322.67</w:t>
            </w:r>
          </w:p>
        </w:tc>
        <w:tc>
          <w:tcPr>
            <w:tcW w:w="727" w:type="pct"/>
            <w:vAlign w:val="center"/>
          </w:tcPr>
          <w:p w:rsidR="000D3334" w:rsidRDefault="000D3334" w:rsidP="00F3634B">
            <w:pPr>
              <w:adjustRightInd w:val="0"/>
              <w:jc w:val="right"/>
              <w:rPr>
                <w:szCs w:val="21"/>
              </w:rPr>
            </w:pPr>
            <w:r w:rsidRPr="00F66228">
              <w:t>24.02</w:t>
            </w:r>
          </w:p>
        </w:tc>
        <w:tc>
          <w:tcPr>
            <w:tcW w:w="727" w:type="pct"/>
            <w:vAlign w:val="center"/>
          </w:tcPr>
          <w:p w:rsidR="000D3334" w:rsidRDefault="000D3334" w:rsidP="00F3634B">
            <w:pPr>
              <w:adjustRightInd w:val="0"/>
              <w:jc w:val="right"/>
              <w:rPr>
                <w:szCs w:val="21"/>
              </w:rPr>
            </w:pPr>
            <w:r w:rsidRPr="00F66228">
              <w:t>3,266.20</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2-3</w:t>
            </w:r>
            <w:r w:rsidRPr="00775AEF">
              <w:rPr>
                <w:rFonts w:hint="eastAsia"/>
              </w:rPr>
              <w:t>年</w:t>
            </w:r>
          </w:p>
        </w:tc>
        <w:tc>
          <w:tcPr>
            <w:tcW w:w="727" w:type="pct"/>
            <w:vAlign w:val="center"/>
          </w:tcPr>
          <w:p w:rsidR="000D3334" w:rsidRDefault="000D3334" w:rsidP="00F3634B">
            <w:pPr>
              <w:adjustRightInd w:val="0"/>
              <w:jc w:val="right"/>
              <w:rPr>
                <w:szCs w:val="21"/>
              </w:rPr>
            </w:pPr>
            <w:r w:rsidRPr="00F66228">
              <w:t>3,243.26</w:t>
            </w:r>
          </w:p>
        </w:tc>
        <w:tc>
          <w:tcPr>
            <w:tcW w:w="727" w:type="pct"/>
            <w:vAlign w:val="center"/>
          </w:tcPr>
          <w:p w:rsidR="000D3334" w:rsidRDefault="000D3334" w:rsidP="00F3634B">
            <w:pPr>
              <w:adjustRightInd w:val="0"/>
              <w:jc w:val="right"/>
              <w:rPr>
                <w:szCs w:val="21"/>
              </w:rPr>
            </w:pPr>
            <w:r w:rsidRPr="00F66228">
              <w:t xml:space="preserve"> 4.58 </w:t>
            </w:r>
          </w:p>
        </w:tc>
        <w:tc>
          <w:tcPr>
            <w:tcW w:w="727" w:type="pct"/>
            <w:vAlign w:val="center"/>
          </w:tcPr>
          <w:p w:rsidR="000D3334" w:rsidRDefault="000D3334" w:rsidP="00F3634B">
            <w:pPr>
              <w:adjustRightInd w:val="0"/>
              <w:jc w:val="right"/>
              <w:rPr>
                <w:szCs w:val="21"/>
              </w:rPr>
            </w:pPr>
            <w:r w:rsidRPr="00F66228">
              <w:t>119.06</w:t>
            </w:r>
          </w:p>
        </w:tc>
        <w:tc>
          <w:tcPr>
            <w:tcW w:w="727" w:type="pct"/>
            <w:vAlign w:val="center"/>
          </w:tcPr>
          <w:p w:rsidR="000D3334" w:rsidRDefault="000D3334" w:rsidP="00F3634B">
            <w:pPr>
              <w:adjustRightInd w:val="0"/>
              <w:jc w:val="right"/>
              <w:rPr>
                <w:szCs w:val="21"/>
              </w:rPr>
            </w:pPr>
            <w:r w:rsidRPr="00F66228">
              <w:t>67,849.33</w:t>
            </w:r>
          </w:p>
        </w:tc>
        <w:tc>
          <w:tcPr>
            <w:tcW w:w="727" w:type="pct"/>
            <w:vAlign w:val="center"/>
          </w:tcPr>
          <w:p w:rsidR="000D3334" w:rsidRDefault="000D3334" w:rsidP="00F3634B">
            <w:pPr>
              <w:adjustRightInd w:val="0"/>
              <w:jc w:val="right"/>
              <w:rPr>
                <w:szCs w:val="21"/>
              </w:rPr>
            </w:pPr>
            <w:r w:rsidRPr="00F66228">
              <w:t>16.58</w:t>
            </w:r>
          </w:p>
        </w:tc>
        <w:tc>
          <w:tcPr>
            <w:tcW w:w="727" w:type="pct"/>
            <w:vAlign w:val="center"/>
          </w:tcPr>
          <w:p w:rsidR="000D3334" w:rsidRDefault="000D3334" w:rsidP="00F3634B">
            <w:pPr>
              <w:adjustRightInd w:val="0"/>
              <w:jc w:val="right"/>
              <w:rPr>
                <w:szCs w:val="21"/>
              </w:rPr>
            </w:pPr>
            <w:r w:rsidRPr="00F66228">
              <w:t>4,239.46</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3-4</w:t>
            </w:r>
            <w:r w:rsidRPr="00775AEF">
              <w:rPr>
                <w:rFonts w:hint="eastAsia"/>
              </w:rPr>
              <w:t>年</w:t>
            </w:r>
          </w:p>
        </w:tc>
        <w:tc>
          <w:tcPr>
            <w:tcW w:w="727" w:type="pct"/>
            <w:vAlign w:val="center"/>
          </w:tcPr>
          <w:p w:rsidR="000D3334" w:rsidRDefault="000D3334" w:rsidP="00F3634B">
            <w:pPr>
              <w:adjustRightInd w:val="0"/>
              <w:jc w:val="right"/>
              <w:rPr>
                <w:szCs w:val="21"/>
              </w:rPr>
            </w:pPr>
            <w:r w:rsidRPr="00F66228">
              <w:t>906.68</w:t>
            </w:r>
          </w:p>
        </w:tc>
        <w:tc>
          <w:tcPr>
            <w:tcW w:w="727" w:type="pct"/>
            <w:vAlign w:val="center"/>
          </w:tcPr>
          <w:p w:rsidR="000D3334" w:rsidRDefault="000D3334" w:rsidP="00F3634B">
            <w:pPr>
              <w:adjustRightInd w:val="0"/>
              <w:jc w:val="right"/>
              <w:rPr>
                <w:szCs w:val="21"/>
              </w:rPr>
            </w:pPr>
            <w:r w:rsidRPr="00F66228">
              <w:t xml:space="preserve"> 1.28 </w:t>
            </w:r>
          </w:p>
        </w:tc>
        <w:tc>
          <w:tcPr>
            <w:tcW w:w="727" w:type="pct"/>
            <w:vAlign w:val="center"/>
          </w:tcPr>
          <w:p w:rsidR="000D3334" w:rsidRDefault="000D3334" w:rsidP="00F3634B">
            <w:pPr>
              <w:adjustRightInd w:val="0"/>
              <w:jc w:val="right"/>
              <w:rPr>
                <w:szCs w:val="21"/>
              </w:rPr>
            </w:pPr>
            <w:r w:rsidRPr="00F66228">
              <w:t>82.60</w:t>
            </w:r>
          </w:p>
        </w:tc>
        <w:tc>
          <w:tcPr>
            <w:tcW w:w="727" w:type="pct"/>
            <w:vAlign w:val="center"/>
          </w:tcPr>
          <w:p w:rsidR="000D3334" w:rsidRDefault="000D3334" w:rsidP="00F3634B">
            <w:pPr>
              <w:adjustRightInd w:val="0"/>
              <w:jc w:val="right"/>
              <w:rPr>
                <w:szCs w:val="21"/>
              </w:rPr>
            </w:pPr>
            <w:r w:rsidRPr="00F66228">
              <w:t>22,176.57</w:t>
            </w:r>
          </w:p>
        </w:tc>
        <w:tc>
          <w:tcPr>
            <w:tcW w:w="727" w:type="pct"/>
            <w:vAlign w:val="center"/>
          </w:tcPr>
          <w:p w:rsidR="000D3334" w:rsidRDefault="000D3334" w:rsidP="00F3634B">
            <w:pPr>
              <w:adjustRightInd w:val="0"/>
              <w:jc w:val="right"/>
              <w:rPr>
                <w:szCs w:val="21"/>
              </w:rPr>
            </w:pPr>
            <w:r w:rsidRPr="00F66228">
              <w:t>5.42</w:t>
            </w:r>
          </w:p>
        </w:tc>
        <w:tc>
          <w:tcPr>
            <w:tcW w:w="727" w:type="pct"/>
            <w:vAlign w:val="center"/>
          </w:tcPr>
          <w:p w:rsidR="000D3334" w:rsidRDefault="000D3334" w:rsidP="00F3634B">
            <w:pPr>
              <w:adjustRightInd w:val="0"/>
              <w:jc w:val="right"/>
              <w:rPr>
                <w:szCs w:val="21"/>
              </w:rPr>
            </w:pPr>
            <w:r w:rsidRPr="00F66228">
              <w:t>3,237.78</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4-5</w:t>
            </w:r>
            <w:r w:rsidRPr="00775AEF">
              <w:rPr>
                <w:rFonts w:hint="eastAsia"/>
              </w:rPr>
              <w:t>年</w:t>
            </w:r>
          </w:p>
        </w:tc>
        <w:tc>
          <w:tcPr>
            <w:tcW w:w="727" w:type="pct"/>
            <w:vAlign w:val="center"/>
          </w:tcPr>
          <w:p w:rsidR="000D3334" w:rsidRDefault="000D3334" w:rsidP="00F3634B">
            <w:pPr>
              <w:adjustRightInd w:val="0"/>
              <w:jc w:val="right"/>
              <w:rPr>
                <w:szCs w:val="21"/>
              </w:rPr>
            </w:pPr>
            <w:r w:rsidRPr="00F66228">
              <w:t>24.04</w:t>
            </w:r>
          </w:p>
        </w:tc>
        <w:tc>
          <w:tcPr>
            <w:tcW w:w="727" w:type="pct"/>
            <w:vAlign w:val="center"/>
          </w:tcPr>
          <w:p w:rsidR="000D3334" w:rsidRDefault="000D3334" w:rsidP="00F3634B">
            <w:pPr>
              <w:adjustRightInd w:val="0"/>
              <w:jc w:val="right"/>
              <w:rPr>
                <w:szCs w:val="21"/>
              </w:rPr>
            </w:pPr>
            <w:r w:rsidRPr="00F66228">
              <w:t xml:space="preserve"> 0.03 </w:t>
            </w:r>
          </w:p>
        </w:tc>
        <w:tc>
          <w:tcPr>
            <w:tcW w:w="727" w:type="pct"/>
            <w:vAlign w:val="center"/>
          </w:tcPr>
          <w:p w:rsidR="000D3334" w:rsidRDefault="000D3334" w:rsidP="00F3634B">
            <w:pPr>
              <w:adjustRightInd w:val="0"/>
              <w:jc w:val="right"/>
              <w:rPr>
                <w:szCs w:val="21"/>
              </w:rPr>
            </w:pPr>
            <w:r w:rsidRPr="00F66228">
              <w:t>6.13</w:t>
            </w:r>
          </w:p>
        </w:tc>
        <w:tc>
          <w:tcPr>
            <w:tcW w:w="727" w:type="pct"/>
            <w:vAlign w:val="center"/>
          </w:tcPr>
          <w:p w:rsidR="000D3334" w:rsidRDefault="000D3334" w:rsidP="00F3634B">
            <w:pPr>
              <w:adjustRightInd w:val="0"/>
              <w:jc w:val="right"/>
              <w:rPr>
                <w:szCs w:val="21"/>
              </w:rPr>
            </w:pPr>
            <w:r w:rsidRPr="00F66228">
              <w:t>21,137.82</w:t>
            </w:r>
          </w:p>
        </w:tc>
        <w:tc>
          <w:tcPr>
            <w:tcW w:w="727" w:type="pct"/>
            <w:vAlign w:val="center"/>
          </w:tcPr>
          <w:p w:rsidR="000D3334" w:rsidRDefault="000D3334" w:rsidP="00F3634B">
            <w:pPr>
              <w:adjustRightInd w:val="0"/>
              <w:jc w:val="right"/>
              <w:rPr>
                <w:szCs w:val="21"/>
              </w:rPr>
            </w:pPr>
            <w:r w:rsidRPr="00F66228">
              <w:t>5.16</w:t>
            </w:r>
          </w:p>
        </w:tc>
        <w:tc>
          <w:tcPr>
            <w:tcW w:w="727" w:type="pct"/>
            <w:vAlign w:val="center"/>
          </w:tcPr>
          <w:p w:rsidR="000D3334" w:rsidRDefault="000D3334" w:rsidP="00F3634B">
            <w:pPr>
              <w:adjustRightInd w:val="0"/>
              <w:jc w:val="right"/>
              <w:rPr>
                <w:szCs w:val="21"/>
              </w:rPr>
            </w:pPr>
            <w:r w:rsidRPr="00F66228">
              <w:t>5,559.25</w:t>
            </w:r>
          </w:p>
        </w:tc>
      </w:tr>
      <w:tr w:rsidR="000D3334" w:rsidTr="00F3634B">
        <w:trPr>
          <w:trHeight w:val="397"/>
        </w:trPr>
        <w:tc>
          <w:tcPr>
            <w:tcW w:w="639" w:type="pct"/>
            <w:vAlign w:val="center"/>
          </w:tcPr>
          <w:p w:rsidR="000D3334" w:rsidRDefault="000D3334" w:rsidP="00F3634B">
            <w:pPr>
              <w:adjustRightInd w:val="0"/>
              <w:rPr>
                <w:szCs w:val="21"/>
              </w:rPr>
            </w:pPr>
            <w:r w:rsidRPr="00775AEF">
              <w:rPr>
                <w:rFonts w:hint="eastAsia"/>
              </w:rPr>
              <w:t>5</w:t>
            </w:r>
            <w:r w:rsidRPr="00775AEF">
              <w:rPr>
                <w:rFonts w:hint="eastAsia"/>
              </w:rPr>
              <w:t>年以上</w:t>
            </w:r>
          </w:p>
        </w:tc>
        <w:tc>
          <w:tcPr>
            <w:tcW w:w="727" w:type="pct"/>
            <w:vAlign w:val="center"/>
          </w:tcPr>
          <w:p w:rsidR="000D3334" w:rsidRDefault="000D3334" w:rsidP="00F3634B">
            <w:pPr>
              <w:adjustRightInd w:val="0"/>
              <w:jc w:val="right"/>
              <w:rPr>
                <w:szCs w:val="21"/>
              </w:rPr>
            </w:pPr>
            <w:r w:rsidRPr="00F66228">
              <w:t>1.68</w:t>
            </w:r>
          </w:p>
        </w:tc>
        <w:tc>
          <w:tcPr>
            <w:tcW w:w="727" w:type="pct"/>
            <w:vAlign w:val="center"/>
          </w:tcPr>
          <w:p w:rsidR="000D3334" w:rsidRDefault="000D3334" w:rsidP="00F3634B">
            <w:pPr>
              <w:adjustRightInd w:val="0"/>
              <w:jc w:val="right"/>
              <w:rPr>
                <w:szCs w:val="21"/>
              </w:rPr>
            </w:pPr>
            <w:r w:rsidRPr="00F66228">
              <w:t xml:space="preserve"> -   </w:t>
            </w:r>
          </w:p>
        </w:tc>
        <w:tc>
          <w:tcPr>
            <w:tcW w:w="727" w:type="pct"/>
            <w:vAlign w:val="center"/>
          </w:tcPr>
          <w:p w:rsidR="000D3334" w:rsidRDefault="000D3334" w:rsidP="00F3634B">
            <w:pPr>
              <w:adjustRightInd w:val="0"/>
              <w:jc w:val="right"/>
              <w:rPr>
                <w:szCs w:val="21"/>
              </w:rPr>
            </w:pPr>
            <w:r w:rsidRPr="00F66228">
              <w:t>1.68</w:t>
            </w:r>
          </w:p>
        </w:tc>
        <w:tc>
          <w:tcPr>
            <w:tcW w:w="727" w:type="pct"/>
            <w:vAlign w:val="center"/>
          </w:tcPr>
          <w:p w:rsidR="000D3334" w:rsidRDefault="000D3334" w:rsidP="00F3634B">
            <w:pPr>
              <w:adjustRightInd w:val="0"/>
              <w:jc w:val="right"/>
              <w:rPr>
                <w:szCs w:val="21"/>
              </w:rPr>
            </w:pPr>
            <w:r w:rsidRPr="00F66228">
              <w:t>10,428.22</w:t>
            </w:r>
          </w:p>
        </w:tc>
        <w:tc>
          <w:tcPr>
            <w:tcW w:w="727" w:type="pct"/>
            <w:vAlign w:val="center"/>
          </w:tcPr>
          <w:p w:rsidR="000D3334" w:rsidRDefault="000D3334" w:rsidP="00F3634B">
            <w:pPr>
              <w:adjustRightInd w:val="0"/>
              <w:jc w:val="right"/>
              <w:rPr>
                <w:szCs w:val="21"/>
              </w:rPr>
            </w:pPr>
            <w:r w:rsidRPr="00F66228">
              <w:t>2.55</w:t>
            </w:r>
          </w:p>
        </w:tc>
        <w:tc>
          <w:tcPr>
            <w:tcW w:w="727" w:type="pct"/>
            <w:vAlign w:val="center"/>
          </w:tcPr>
          <w:p w:rsidR="000D3334" w:rsidRDefault="000D3334" w:rsidP="00F3634B">
            <w:pPr>
              <w:adjustRightInd w:val="0"/>
              <w:jc w:val="right"/>
              <w:rPr>
                <w:szCs w:val="21"/>
              </w:rPr>
            </w:pPr>
            <w:r w:rsidRPr="00F66228">
              <w:t>10,428.22</w:t>
            </w:r>
          </w:p>
        </w:tc>
      </w:tr>
      <w:tr w:rsidR="000D3334" w:rsidTr="00F3634B">
        <w:trPr>
          <w:trHeight w:val="397"/>
        </w:trPr>
        <w:tc>
          <w:tcPr>
            <w:tcW w:w="639" w:type="pct"/>
            <w:vAlign w:val="center"/>
          </w:tcPr>
          <w:p w:rsidR="000D3334" w:rsidRPr="00A32128" w:rsidRDefault="000D3334" w:rsidP="00F3634B">
            <w:pPr>
              <w:adjustRightInd w:val="0"/>
              <w:jc w:val="center"/>
              <w:rPr>
                <w:b/>
                <w:bCs/>
                <w:szCs w:val="21"/>
              </w:rPr>
            </w:pPr>
            <w:r w:rsidRPr="00A32128">
              <w:rPr>
                <w:rFonts w:hint="eastAsia"/>
                <w:b/>
                <w:bCs/>
              </w:rPr>
              <w:t>合计</w:t>
            </w:r>
          </w:p>
        </w:tc>
        <w:tc>
          <w:tcPr>
            <w:tcW w:w="727" w:type="pct"/>
            <w:vAlign w:val="center"/>
          </w:tcPr>
          <w:p w:rsidR="000D3334" w:rsidRPr="00A32128" w:rsidRDefault="000D3334" w:rsidP="00F3634B">
            <w:pPr>
              <w:adjustRightInd w:val="0"/>
              <w:jc w:val="right"/>
              <w:rPr>
                <w:b/>
                <w:bCs/>
                <w:szCs w:val="21"/>
              </w:rPr>
            </w:pPr>
            <w:r w:rsidRPr="00A32128">
              <w:rPr>
                <w:b/>
                <w:bCs/>
              </w:rPr>
              <w:t>70,839.00</w:t>
            </w:r>
          </w:p>
        </w:tc>
        <w:tc>
          <w:tcPr>
            <w:tcW w:w="727" w:type="pct"/>
            <w:vAlign w:val="center"/>
          </w:tcPr>
          <w:p w:rsidR="000D3334" w:rsidRPr="00A32128" w:rsidRDefault="000D3334" w:rsidP="00F3634B">
            <w:pPr>
              <w:adjustRightInd w:val="0"/>
              <w:jc w:val="right"/>
              <w:rPr>
                <w:b/>
                <w:bCs/>
                <w:szCs w:val="21"/>
              </w:rPr>
            </w:pPr>
            <w:r w:rsidRPr="00A32128">
              <w:rPr>
                <w:b/>
                <w:bCs/>
              </w:rPr>
              <w:t xml:space="preserve"> 100.00 </w:t>
            </w:r>
          </w:p>
        </w:tc>
        <w:tc>
          <w:tcPr>
            <w:tcW w:w="727" w:type="pct"/>
            <w:vAlign w:val="center"/>
          </w:tcPr>
          <w:p w:rsidR="000D3334" w:rsidRPr="00A32128" w:rsidRDefault="000D3334" w:rsidP="00F3634B">
            <w:pPr>
              <w:adjustRightInd w:val="0"/>
              <w:jc w:val="right"/>
              <w:rPr>
                <w:b/>
                <w:bCs/>
                <w:szCs w:val="21"/>
              </w:rPr>
            </w:pPr>
            <w:r w:rsidRPr="00A32128">
              <w:rPr>
                <w:b/>
                <w:bCs/>
              </w:rPr>
              <w:t>900.36</w:t>
            </w:r>
          </w:p>
        </w:tc>
        <w:tc>
          <w:tcPr>
            <w:tcW w:w="727" w:type="pct"/>
            <w:vAlign w:val="center"/>
          </w:tcPr>
          <w:p w:rsidR="000D3334" w:rsidRPr="00A32128" w:rsidRDefault="000D3334" w:rsidP="00F3634B">
            <w:pPr>
              <w:adjustRightInd w:val="0"/>
              <w:jc w:val="right"/>
              <w:rPr>
                <w:b/>
                <w:bCs/>
                <w:szCs w:val="21"/>
              </w:rPr>
            </w:pPr>
            <w:r w:rsidRPr="00A32128">
              <w:rPr>
                <w:b/>
                <w:bCs/>
              </w:rPr>
              <w:t>409,256.86</w:t>
            </w:r>
          </w:p>
        </w:tc>
        <w:tc>
          <w:tcPr>
            <w:tcW w:w="727" w:type="pct"/>
            <w:vAlign w:val="center"/>
          </w:tcPr>
          <w:p w:rsidR="000D3334" w:rsidRPr="00A32128" w:rsidRDefault="000D3334" w:rsidP="00F3634B">
            <w:pPr>
              <w:adjustRightInd w:val="0"/>
              <w:jc w:val="right"/>
              <w:rPr>
                <w:b/>
                <w:bCs/>
                <w:szCs w:val="21"/>
              </w:rPr>
            </w:pPr>
            <w:r w:rsidRPr="00A32128">
              <w:rPr>
                <w:b/>
                <w:bCs/>
              </w:rPr>
              <w:t>100.00</w:t>
            </w:r>
          </w:p>
        </w:tc>
        <w:tc>
          <w:tcPr>
            <w:tcW w:w="727" w:type="pct"/>
            <w:vAlign w:val="center"/>
          </w:tcPr>
          <w:p w:rsidR="000D3334" w:rsidRPr="00A32128" w:rsidRDefault="000D3334" w:rsidP="00F3634B">
            <w:pPr>
              <w:adjustRightInd w:val="0"/>
              <w:jc w:val="right"/>
              <w:rPr>
                <w:b/>
                <w:bCs/>
                <w:szCs w:val="21"/>
              </w:rPr>
            </w:pPr>
            <w:r w:rsidRPr="00A32128">
              <w:rPr>
                <w:b/>
                <w:bCs/>
              </w:rPr>
              <w:t>27,966.75</w:t>
            </w:r>
          </w:p>
        </w:tc>
      </w:tr>
    </w:tbl>
    <w:p w:rsidR="000D3334" w:rsidRDefault="000D3334" w:rsidP="000D3334">
      <w:pPr>
        <w:spacing w:beforeLines="50" w:before="120" w:line="360" w:lineRule="auto"/>
        <w:ind w:firstLineChars="200" w:firstLine="480"/>
        <w:rPr>
          <w:sz w:val="24"/>
        </w:rPr>
      </w:pPr>
      <w:r>
        <w:rPr>
          <w:rFonts w:hint="eastAsia"/>
          <w:sz w:val="24"/>
        </w:rPr>
        <w:t>由上表可见，合并范围外关联方应收账款账龄较短，主要集中在</w:t>
      </w:r>
      <w:r>
        <w:rPr>
          <w:rFonts w:hint="eastAsia"/>
          <w:sz w:val="24"/>
        </w:rPr>
        <w:t>2</w:t>
      </w:r>
      <w:r>
        <w:rPr>
          <w:rFonts w:hint="eastAsia"/>
          <w:sz w:val="24"/>
        </w:rPr>
        <w:t>年以内，占比为</w:t>
      </w:r>
      <w:r w:rsidRPr="00811D64">
        <w:rPr>
          <w:sz w:val="24"/>
        </w:rPr>
        <w:t>94.10</w:t>
      </w:r>
      <w:r>
        <w:rPr>
          <w:rFonts w:hint="eastAsia"/>
          <w:sz w:val="24"/>
        </w:rPr>
        <w:t>%</w:t>
      </w:r>
      <w:r>
        <w:rPr>
          <w:rFonts w:hint="eastAsia"/>
          <w:sz w:val="24"/>
        </w:rPr>
        <w:t>；外部客户应收账款账</w:t>
      </w:r>
      <w:proofErr w:type="gramStart"/>
      <w:r>
        <w:rPr>
          <w:rFonts w:hint="eastAsia"/>
          <w:sz w:val="24"/>
        </w:rPr>
        <w:t>龄相对</w:t>
      </w:r>
      <w:proofErr w:type="gramEnd"/>
      <w:r>
        <w:rPr>
          <w:rFonts w:hint="eastAsia"/>
          <w:sz w:val="24"/>
        </w:rPr>
        <w:t>较长，其中</w:t>
      </w:r>
      <w:r>
        <w:rPr>
          <w:rFonts w:hint="eastAsia"/>
          <w:sz w:val="24"/>
        </w:rPr>
        <w:t>2</w:t>
      </w:r>
      <w:r>
        <w:rPr>
          <w:rFonts w:hint="eastAsia"/>
          <w:sz w:val="24"/>
        </w:rPr>
        <w:t>年以内应收账款余额占比为</w:t>
      </w:r>
      <w:r w:rsidRPr="00FF1FC4">
        <w:rPr>
          <w:sz w:val="24"/>
        </w:rPr>
        <w:t>70.28</w:t>
      </w:r>
      <w:r>
        <w:rPr>
          <w:rFonts w:hint="eastAsia"/>
          <w:sz w:val="24"/>
        </w:rPr>
        <w:t>%</w:t>
      </w:r>
      <w:r>
        <w:rPr>
          <w:rFonts w:hint="eastAsia"/>
          <w:sz w:val="24"/>
        </w:rPr>
        <w:t>。合并范围外关联方组合的回款速度优于外部客户，</w:t>
      </w:r>
      <w:r w:rsidRPr="005F2222">
        <w:rPr>
          <w:rFonts w:hint="eastAsia"/>
          <w:sz w:val="24"/>
        </w:rPr>
        <w:t>平均</w:t>
      </w:r>
      <w:r>
        <w:rPr>
          <w:rFonts w:hint="eastAsia"/>
          <w:sz w:val="24"/>
        </w:rPr>
        <w:t>迁徙率小于外部客户，</w:t>
      </w:r>
      <w:proofErr w:type="gramStart"/>
      <w:r>
        <w:rPr>
          <w:rFonts w:hint="eastAsia"/>
          <w:sz w:val="24"/>
        </w:rPr>
        <w:t>同时因账龄</w:t>
      </w:r>
      <w:proofErr w:type="gramEnd"/>
      <w:r>
        <w:rPr>
          <w:rFonts w:hint="eastAsia"/>
          <w:sz w:val="24"/>
        </w:rPr>
        <w:t>较短，坏账准备应计提金额较小，导致整体计提比例低于外部客户。</w:t>
      </w:r>
    </w:p>
    <w:p w:rsidR="000D3334" w:rsidRDefault="000D3334" w:rsidP="000D3334">
      <w:pPr>
        <w:spacing w:beforeLines="50" w:before="120" w:line="360" w:lineRule="auto"/>
        <w:ind w:firstLineChars="200" w:firstLine="480"/>
        <w:rPr>
          <w:sz w:val="24"/>
        </w:rPr>
      </w:pPr>
      <w:r>
        <w:rPr>
          <w:rFonts w:hint="eastAsia"/>
          <w:sz w:val="24"/>
        </w:rPr>
        <w:t>综上所述，公司针对关联方与非关联方采用的应收账款坏账准备计提方法是一致的，相关会计处理符合《企业会计准则》的规定，与同行业可比公司披露的相关坏账计提方法一致。</w:t>
      </w:r>
    </w:p>
    <w:p w:rsidR="000D3334" w:rsidRDefault="000D3334" w:rsidP="000D3334">
      <w:pPr>
        <w:spacing w:beforeLines="50" w:before="120" w:line="360" w:lineRule="auto"/>
        <w:ind w:firstLineChars="200" w:firstLine="482"/>
        <w:outlineLvl w:val="0"/>
        <w:rPr>
          <w:b/>
          <w:bCs/>
          <w:sz w:val="24"/>
        </w:rPr>
      </w:pPr>
      <w:r>
        <w:rPr>
          <w:rFonts w:hint="eastAsia"/>
          <w:b/>
          <w:bCs/>
          <w:sz w:val="24"/>
        </w:rPr>
        <w:t>三、说明公司对海口城中城建项目管理公司应收账款单项计提大额坏账的原因，核实该客户与公司控股股东及关联方是否存在资金或业务往来</w:t>
      </w:r>
    </w:p>
    <w:p w:rsidR="000D3334" w:rsidRDefault="000D3334" w:rsidP="000D3334">
      <w:pPr>
        <w:spacing w:beforeLines="50" w:before="120" w:line="360" w:lineRule="auto"/>
        <w:ind w:firstLineChars="200" w:firstLine="482"/>
        <w:outlineLvl w:val="1"/>
        <w:rPr>
          <w:b/>
          <w:bCs/>
          <w:sz w:val="24"/>
        </w:rPr>
      </w:pPr>
      <w:r>
        <w:rPr>
          <w:rFonts w:hint="eastAsia"/>
          <w:b/>
          <w:bCs/>
          <w:sz w:val="24"/>
        </w:rPr>
        <w:t>（一）公司对海口海中城建项目管理公司应收账款单项计提大额坏账的原因</w:t>
      </w:r>
    </w:p>
    <w:p w:rsidR="000D3334" w:rsidRDefault="000D3334" w:rsidP="000D3334">
      <w:pPr>
        <w:spacing w:beforeLines="50" w:before="120" w:line="360" w:lineRule="auto"/>
        <w:ind w:firstLineChars="200" w:firstLine="480"/>
        <w:rPr>
          <w:sz w:val="24"/>
        </w:rPr>
      </w:pPr>
      <w:r>
        <w:rPr>
          <w:rFonts w:hint="eastAsia"/>
          <w:sz w:val="24"/>
        </w:rPr>
        <w:t>报告期内，如果有客观证据表明某项应收账款已经发生信用减值，公司对该项应收款项单独进行减值测试，确认预期信用损失。</w:t>
      </w:r>
    </w:p>
    <w:p w:rsidR="000D3334" w:rsidRDefault="000D3334" w:rsidP="000D3334">
      <w:pPr>
        <w:spacing w:beforeLines="50" w:before="120" w:line="360" w:lineRule="auto"/>
        <w:ind w:firstLineChars="200" w:firstLine="480"/>
        <w:rPr>
          <w:sz w:val="24"/>
        </w:rPr>
      </w:pPr>
      <w:r>
        <w:rPr>
          <w:rFonts w:hint="eastAsia"/>
          <w:sz w:val="24"/>
        </w:rPr>
        <w:t>2024</w:t>
      </w:r>
      <w:r>
        <w:rPr>
          <w:rFonts w:hint="eastAsia"/>
          <w:sz w:val="24"/>
        </w:rPr>
        <w:t>年末，公司对海口海中城建项目管理公司应收账款按单项计提坏账准备</w:t>
      </w:r>
      <w:r>
        <w:rPr>
          <w:rFonts w:hint="eastAsia"/>
          <w:sz w:val="24"/>
        </w:rPr>
        <w:t>6,559.90</w:t>
      </w:r>
      <w:r>
        <w:rPr>
          <w:rFonts w:hint="eastAsia"/>
          <w:sz w:val="24"/>
        </w:rPr>
        <w:t>万元，主要系该笔应收账款预计收回存在不确定性，具体原因如下：</w:t>
      </w:r>
    </w:p>
    <w:p w:rsidR="000D3334" w:rsidRDefault="000D3334" w:rsidP="000D3334">
      <w:pPr>
        <w:spacing w:beforeLines="50" w:before="120" w:line="360" w:lineRule="auto"/>
        <w:ind w:firstLineChars="200" w:firstLine="480"/>
        <w:rPr>
          <w:sz w:val="24"/>
        </w:rPr>
      </w:pPr>
      <w:r>
        <w:rPr>
          <w:rFonts w:hint="eastAsia"/>
          <w:sz w:val="24"/>
        </w:rPr>
        <w:t>2016</w:t>
      </w:r>
      <w:r>
        <w:rPr>
          <w:rFonts w:hint="eastAsia"/>
          <w:sz w:val="24"/>
        </w:rPr>
        <w:t>年</w:t>
      </w:r>
      <w:r>
        <w:rPr>
          <w:rFonts w:hint="eastAsia"/>
          <w:sz w:val="24"/>
        </w:rPr>
        <w:t>10</w:t>
      </w:r>
      <w:r>
        <w:rPr>
          <w:rFonts w:hint="eastAsia"/>
          <w:sz w:val="24"/>
        </w:rPr>
        <w:t>月，公司与海口海中城建项目管理公司（以下简称“项目公司”）签订建设工程施工合同，约定项目公司为发包人，由公司作为施工总承包人承建海口市</w:t>
      </w:r>
      <w:r>
        <w:rPr>
          <w:rFonts w:hint="eastAsia"/>
          <w:sz w:val="24"/>
        </w:rPr>
        <w:t>21</w:t>
      </w:r>
      <w:r>
        <w:rPr>
          <w:rFonts w:hint="eastAsia"/>
          <w:sz w:val="24"/>
        </w:rPr>
        <w:t>条城市道路改造提升工程</w:t>
      </w:r>
      <w:r>
        <w:rPr>
          <w:rFonts w:hint="eastAsia"/>
          <w:sz w:val="24"/>
        </w:rPr>
        <w:t>PPP</w:t>
      </w:r>
      <w:r>
        <w:rPr>
          <w:rFonts w:hint="eastAsia"/>
          <w:sz w:val="24"/>
        </w:rPr>
        <w:t>项目（以下简称“海口</w:t>
      </w:r>
      <w:r>
        <w:rPr>
          <w:rFonts w:hint="eastAsia"/>
          <w:sz w:val="24"/>
        </w:rPr>
        <w:t>PPP</w:t>
      </w:r>
      <w:r>
        <w:rPr>
          <w:rFonts w:hint="eastAsia"/>
          <w:sz w:val="24"/>
        </w:rPr>
        <w:t>项目”）的施工，海口</w:t>
      </w:r>
      <w:proofErr w:type="gramStart"/>
      <w:r>
        <w:rPr>
          <w:rFonts w:hint="eastAsia"/>
          <w:sz w:val="24"/>
        </w:rPr>
        <w:t>市</w:t>
      </w:r>
      <w:proofErr w:type="gramEnd"/>
      <w:r>
        <w:rPr>
          <w:rFonts w:hint="eastAsia"/>
          <w:sz w:val="24"/>
        </w:rPr>
        <w:lastRenderedPageBreak/>
        <w:t>市政管理局为该</w:t>
      </w:r>
      <w:r>
        <w:rPr>
          <w:rFonts w:hint="eastAsia"/>
          <w:sz w:val="24"/>
        </w:rPr>
        <w:t>PPP</w:t>
      </w:r>
      <w:r>
        <w:rPr>
          <w:rFonts w:hint="eastAsia"/>
          <w:sz w:val="24"/>
        </w:rPr>
        <w:t>项目主管部门。由于项目施工期间遭遇多次停缓建，特别是征地、拆迁问题长期得不到解决，经公司多次协商后，各方同意对诸多子项目采取甩项处理，对已施工的</w:t>
      </w:r>
      <w:r>
        <w:rPr>
          <w:rFonts w:hint="eastAsia"/>
          <w:sz w:val="24"/>
        </w:rPr>
        <w:t>12</w:t>
      </w:r>
      <w:r>
        <w:rPr>
          <w:rFonts w:hint="eastAsia"/>
          <w:sz w:val="24"/>
        </w:rPr>
        <w:t>条道路陆续办理了竣工验收和移交工作。</w:t>
      </w:r>
    </w:p>
    <w:p w:rsidR="000D3334" w:rsidRDefault="000D3334" w:rsidP="000D3334">
      <w:pPr>
        <w:spacing w:beforeLines="50" w:before="120" w:line="360" w:lineRule="auto"/>
        <w:ind w:firstLineChars="200" w:firstLine="480"/>
        <w:rPr>
          <w:sz w:val="24"/>
        </w:rPr>
      </w:pPr>
      <w:r w:rsidRPr="00831628">
        <w:rPr>
          <w:rFonts w:hint="eastAsia"/>
          <w:sz w:val="24"/>
        </w:rPr>
        <w:t>由于项目一直未能启动决算审计，且项目公司</w:t>
      </w:r>
      <w:r w:rsidRPr="00817878">
        <w:rPr>
          <w:rFonts w:hint="eastAsia"/>
          <w:sz w:val="24"/>
        </w:rPr>
        <w:t>及其控股股东</w:t>
      </w:r>
      <w:r w:rsidRPr="00831628">
        <w:rPr>
          <w:rFonts w:hint="eastAsia"/>
          <w:sz w:val="24"/>
        </w:rPr>
        <w:t>存在经营异常的情况</w:t>
      </w:r>
      <w:r>
        <w:rPr>
          <w:rFonts w:hint="eastAsia"/>
          <w:sz w:val="24"/>
        </w:rPr>
        <w:t>，</w:t>
      </w:r>
      <w:r w:rsidRPr="00831628">
        <w:rPr>
          <w:rFonts w:hint="eastAsia"/>
          <w:sz w:val="24"/>
        </w:rPr>
        <w:t>截至</w:t>
      </w:r>
      <w:r w:rsidRPr="00831628">
        <w:rPr>
          <w:rFonts w:hint="eastAsia"/>
          <w:sz w:val="24"/>
        </w:rPr>
        <w:t>2024</w:t>
      </w:r>
      <w:r w:rsidRPr="00831628">
        <w:rPr>
          <w:rFonts w:hint="eastAsia"/>
          <w:sz w:val="24"/>
        </w:rPr>
        <w:t>年末，公司仍在积极推动项目决算审计工作，但由于政府单位部门调整、人员变更较多等原因，进展缓慢，基于谨慎性原则，结合公司实际完成工程量及累计收款情况，对于该笔应收账款单项计提坏账准备。</w:t>
      </w:r>
    </w:p>
    <w:p w:rsidR="000D3334" w:rsidRDefault="000D3334" w:rsidP="000D3334">
      <w:pPr>
        <w:spacing w:beforeLines="50" w:before="120" w:line="360" w:lineRule="auto"/>
        <w:ind w:firstLineChars="200" w:firstLine="482"/>
        <w:outlineLvl w:val="1"/>
        <w:rPr>
          <w:b/>
          <w:bCs/>
          <w:sz w:val="24"/>
        </w:rPr>
      </w:pPr>
      <w:r>
        <w:rPr>
          <w:rFonts w:hint="eastAsia"/>
          <w:b/>
          <w:bCs/>
          <w:sz w:val="24"/>
        </w:rPr>
        <w:t>（二）核实该客户与公司控股股东及关联方是否存在资金或业务往来</w:t>
      </w:r>
    </w:p>
    <w:p w:rsidR="000D3334" w:rsidRDefault="000D3334" w:rsidP="000D3334">
      <w:pPr>
        <w:spacing w:beforeLines="50" w:before="120" w:line="360" w:lineRule="auto"/>
        <w:ind w:firstLineChars="200" w:firstLine="480"/>
        <w:rPr>
          <w:sz w:val="24"/>
        </w:rPr>
      </w:pPr>
      <w:bookmarkStart w:id="12" w:name="OLE_LINK4"/>
      <w:r>
        <w:rPr>
          <w:rFonts w:hint="eastAsia"/>
          <w:sz w:val="24"/>
        </w:rPr>
        <w:t>经核实，客户海口海中城建项目管理公司系由</w:t>
      </w:r>
      <w:proofErr w:type="gramStart"/>
      <w:r>
        <w:rPr>
          <w:rFonts w:hint="eastAsia"/>
          <w:sz w:val="24"/>
        </w:rPr>
        <w:t>中福天工</w:t>
      </w:r>
      <w:proofErr w:type="gramEnd"/>
      <w:r>
        <w:rPr>
          <w:rFonts w:hint="eastAsia"/>
          <w:sz w:val="24"/>
        </w:rPr>
        <w:t>建设集团有限公司（持股</w:t>
      </w:r>
      <w:r>
        <w:rPr>
          <w:rFonts w:hint="eastAsia"/>
          <w:sz w:val="24"/>
        </w:rPr>
        <w:t>79%</w:t>
      </w:r>
      <w:r>
        <w:rPr>
          <w:rFonts w:hint="eastAsia"/>
          <w:sz w:val="24"/>
        </w:rPr>
        <w:t>，社会资本方，最终控股股东为中国老龄协会）、海口市建工集团有限公司（持股</w:t>
      </w:r>
      <w:r>
        <w:rPr>
          <w:rFonts w:hint="eastAsia"/>
          <w:sz w:val="24"/>
        </w:rPr>
        <w:t>20%</w:t>
      </w:r>
      <w:r>
        <w:rPr>
          <w:rFonts w:hint="eastAsia"/>
          <w:sz w:val="24"/>
        </w:rPr>
        <w:t>，政府方，最终控股股东为</w:t>
      </w:r>
      <w:r w:rsidRPr="001D2558">
        <w:rPr>
          <w:rFonts w:hint="eastAsia"/>
          <w:sz w:val="24"/>
        </w:rPr>
        <w:t>海口市国有资产监督管理委员会</w:t>
      </w:r>
      <w:r>
        <w:rPr>
          <w:rFonts w:hint="eastAsia"/>
          <w:sz w:val="24"/>
        </w:rPr>
        <w:t>）、本公司（持股</w:t>
      </w:r>
      <w:r>
        <w:rPr>
          <w:rFonts w:hint="eastAsia"/>
          <w:sz w:val="24"/>
        </w:rPr>
        <w:t>1%</w:t>
      </w:r>
      <w:r>
        <w:rPr>
          <w:rFonts w:hint="eastAsia"/>
          <w:sz w:val="24"/>
        </w:rPr>
        <w:t>）共同出资设立的</w:t>
      </w:r>
      <w:r>
        <w:rPr>
          <w:rFonts w:hint="eastAsia"/>
          <w:sz w:val="24"/>
        </w:rPr>
        <w:t>PPP</w:t>
      </w:r>
      <w:r>
        <w:rPr>
          <w:rFonts w:hint="eastAsia"/>
          <w:sz w:val="24"/>
        </w:rPr>
        <w:t>项目公司，专门负责海口</w:t>
      </w:r>
      <w:r>
        <w:rPr>
          <w:rFonts w:hint="eastAsia"/>
          <w:sz w:val="24"/>
        </w:rPr>
        <w:t>PPP</w:t>
      </w:r>
      <w:r>
        <w:rPr>
          <w:rFonts w:hint="eastAsia"/>
          <w:sz w:val="24"/>
        </w:rPr>
        <w:t>项目的</w:t>
      </w:r>
      <w:r w:rsidRPr="00F65449">
        <w:rPr>
          <w:rFonts w:hint="eastAsia"/>
          <w:sz w:val="24"/>
        </w:rPr>
        <w:t>融资、建设、运营和维护</w:t>
      </w:r>
      <w:r>
        <w:rPr>
          <w:rFonts w:hint="eastAsia"/>
          <w:sz w:val="24"/>
        </w:rPr>
        <w:t>工作，与公司控股股东及关联方无关联关系，不存在资金或业务往来。</w:t>
      </w:r>
    </w:p>
    <w:bookmarkEnd w:id="12"/>
    <w:p w:rsidR="000D3334" w:rsidRDefault="000D3334" w:rsidP="000D3334">
      <w:pPr>
        <w:spacing w:beforeLines="50" w:before="120" w:line="360" w:lineRule="auto"/>
        <w:ind w:firstLineChars="200" w:firstLine="482"/>
        <w:outlineLvl w:val="0"/>
        <w:rPr>
          <w:b/>
          <w:bCs/>
          <w:sz w:val="24"/>
        </w:rPr>
      </w:pPr>
      <w:r>
        <w:rPr>
          <w:rFonts w:hint="eastAsia"/>
          <w:b/>
          <w:bCs/>
          <w:sz w:val="24"/>
        </w:rPr>
        <w:t>四、年审会计师核查意见</w:t>
      </w:r>
    </w:p>
    <w:p w:rsidR="000D3334" w:rsidRDefault="000D3334" w:rsidP="000D3334">
      <w:pPr>
        <w:spacing w:beforeLines="50" w:before="120" w:line="360" w:lineRule="auto"/>
        <w:ind w:firstLineChars="200" w:firstLine="482"/>
        <w:outlineLvl w:val="1"/>
        <w:rPr>
          <w:b/>
          <w:bCs/>
          <w:sz w:val="24"/>
        </w:rPr>
      </w:pPr>
      <w:r>
        <w:rPr>
          <w:rFonts w:hint="eastAsia"/>
          <w:b/>
          <w:bCs/>
          <w:sz w:val="24"/>
        </w:rPr>
        <w:t>（一）核查程序</w:t>
      </w:r>
    </w:p>
    <w:p w:rsidR="000D3334" w:rsidRDefault="000D3334" w:rsidP="000D3334">
      <w:pPr>
        <w:spacing w:beforeLines="50" w:before="120" w:line="360" w:lineRule="auto"/>
        <w:ind w:firstLineChars="200" w:firstLine="480"/>
        <w:rPr>
          <w:sz w:val="24"/>
        </w:rPr>
      </w:pPr>
      <w:r>
        <w:rPr>
          <w:sz w:val="24"/>
        </w:rPr>
        <w:t>针对上述事项，</w:t>
      </w:r>
      <w:r>
        <w:rPr>
          <w:rFonts w:hint="eastAsia"/>
          <w:sz w:val="24"/>
        </w:rPr>
        <w:t>年审会计师</w:t>
      </w:r>
      <w:r>
        <w:rPr>
          <w:sz w:val="24"/>
        </w:rPr>
        <w:t>履行了以下核查程序：</w:t>
      </w:r>
    </w:p>
    <w:p w:rsidR="000D3334" w:rsidRDefault="000D3334" w:rsidP="000D3334">
      <w:pPr>
        <w:spacing w:beforeLines="50" w:before="120" w:line="360" w:lineRule="auto"/>
        <w:ind w:firstLineChars="200" w:firstLine="480"/>
        <w:rPr>
          <w:sz w:val="24"/>
        </w:rPr>
      </w:pPr>
      <w:r>
        <w:rPr>
          <w:rFonts w:hint="eastAsia"/>
          <w:sz w:val="24"/>
        </w:rPr>
        <w:t>1</w:t>
      </w:r>
      <w:r>
        <w:rPr>
          <w:rFonts w:hint="eastAsia"/>
          <w:sz w:val="24"/>
        </w:rPr>
        <w:t>、获取应收账款及合同资产明细表，检查关联方应收账款及合同资产欠款对象的名称、金额、形成背景、账龄、坏账计提情况等；</w:t>
      </w:r>
    </w:p>
    <w:p w:rsidR="000D3334" w:rsidRDefault="000D3334" w:rsidP="000D3334">
      <w:pPr>
        <w:spacing w:beforeLines="50" w:before="120" w:line="360" w:lineRule="auto"/>
        <w:ind w:firstLineChars="200" w:firstLine="480"/>
        <w:rPr>
          <w:sz w:val="24"/>
        </w:rPr>
      </w:pPr>
      <w:r>
        <w:rPr>
          <w:rFonts w:hint="eastAsia"/>
          <w:sz w:val="24"/>
        </w:rPr>
        <w:t>2</w:t>
      </w:r>
      <w:r>
        <w:rPr>
          <w:rFonts w:hint="eastAsia"/>
          <w:sz w:val="24"/>
        </w:rPr>
        <w:t>、询问了解公司与控股股东关联方开展关联交易的原因与必要性，检查公司关联交易相关的审议和披露公告；</w:t>
      </w:r>
    </w:p>
    <w:p w:rsidR="000D3334" w:rsidRDefault="000D3334" w:rsidP="000D3334">
      <w:pPr>
        <w:spacing w:beforeLines="50" w:before="120" w:line="360" w:lineRule="auto"/>
        <w:ind w:firstLineChars="200" w:firstLine="480"/>
        <w:rPr>
          <w:sz w:val="24"/>
        </w:rPr>
      </w:pPr>
      <w:r>
        <w:rPr>
          <w:rFonts w:hint="eastAsia"/>
          <w:sz w:val="24"/>
        </w:rPr>
        <w:t>3</w:t>
      </w:r>
      <w:r>
        <w:rPr>
          <w:rFonts w:hint="eastAsia"/>
          <w:sz w:val="24"/>
        </w:rPr>
        <w:t>、</w:t>
      </w:r>
      <w:r w:rsidRPr="00C1611F">
        <w:rPr>
          <w:rFonts w:hint="eastAsia"/>
          <w:sz w:val="24"/>
        </w:rPr>
        <w:t>了解并复核公司的坏账准备计提政策，判断相关会计处理是否符合《企业会计准则》的规定，是否与同行业可比公司相一致；</w:t>
      </w:r>
    </w:p>
    <w:p w:rsidR="000D3334" w:rsidRDefault="000D3334" w:rsidP="000D3334">
      <w:pPr>
        <w:spacing w:beforeLines="50" w:before="120" w:line="360" w:lineRule="auto"/>
        <w:ind w:firstLineChars="200" w:firstLine="480"/>
        <w:rPr>
          <w:sz w:val="24"/>
        </w:rPr>
      </w:pPr>
      <w:r>
        <w:rPr>
          <w:rFonts w:hint="eastAsia"/>
          <w:sz w:val="24"/>
        </w:rPr>
        <w:t>4</w:t>
      </w:r>
      <w:r>
        <w:rPr>
          <w:rFonts w:hint="eastAsia"/>
          <w:sz w:val="24"/>
        </w:rPr>
        <w:t>、了解公司对海口海中城建项目管理公司应收账款单项计提坏账的原因和项目背景，了解该客户与公司控股股东及关联方是否存在资金或业务往来。</w:t>
      </w:r>
    </w:p>
    <w:p w:rsidR="000D3334" w:rsidRDefault="000D3334" w:rsidP="000D3334">
      <w:pPr>
        <w:spacing w:beforeLines="50" w:before="120" w:line="360" w:lineRule="auto"/>
        <w:ind w:firstLineChars="200" w:firstLine="482"/>
        <w:outlineLvl w:val="1"/>
        <w:rPr>
          <w:b/>
          <w:bCs/>
          <w:sz w:val="24"/>
        </w:rPr>
      </w:pPr>
      <w:r>
        <w:rPr>
          <w:rFonts w:hint="eastAsia"/>
          <w:b/>
          <w:bCs/>
          <w:sz w:val="24"/>
        </w:rPr>
        <w:t>（二）核查意见</w:t>
      </w:r>
    </w:p>
    <w:p w:rsidR="000D3334" w:rsidRDefault="000D3334" w:rsidP="000D3334">
      <w:pPr>
        <w:spacing w:beforeLines="50" w:before="120" w:line="360" w:lineRule="auto"/>
        <w:ind w:firstLineChars="200" w:firstLine="480"/>
        <w:rPr>
          <w:sz w:val="24"/>
        </w:rPr>
      </w:pPr>
      <w:r>
        <w:rPr>
          <w:rFonts w:hint="eastAsia"/>
          <w:sz w:val="24"/>
        </w:rPr>
        <w:t>经核查，年审会计师认为：</w:t>
      </w:r>
    </w:p>
    <w:p w:rsidR="000D3334" w:rsidRDefault="000D3334" w:rsidP="000D3334">
      <w:pPr>
        <w:spacing w:beforeLines="50" w:before="120" w:line="360" w:lineRule="auto"/>
        <w:ind w:firstLineChars="200" w:firstLine="480"/>
        <w:rPr>
          <w:sz w:val="24"/>
        </w:rPr>
      </w:pPr>
      <w:r>
        <w:rPr>
          <w:rFonts w:hint="eastAsia"/>
          <w:sz w:val="24"/>
        </w:rPr>
        <w:lastRenderedPageBreak/>
        <w:t>1</w:t>
      </w:r>
      <w:r>
        <w:rPr>
          <w:rFonts w:hint="eastAsia"/>
          <w:sz w:val="24"/>
        </w:rPr>
        <w:t>、公司</w:t>
      </w:r>
      <w:r w:rsidRPr="00C1611F">
        <w:rPr>
          <w:rFonts w:hint="eastAsia"/>
          <w:sz w:val="24"/>
        </w:rPr>
        <w:t>相关关联交易审议程序合</w:t>
      </w:r>
      <w:proofErr w:type="gramStart"/>
      <w:r w:rsidRPr="00C1611F">
        <w:rPr>
          <w:rFonts w:hint="eastAsia"/>
          <w:sz w:val="24"/>
        </w:rPr>
        <w:t>规</w:t>
      </w:r>
      <w:proofErr w:type="gramEnd"/>
      <w:r w:rsidRPr="00C1611F">
        <w:rPr>
          <w:rFonts w:hint="eastAsia"/>
          <w:sz w:val="24"/>
        </w:rPr>
        <w:t>，</w:t>
      </w:r>
      <w:r>
        <w:rPr>
          <w:rFonts w:hint="eastAsia"/>
          <w:sz w:val="24"/>
        </w:rPr>
        <w:t>与控股股东关联方开展关联交易的原因系公司日常生产经营和业务延续的需要，交易遵循定价公允、公平的市场原则执行；</w:t>
      </w:r>
    </w:p>
    <w:p w:rsidR="000D3334" w:rsidRDefault="000D3334" w:rsidP="000D3334">
      <w:pPr>
        <w:spacing w:beforeLines="50" w:before="120" w:line="360" w:lineRule="auto"/>
        <w:ind w:firstLineChars="200" w:firstLine="480"/>
        <w:rPr>
          <w:sz w:val="24"/>
        </w:rPr>
      </w:pPr>
      <w:r>
        <w:rPr>
          <w:rFonts w:hint="eastAsia"/>
          <w:sz w:val="24"/>
        </w:rPr>
        <w:t>2</w:t>
      </w:r>
      <w:r>
        <w:rPr>
          <w:rFonts w:hint="eastAsia"/>
          <w:sz w:val="24"/>
        </w:rPr>
        <w:t>、公司针对关联方与非关联方采用的应收账款坏账准备计提方法是一致的，均按照整个存续期的预期信用损失计量损失准备，相关会计处理符合《企业会计准则》的规定，与同行业可比公司相一致；</w:t>
      </w:r>
    </w:p>
    <w:p w:rsidR="000D3334" w:rsidRDefault="000D3334" w:rsidP="000D3334">
      <w:pPr>
        <w:spacing w:beforeLines="50" w:before="120" w:line="360" w:lineRule="auto"/>
        <w:ind w:firstLineChars="200" w:firstLine="480"/>
        <w:rPr>
          <w:sz w:val="24"/>
        </w:rPr>
      </w:pPr>
      <w:r>
        <w:rPr>
          <w:rFonts w:hint="eastAsia"/>
          <w:sz w:val="24"/>
        </w:rPr>
        <w:t>3</w:t>
      </w:r>
      <w:r>
        <w:rPr>
          <w:rFonts w:hint="eastAsia"/>
          <w:sz w:val="24"/>
        </w:rPr>
        <w:t>、公司对海口城中城建项目管理公司应收账款单项计提大额坏账的原因主要系该笔应收账款预计收回存在不确定性；</w:t>
      </w:r>
      <w:r w:rsidRPr="00C1611F">
        <w:rPr>
          <w:rFonts w:hint="eastAsia"/>
          <w:sz w:val="24"/>
        </w:rPr>
        <w:t>经核实，客户海口海中城建项目管理公司与公司控股股东及关联方无关联关系，</w:t>
      </w:r>
      <w:r>
        <w:rPr>
          <w:rFonts w:hint="eastAsia"/>
          <w:sz w:val="24"/>
        </w:rPr>
        <w:t>从项目公司的股东性质以及项目业务背景角度，</w:t>
      </w:r>
      <w:r w:rsidRPr="00C1611F">
        <w:rPr>
          <w:rFonts w:hint="eastAsia"/>
          <w:sz w:val="24"/>
        </w:rPr>
        <w:t>不存在资金或业务往来。</w:t>
      </w:r>
    </w:p>
    <w:p w:rsidR="000D3334" w:rsidRDefault="000D3334" w:rsidP="000D3334">
      <w:pPr>
        <w:spacing w:beforeLines="50" w:before="120" w:line="360" w:lineRule="auto"/>
        <w:ind w:firstLineChars="200" w:firstLine="480"/>
        <w:rPr>
          <w:sz w:val="24"/>
        </w:rPr>
      </w:pPr>
    </w:p>
    <w:p w:rsidR="000D3334" w:rsidRDefault="000D3334" w:rsidP="000D3334">
      <w:pPr>
        <w:spacing w:beforeLines="50" w:before="120" w:line="360" w:lineRule="auto"/>
        <w:ind w:firstLineChars="200" w:firstLine="482"/>
        <w:outlineLvl w:val="0"/>
        <w:rPr>
          <w:b/>
          <w:bCs/>
          <w:sz w:val="24"/>
        </w:rPr>
      </w:pPr>
      <w:bookmarkStart w:id="13" w:name="_Toc168611966"/>
      <w:r>
        <w:rPr>
          <w:b/>
          <w:bCs/>
          <w:sz w:val="24"/>
        </w:rPr>
        <w:t>问题</w:t>
      </w:r>
      <w:r>
        <w:rPr>
          <w:b/>
          <w:bCs/>
          <w:sz w:val="24"/>
        </w:rPr>
        <w:t>3</w:t>
      </w:r>
      <w:r>
        <w:rPr>
          <w:b/>
          <w:bCs/>
          <w:sz w:val="24"/>
        </w:rPr>
        <w:t>、</w:t>
      </w:r>
      <w:bookmarkEnd w:id="13"/>
      <w:r>
        <w:rPr>
          <w:b/>
          <w:bCs/>
          <w:sz w:val="24"/>
        </w:rPr>
        <w:t>关于其他应收款</w:t>
      </w:r>
    </w:p>
    <w:p w:rsidR="000D3334" w:rsidRDefault="000D3334" w:rsidP="000D3334">
      <w:pPr>
        <w:spacing w:beforeLines="50" w:before="120" w:line="360" w:lineRule="auto"/>
        <w:ind w:firstLineChars="200" w:firstLine="482"/>
        <w:rPr>
          <w:b/>
          <w:bCs/>
          <w:sz w:val="24"/>
        </w:rPr>
      </w:pPr>
      <w:r>
        <w:rPr>
          <w:b/>
          <w:bCs/>
          <w:sz w:val="24"/>
        </w:rPr>
        <w:t>年报显示，公司其他应收款期末余额</w:t>
      </w:r>
      <w:r>
        <w:rPr>
          <w:b/>
          <w:bCs/>
          <w:sz w:val="24"/>
        </w:rPr>
        <w:t>2.86</w:t>
      </w:r>
      <w:r>
        <w:rPr>
          <w:b/>
          <w:bCs/>
          <w:sz w:val="24"/>
        </w:rPr>
        <w:t>亿元，计提坏账</w:t>
      </w:r>
      <w:r>
        <w:rPr>
          <w:b/>
          <w:bCs/>
          <w:sz w:val="24"/>
        </w:rPr>
        <w:t>6733.30</w:t>
      </w:r>
      <w:r>
        <w:rPr>
          <w:b/>
          <w:bCs/>
          <w:sz w:val="24"/>
        </w:rPr>
        <w:t>万元。其中，公司对关联方其他应收款期末余额约</w:t>
      </w:r>
      <w:r>
        <w:rPr>
          <w:b/>
          <w:bCs/>
          <w:sz w:val="24"/>
        </w:rPr>
        <w:t>2986.75</w:t>
      </w:r>
      <w:r>
        <w:rPr>
          <w:b/>
          <w:bCs/>
          <w:sz w:val="24"/>
        </w:rPr>
        <w:t>万元，主要为履约保证金。此外，</w:t>
      </w:r>
      <w:r>
        <w:rPr>
          <w:b/>
          <w:bCs/>
          <w:sz w:val="24"/>
        </w:rPr>
        <w:t>2024</w:t>
      </w:r>
      <w:r>
        <w:rPr>
          <w:b/>
          <w:bCs/>
          <w:sz w:val="24"/>
        </w:rPr>
        <w:t>年期间公司发生对关联方因代收代付农民工工资形成的其他应收款</w:t>
      </w:r>
      <w:r>
        <w:rPr>
          <w:b/>
          <w:bCs/>
          <w:sz w:val="24"/>
        </w:rPr>
        <w:t>620</w:t>
      </w:r>
      <w:r>
        <w:rPr>
          <w:b/>
          <w:bCs/>
          <w:sz w:val="24"/>
        </w:rPr>
        <w:t>万元。请公司补充披露：（</w:t>
      </w:r>
      <w:r>
        <w:rPr>
          <w:b/>
          <w:bCs/>
          <w:sz w:val="24"/>
        </w:rPr>
        <w:t>1</w:t>
      </w:r>
      <w:r>
        <w:rPr>
          <w:b/>
          <w:bCs/>
          <w:sz w:val="24"/>
        </w:rPr>
        <w:t>）列示前十大欠款方的名称、款项性质、金额、具体账龄结构、减值计提金额，并核实是否与公司及控股股东存在关联关系或其他利益安排；（</w:t>
      </w:r>
      <w:r>
        <w:rPr>
          <w:b/>
          <w:bCs/>
          <w:sz w:val="24"/>
        </w:rPr>
        <w:t>2</w:t>
      </w:r>
      <w:r>
        <w:rPr>
          <w:b/>
          <w:bCs/>
          <w:sz w:val="24"/>
        </w:rPr>
        <w:t>）列示公司对关联方（含期末余额为</w:t>
      </w:r>
      <w:r>
        <w:rPr>
          <w:b/>
          <w:bCs/>
          <w:sz w:val="24"/>
        </w:rPr>
        <w:t>0</w:t>
      </w:r>
      <w:r>
        <w:rPr>
          <w:b/>
          <w:bCs/>
          <w:sz w:val="24"/>
        </w:rPr>
        <w:t>但期间有发生额）其他应收款的欠款方名称、交易背景、金额、坏账计提、期后回款情况等，说明相关关联交易是否履行了必要的审议程序与信息披露义务，对于账龄超过</w:t>
      </w:r>
      <w:r>
        <w:rPr>
          <w:b/>
          <w:bCs/>
          <w:sz w:val="24"/>
        </w:rPr>
        <w:t>1</w:t>
      </w:r>
      <w:r>
        <w:rPr>
          <w:b/>
          <w:bCs/>
          <w:sz w:val="24"/>
        </w:rPr>
        <w:t>年的其他应收</w:t>
      </w:r>
      <w:proofErr w:type="gramStart"/>
      <w:r>
        <w:rPr>
          <w:b/>
          <w:bCs/>
          <w:sz w:val="24"/>
        </w:rPr>
        <w:t>款说明关联方尚未</w:t>
      </w:r>
      <w:proofErr w:type="gramEnd"/>
      <w:r>
        <w:rPr>
          <w:b/>
          <w:bCs/>
          <w:sz w:val="24"/>
        </w:rPr>
        <w:t>回款的原因，核实是否存在</w:t>
      </w:r>
      <w:proofErr w:type="gramStart"/>
      <w:r>
        <w:rPr>
          <w:b/>
          <w:bCs/>
          <w:sz w:val="24"/>
        </w:rPr>
        <w:t>潜在资金</w:t>
      </w:r>
      <w:proofErr w:type="gramEnd"/>
      <w:r>
        <w:rPr>
          <w:b/>
          <w:bCs/>
          <w:sz w:val="24"/>
        </w:rPr>
        <w:t>占用的情况。请年审会计师发表意见。</w:t>
      </w:r>
    </w:p>
    <w:p w:rsidR="000D3334" w:rsidRDefault="000D3334" w:rsidP="000D3334">
      <w:pPr>
        <w:spacing w:beforeLines="50" w:before="120" w:line="360" w:lineRule="auto"/>
        <w:ind w:firstLineChars="200" w:firstLine="482"/>
        <w:outlineLvl w:val="0"/>
        <w:rPr>
          <w:b/>
          <w:bCs/>
          <w:sz w:val="24"/>
        </w:rPr>
      </w:pPr>
      <w:bookmarkStart w:id="14" w:name="_Hlk198905144"/>
      <w:r>
        <w:rPr>
          <w:b/>
          <w:bCs/>
          <w:sz w:val="24"/>
        </w:rPr>
        <w:t>回复</w:t>
      </w:r>
      <w:r>
        <w:rPr>
          <w:rFonts w:hint="eastAsia"/>
          <w:b/>
          <w:bCs/>
          <w:sz w:val="24"/>
        </w:rPr>
        <w:t>：</w:t>
      </w:r>
    </w:p>
    <w:p w:rsidR="000D3334" w:rsidRDefault="000D3334" w:rsidP="000D3334">
      <w:pPr>
        <w:spacing w:beforeLines="50" w:before="120" w:line="360" w:lineRule="auto"/>
        <w:ind w:firstLineChars="200" w:firstLine="482"/>
        <w:outlineLvl w:val="0"/>
        <w:rPr>
          <w:b/>
          <w:bCs/>
          <w:sz w:val="24"/>
        </w:rPr>
      </w:pPr>
      <w:r>
        <w:rPr>
          <w:rFonts w:hint="eastAsia"/>
          <w:b/>
          <w:bCs/>
          <w:sz w:val="24"/>
        </w:rPr>
        <w:t>一、</w:t>
      </w:r>
      <w:r>
        <w:rPr>
          <w:b/>
          <w:bCs/>
          <w:sz w:val="24"/>
        </w:rPr>
        <w:t>列示前十大欠款方的名称、款项性质、金额、具体账龄结构、减值计提金额，并核实是否与公司及控股股东存在关联关系或其他利益安排</w:t>
      </w:r>
    </w:p>
    <w:p w:rsidR="000D3334" w:rsidRPr="00226B3B" w:rsidRDefault="000D3334" w:rsidP="000D3334">
      <w:pPr>
        <w:spacing w:beforeLines="50" w:before="120" w:line="360" w:lineRule="auto"/>
        <w:ind w:firstLineChars="200" w:firstLine="480"/>
        <w:rPr>
          <w:sz w:val="24"/>
        </w:rPr>
      </w:pPr>
      <w:r w:rsidRPr="00226B3B">
        <w:rPr>
          <w:rFonts w:hint="eastAsia"/>
          <w:sz w:val="24"/>
        </w:rPr>
        <w:t>2024</w:t>
      </w:r>
      <w:r w:rsidRPr="00226B3B">
        <w:rPr>
          <w:rFonts w:hint="eastAsia"/>
          <w:sz w:val="24"/>
        </w:rPr>
        <w:t>年末，公司其他</w:t>
      </w:r>
      <w:proofErr w:type="gramStart"/>
      <w:r w:rsidRPr="00226B3B">
        <w:rPr>
          <w:rFonts w:hint="eastAsia"/>
          <w:sz w:val="24"/>
        </w:rPr>
        <w:t>应收款前十</w:t>
      </w:r>
      <w:proofErr w:type="gramEnd"/>
      <w:r w:rsidRPr="00226B3B">
        <w:rPr>
          <w:rFonts w:hint="eastAsia"/>
          <w:sz w:val="24"/>
        </w:rPr>
        <w:t>大欠款</w:t>
      </w:r>
      <w:proofErr w:type="gramStart"/>
      <w:r w:rsidRPr="00226B3B">
        <w:rPr>
          <w:rFonts w:hint="eastAsia"/>
          <w:sz w:val="24"/>
        </w:rPr>
        <w:t>方具体</w:t>
      </w:r>
      <w:proofErr w:type="gramEnd"/>
      <w:r w:rsidRPr="00226B3B">
        <w:rPr>
          <w:rFonts w:hint="eastAsia"/>
          <w:sz w:val="24"/>
        </w:rPr>
        <w:t>情况如下表所示：</w:t>
      </w:r>
    </w:p>
    <w:bookmarkEnd w:id="14"/>
    <w:p w:rsidR="000D3334" w:rsidRDefault="000D3334" w:rsidP="000D3334">
      <w:pPr>
        <w:spacing w:beforeLines="50" w:before="120" w:line="360" w:lineRule="auto"/>
        <w:jc w:val="right"/>
        <w:rPr>
          <w:sz w:val="24"/>
        </w:rPr>
        <w:sectPr w:rsidR="000D3334" w:rsidSect="00F3634B">
          <w:headerReference w:type="default" r:id="rId10"/>
          <w:footerReference w:type="default" r:id="rId11"/>
          <w:pgSz w:w="11906" w:h="16838"/>
          <w:pgMar w:top="1814" w:right="1418" w:bottom="1418" w:left="1701" w:header="851" w:footer="850" w:gutter="0"/>
          <w:pgNumType w:start="9"/>
          <w:cols w:space="425"/>
          <w:titlePg/>
          <w:docGrid w:linePitch="312"/>
        </w:sectPr>
      </w:pPr>
    </w:p>
    <w:p w:rsidR="000D3334" w:rsidRDefault="000D3334" w:rsidP="000D3334">
      <w:pPr>
        <w:spacing w:beforeLines="50" w:before="120"/>
        <w:ind w:firstLineChars="200" w:firstLine="420"/>
        <w:jc w:val="right"/>
        <w:rPr>
          <w:bCs/>
          <w:szCs w:val="21"/>
        </w:rPr>
      </w:pPr>
      <w:r>
        <w:rPr>
          <w:rFonts w:hint="eastAsia"/>
          <w:bCs/>
          <w:szCs w:val="21"/>
        </w:rPr>
        <w:lastRenderedPageBreak/>
        <w:t>单位：万元</w:t>
      </w:r>
    </w:p>
    <w:tbl>
      <w:tblPr>
        <w:tblStyle w:val="a9"/>
        <w:tblW w:w="14459"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2410"/>
        <w:gridCol w:w="1276"/>
        <w:gridCol w:w="1134"/>
        <w:gridCol w:w="1134"/>
        <w:gridCol w:w="992"/>
        <w:gridCol w:w="851"/>
        <w:gridCol w:w="992"/>
        <w:gridCol w:w="992"/>
        <w:gridCol w:w="1134"/>
        <w:gridCol w:w="992"/>
        <w:gridCol w:w="709"/>
        <w:gridCol w:w="1276"/>
      </w:tblGrid>
      <w:tr w:rsidR="000D3334" w:rsidTr="00F3634B">
        <w:trPr>
          <w:trHeight w:val="454"/>
          <w:tblHeader/>
        </w:trPr>
        <w:tc>
          <w:tcPr>
            <w:tcW w:w="567"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序号</w:t>
            </w:r>
          </w:p>
        </w:tc>
        <w:tc>
          <w:tcPr>
            <w:tcW w:w="2410"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单位名称</w:t>
            </w:r>
          </w:p>
        </w:tc>
        <w:tc>
          <w:tcPr>
            <w:tcW w:w="1276"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款项性质</w:t>
            </w:r>
          </w:p>
        </w:tc>
        <w:tc>
          <w:tcPr>
            <w:tcW w:w="1134"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期末余额</w:t>
            </w:r>
          </w:p>
        </w:tc>
        <w:tc>
          <w:tcPr>
            <w:tcW w:w="6095" w:type="dxa"/>
            <w:gridSpan w:val="6"/>
            <w:shd w:val="clear" w:color="auto" w:fill="D9D9D9" w:themeFill="background1" w:themeFillShade="D9"/>
            <w:vAlign w:val="center"/>
          </w:tcPr>
          <w:p w:rsidR="000D3334" w:rsidRDefault="000D3334" w:rsidP="00F3634B">
            <w:pPr>
              <w:adjustRightInd w:val="0"/>
              <w:jc w:val="center"/>
              <w:rPr>
                <w:b/>
                <w:bCs/>
                <w:szCs w:val="21"/>
              </w:rPr>
            </w:pPr>
            <w:r>
              <w:rPr>
                <w:b/>
                <w:bCs/>
                <w:szCs w:val="21"/>
              </w:rPr>
              <w:t>账</w:t>
            </w:r>
            <w:proofErr w:type="gramStart"/>
            <w:r>
              <w:rPr>
                <w:b/>
                <w:bCs/>
                <w:szCs w:val="21"/>
              </w:rPr>
              <w:t>龄结构</w:t>
            </w:r>
            <w:proofErr w:type="gramEnd"/>
          </w:p>
        </w:tc>
        <w:tc>
          <w:tcPr>
            <w:tcW w:w="992"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坏账</w:t>
            </w:r>
            <w:proofErr w:type="gramStart"/>
            <w:r>
              <w:rPr>
                <w:b/>
                <w:bCs/>
                <w:szCs w:val="21"/>
              </w:rPr>
              <w:t>准备余额</w:t>
            </w:r>
            <w:proofErr w:type="gramEnd"/>
          </w:p>
        </w:tc>
        <w:tc>
          <w:tcPr>
            <w:tcW w:w="709" w:type="dxa"/>
            <w:vMerge w:val="restart"/>
            <w:shd w:val="clear" w:color="auto" w:fill="D9D9D9" w:themeFill="background1" w:themeFillShade="D9"/>
            <w:vAlign w:val="center"/>
          </w:tcPr>
          <w:p w:rsidR="000D3334" w:rsidRDefault="000D3334" w:rsidP="00F3634B">
            <w:pPr>
              <w:adjustRightInd w:val="0"/>
              <w:jc w:val="center"/>
              <w:rPr>
                <w:b/>
                <w:bCs/>
                <w:szCs w:val="21"/>
              </w:rPr>
            </w:pPr>
            <w:r>
              <w:rPr>
                <w:b/>
                <w:bCs/>
                <w:szCs w:val="21"/>
              </w:rPr>
              <w:t>是否为关联方</w:t>
            </w:r>
          </w:p>
        </w:tc>
        <w:tc>
          <w:tcPr>
            <w:tcW w:w="1276" w:type="dxa"/>
            <w:vMerge w:val="restart"/>
            <w:shd w:val="clear" w:color="auto" w:fill="D9D9D9" w:themeFill="background1" w:themeFillShade="D9"/>
            <w:vAlign w:val="center"/>
          </w:tcPr>
          <w:p w:rsidR="000D3334" w:rsidRDefault="000D3334" w:rsidP="00F3634B">
            <w:pPr>
              <w:adjustRightInd w:val="0"/>
              <w:jc w:val="center"/>
              <w:rPr>
                <w:b/>
                <w:bCs/>
                <w:szCs w:val="21"/>
              </w:rPr>
            </w:pPr>
            <w:r>
              <w:rPr>
                <w:rFonts w:hint="eastAsia"/>
                <w:b/>
                <w:bCs/>
                <w:szCs w:val="21"/>
              </w:rPr>
              <w:t>未收回原因</w:t>
            </w:r>
          </w:p>
        </w:tc>
      </w:tr>
      <w:tr w:rsidR="000D3334" w:rsidTr="00F3634B">
        <w:trPr>
          <w:trHeight w:val="454"/>
          <w:tblHeader/>
        </w:trPr>
        <w:tc>
          <w:tcPr>
            <w:tcW w:w="567" w:type="dxa"/>
            <w:vMerge/>
            <w:shd w:val="clear" w:color="auto" w:fill="D9D9D9" w:themeFill="background1" w:themeFillShade="D9"/>
            <w:vAlign w:val="center"/>
          </w:tcPr>
          <w:p w:rsidR="000D3334" w:rsidRDefault="000D3334" w:rsidP="00F3634B">
            <w:pPr>
              <w:widowControl/>
              <w:spacing w:before="120"/>
              <w:jc w:val="center"/>
              <w:textAlignment w:val="top"/>
              <w:rPr>
                <w:b/>
                <w:bCs/>
                <w:szCs w:val="21"/>
              </w:rPr>
            </w:pPr>
          </w:p>
        </w:tc>
        <w:tc>
          <w:tcPr>
            <w:tcW w:w="2410" w:type="dxa"/>
            <w:vMerge/>
            <w:shd w:val="clear" w:color="auto" w:fill="D9D9D9" w:themeFill="background1" w:themeFillShade="D9"/>
            <w:vAlign w:val="center"/>
          </w:tcPr>
          <w:p w:rsidR="000D3334" w:rsidRDefault="000D3334" w:rsidP="00F3634B">
            <w:pPr>
              <w:widowControl/>
              <w:spacing w:before="120"/>
              <w:jc w:val="center"/>
              <w:textAlignment w:val="top"/>
              <w:rPr>
                <w:b/>
                <w:bCs/>
                <w:szCs w:val="21"/>
              </w:rPr>
            </w:pPr>
          </w:p>
        </w:tc>
        <w:tc>
          <w:tcPr>
            <w:tcW w:w="1276" w:type="dxa"/>
            <w:vMerge/>
            <w:shd w:val="clear" w:color="auto" w:fill="D9D9D9" w:themeFill="background1" w:themeFillShade="D9"/>
            <w:vAlign w:val="center"/>
          </w:tcPr>
          <w:p w:rsidR="000D3334" w:rsidRDefault="000D3334" w:rsidP="00F3634B">
            <w:pPr>
              <w:widowControl/>
              <w:spacing w:before="120"/>
              <w:jc w:val="center"/>
              <w:textAlignment w:val="top"/>
              <w:rPr>
                <w:b/>
                <w:bCs/>
                <w:szCs w:val="21"/>
              </w:rPr>
            </w:pPr>
          </w:p>
        </w:tc>
        <w:tc>
          <w:tcPr>
            <w:tcW w:w="1134" w:type="dxa"/>
            <w:vMerge/>
            <w:shd w:val="clear" w:color="auto" w:fill="D9D9D9" w:themeFill="background1" w:themeFillShade="D9"/>
            <w:vAlign w:val="center"/>
          </w:tcPr>
          <w:p w:rsidR="000D3334" w:rsidRDefault="000D3334" w:rsidP="00F3634B">
            <w:pPr>
              <w:widowControl/>
              <w:spacing w:before="120"/>
              <w:jc w:val="center"/>
              <w:textAlignment w:val="top"/>
              <w:rPr>
                <w:b/>
                <w:bCs/>
                <w:szCs w:val="21"/>
              </w:rPr>
            </w:pPr>
          </w:p>
        </w:tc>
        <w:tc>
          <w:tcPr>
            <w:tcW w:w="1134"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1</w:t>
            </w:r>
            <w:r>
              <w:rPr>
                <w:b/>
                <w:bCs/>
                <w:szCs w:val="21"/>
              </w:rPr>
              <w:t>年以内</w:t>
            </w:r>
          </w:p>
        </w:tc>
        <w:tc>
          <w:tcPr>
            <w:tcW w:w="992"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1-2</w:t>
            </w:r>
            <w:r>
              <w:rPr>
                <w:b/>
                <w:bCs/>
                <w:szCs w:val="21"/>
              </w:rPr>
              <w:t>年</w:t>
            </w:r>
          </w:p>
        </w:tc>
        <w:tc>
          <w:tcPr>
            <w:tcW w:w="851"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2-3</w:t>
            </w:r>
            <w:r>
              <w:rPr>
                <w:b/>
                <w:bCs/>
                <w:szCs w:val="21"/>
              </w:rPr>
              <w:t>年</w:t>
            </w:r>
          </w:p>
        </w:tc>
        <w:tc>
          <w:tcPr>
            <w:tcW w:w="992"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3-4</w:t>
            </w:r>
            <w:r>
              <w:rPr>
                <w:b/>
                <w:bCs/>
                <w:szCs w:val="21"/>
              </w:rPr>
              <w:t>年</w:t>
            </w:r>
          </w:p>
        </w:tc>
        <w:tc>
          <w:tcPr>
            <w:tcW w:w="992"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4-5</w:t>
            </w:r>
            <w:r>
              <w:rPr>
                <w:b/>
                <w:bCs/>
                <w:szCs w:val="21"/>
              </w:rPr>
              <w:t>年</w:t>
            </w:r>
          </w:p>
        </w:tc>
        <w:tc>
          <w:tcPr>
            <w:tcW w:w="1134" w:type="dxa"/>
            <w:shd w:val="clear" w:color="auto" w:fill="D9D9D9" w:themeFill="background1" w:themeFillShade="D9"/>
            <w:vAlign w:val="center"/>
          </w:tcPr>
          <w:p w:rsidR="000D3334" w:rsidRDefault="000D3334" w:rsidP="00F3634B">
            <w:pPr>
              <w:adjustRightInd w:val="0"/>
              <w:jc w:val="center"/>
              <w:rPr>
                <w:b/>
                <w:bCs/>
                <w:szCs w:val="21"/>
              </w:rPr>
            </w:pPr>
            <w:r>
              <w:rPr>
                <w:b/>
                <w:bCs/>
                <w:szCs w:val="21"/>
              </w:rPr>
              <w:t>5</w:t>
            </w:r>
            <w:r>
              <w:rPr>
                <w:b/>
                <w:bCs/>
                <w:szCs w:val="21"/>
              </w:rPr>
              <w:t>年以上</w:t>
            </w:r>
          </w:p>
        </w:tc>
        <w:tc>
          <w:tcPr>
            <w:tcW w:w="992" w:type="dxa"/>
            <w:vMerge/>
            <w:shd w:val="clear" w:color="auto" w:fill="D9D9D9" w:themeFill="background1" w:themeFillShade="D9"/>
            <w:vAlign w:val="center"/>
          </w:tcPr>
          <w:p w:rsidR="000D3334" w:rsidRDefault="000D3334" w:rsidP="00F3634B">
            <w:pPr>
              <w:widowControl/>
              <w:spacing w:before="120"/>
              <w:jc w:val="center"/>
              <w:textAlignment w:val="top"/>
              <w:rPr>
                <w:b/>
                <w:bCs/>
                <w:color w:val="000000"/>
                <w:szCs w:val="21"/>
              </w:rPr>
            </w:pPr>
          </w:p>
        </w:tc>
        <w:tc>
          <w:tcPr>
            <w:tcW w:w="709" w:type="dxa"/>
            <w:vMerge/>
            <w:shd w:val="clear" w:color="auto" w:fill="D9D9D9" w:themeFill="background1" w:themeFillShade="D9"/>
            <w:vAlign w:val="center"/>
          </w:tcPr>
          <w:p w:rsidR="000D3334" w:rsidRDefault="000D3334" w:rsidP="00F3634B">
            <w:pPr>
              <w:widowControl/>
              <w:spacing w:before="120"/>
              <w:jc w:val="center"/>
              <w:textAlignment w:val="top"/>
              <w:rPr>
                <w:b/>
                <w:bCs/>
                <w:color w:val="000000"/>
                <w:szCs w:val="21"/>
              </w:rPr>
            </w:pPr>
          </w:p>
        </w:tc>
        <w:tc>
          <w:tcPr>
            <w:tcW w:w="1276" w:type="dxa"/>
            <w:vMerge/>
            <w:shd w:val="clear" w:color="auto" w:fill="D9D9D9" w:themeFill="background1" w:themeFillShade="D9"/>
          </w:tcPr>
          <w:p w:rsidR="000D3334" w:rsidRDefault="000D3334" w:rsidP="00F3634B">
            <w:pPr>
              <w:widowControl/>
              <w:spacing w:before="120"/>
              <w:jc w:val="center"/>
              <w:textAlignment w:val="top"/>
              <w:rPr>
                <w:b/>
                <w:bCs/>
                <w:color w:val="000000"/>
                <w:szCs w:val="21"/>
              </w:rPr>
            </w:pP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1</w:t>
            </w:r>
          </w:p>
        </w:tc>
        <w:tc>
          <w:tcPr>
            <w:tcW w:w="2410" w:type="dxa"/>
            <w:vAlign w:val="center"/>
          </w:tcPr>
          <w:p w:rsidR="000D3334" w:rsidRDefault="000D3334" w:rsidP="00F3634B">
            <w:pPr>
              <w:widowControl/>
              <w:rPr>
                <w:color w:val="000000"/>
                <w:szCs w:val="21"/>
              </w:rPr>
            </w:pPr>
            <w:r>
              <w:rPr>
                <w:color w:val="000000"/>
                <w:szCs w:val="21"/>
              </w:rPr>
              <w:t>凤台县和</w:t>
            </w:r>
            <w:proofErr w:type="gramStart"/>
            <w:r>
              <w:rPr>
                <w:color w:val="000000"/>
                <w:szCs w:val="21"/>
              </w:rPr>
              <w:t>瑞资产</w:t>
            </w:r>
            <w:proofErr w:type="gramEnd"/>
            <w:r>
              <w:rPr>
                <w:color w:val="000000"/>
                <w:szCs w:val="21"/>
              </w:rPr>
              <w:t>运营管理有限公司</w:t>
            </w:r>
          </w:p>
        </w:tc>
        <w:tc>
          <w:tcPr>
            <w:tcW w:w="1276" w:type="dxa"/>
            <w:vAlign w:val="center"/>
          </w:tcPr>
          <w:p w:rsidR="000D3334" w:rsidRDefault="000D3334" w:rsidP="00F3634B">
            <w:pPr>
              <w:widowControl/>
              <w:rPr>
                <w:color w:val="000000"/>
                <w:szCs w:val="21"/>
              </w:rPr>
            </w:pPr>
            <w:r>
              <w:rPr>
                <w:color w:val="000000"/>
                <w:szCs w:val="21"/>
              </w:rPr>
              <w:t>其他保证金</w:t>
            </w:r>
          </w:p>
        </w:tc>
        <w:tc>
          <w:tcPr>
            <w:tcW w:w="1134" w:type="dxa"/>
            <w:vAlign w:val="center"/>
          </w:tcPr>
          <w:p w:rsidR="000D3334" w:rsidRDefault="000D3334" w:rsidP="00F3634B">
            <w:pPr>
              <w:widowControl/>
              <w:jc w:val="right"/>
              <w:rPr>
                <w:color w:val="000000"/>
                <w:szCs w:val="21"/>
              </w:rPr>
            </w:pPr>
            <w:r>
              <w:rPr>
                <w:color w:val="000000"/>
                <w:szCs w:val="21"/>
              </w:rPr>
              <w:t>7,916.89</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7,916.89</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475.01</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项目在建中</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2</w:t>
            </w:r>
          </w:p>
        </w:tc>
        <w:tc>
          <w:tcPr>
            <w:tcW w:w="2410" w:type="dxa"/>
            <w:vAlign w:val="center"/>
          </w:tcPr>
          <w:p w:rsidR="000D3334" w:rsidRDefault="000D3334" w:rsidP="00F3634B">
            <w:pPr>
              <w:widowControl/>
              <w:rPr>
                <w:color w:val="000000"/>
                <w:szCs w:val="21"/>
              </w:rPr>
            </w:pPr>
            <w:r>
              <w:rPr>
                <w:color w:val="000000"/>
                <w:szCs w:val="21"/>
              </w:rPr>
              <w:t>五河县新型城镇化建设投资有限公司</w:t>
            </w:r>
          </w:p>
        </w:tc>
        <w:tc>
          <w:tcPr>
            <w:tcW w:w="1276" w:type="dxa"/>
            <w:vAlign w:val="center"/>
          </w:tcPr>
          <w:p w:rsidR="000D3334" w:rsidRDefault="000D3334" w:rsidP="00F3634B">
            <w:pPr>
              <w:widowControl/>
              <w:rPr>
                <w:color w:val="000000"/>
                <w:szCs w:val="21"/>
              </w:rPr>
            </w:pPr>
            <w:r>
              <w:rPr>
                <w:color w:val="000000"/>
                <w:szCs w:val="21"/>
              </w:rPr>
              <w:t>其他保证金</w:t>
            </w:r>
          </w:p>
        </w:tc>
        <w:tc>
          <w:tcPr>
            <w:tcW w:w="1134" w:type="dxa"/>
            <w:vAlign w:val="center"/>
          </w:tcPr>
          <w:p w:rsidR="000D3334" w:rsidRDefault="000D3334" w:rsidP="00F3634B">
            <w:pPr>
              <w:widowControl/>
              <w:jc w:val="right"/>
              <w:rPr>
                <w:color w:val="000000"/>
                <w:szCs w:val="21"/>
              </w:rPr>
            </w:pPr>
            <w:r>
              <w:rPr>
                <w:color w:val="000000"/>
                <w:szCs w:val="21"/>
              </w:rPr>
              <w:t>3,291.00</w:t>
            </w:r>
          </w:p>
        </w:tc>
        <w:tc>
          <w:tcPr>
            <w:tcW w:w="1134" w:type="dxa"/>
            <w:vAlign w:val="center"/>
          </w:tcPr>
          <w:p w:rsidR="000D3334" w:rsidRDefault="000D3334" w:rsidP="00F3634B">
            <w:pPr>
              <w:widowControl/>
              <w:jc w:val="right"/>
              <w:rPr>
                <w:color w:val="000000"/>
                <w:szCs w:val="21"/>
              </w:rPr>
            </w:pPr>
            <w:r>
              <w:rPr>
                <w:color w:val="000000"/>
                <w:szCs w:val="21"/>
              </w:rPr>
              <w:t>3,291.00</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98.73</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项目已完工，审计未完成</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3</w:t>
            </w:r>
          </w:p>
        </w:tc>
        <w:tc>
          <w:tcPr>
            <w:tcW w:w="2410" w:type="dxa"/>
            <w:vAlign w:val="center"/>
          </w:tcPr>
          <w:p w:rsidR="000D3334" w:rsidRDefault="000D3334" w:rsidP="00F3634B">
            <w:pPr>
              <w:widowControl/>
              <w:rPr>
                <w:color w:val="000000"/>
                <w:szCs w:val="21"/>
              </w:rPr>
            </w:pPr>
            <w:r>
              <w:rPr>
                <w:color w:val="000000"/>
                <w:szCs w:val="21"/>
              </w:rPr>
              <w:t>泰富建设工程（蚌埠）有限公司</w:t>
            </w:r>
          </w:p>
        </w:tc>
        <w:tc>
          <w:tcPr>
            <w:tcW w:w="1276" w:type="dxa"/>
            <w:vAlign w:val="center"/>
          </w:tcPr>
          <w:p w:rsidR="000D3334" w:rsidRDefault="000D3334" w:rsidP="00F3634B">
            <w:pPr>
              <w:widowControl/>
              <w:rPr>
                <w:color w:val="000000"/>
                <w:szCs w:val="21"/>
              </w:rPr>
            </w:pPr>
            <w:r>
              <w:rPr>
                <w:color w:val="000000"/>
                <w:szCs w:val="21"/>
              </w:rPr>
              <w:t>履约</w:t>
            </w:r>
            <w:r>
              <w:rPr>
                <w:rFonts w:hint="eastAsia"/>
                <w:color w:val="000000"/>
                <w:szCs w:val="21"/>
              </w:rPr>
              <w:t>保证</w:t>
            </w:r>
            <w:r>
              <w:rPr>
                <w:color w:val="000000"/>
                <w:szCs w:val="21"/>
              </w:rPr>
              <w:t>金</w:t>
            </w:r>
          </w:p>
        </w:tc>
        <w:tc>
          <w:tcPr>
            <w:tcW w:w="1134" w:type="dxa"/>
            <w:vAlign w:val="center"/>
          </w:tcPr>
          <w:p w:rsidR="000D3334" w:rsidRDefault="000D3334" w:rsidP="00F3634B">
            <w:pPr>
              <w:widowControl/>
              <w:jc w:val="right"/>
              <w:rPr>
                <w:color w:val="000000"/>
                <w:szCs w:val="21"/>
              </w:rPr>
            </w:pPr>
            <w:r>
              <w:rPr>
                <w:color w:val="000000"/>
                <w:szCs w:val="21"/>
              </w:rPr>
              <w:t>2,919.95</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2,919.95</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2,919.95</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客户违约，已通过诉讼主张</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4</w:t>
            </w:r>
          </w:p>
        </w:tc>
        <w:tc>
          <w:tcPr>
            <w:tcW w:w="2410" w:type="dxa"/>
            <w:vAlign w:val="center"/>
          </w:tcPr>
          <w:p w:rsidR="000D3334" w:rsidRDefault="000D3334" w:rsidP="00F3634B">
            <w:pPr>
              <w:widowControl/>
              <w:rPr>
                <w:color w:val="000000"/>
                <w:szCs w:val="21"/>
              </w:rPr>
            </w:pPr>
            <w:r>
              <w:rPr>
                <w:color w:val="000000"/>
                <w:szCs w:val="21"/>
              </w:rPr>
              <w:t>合肥祥瀚房地产开发有限公司</w:t>
            </w:r>
          </w:p>
        </w:tc>
        <w:tc>
          <w:tcPr>
            <w:tcW w:w="1276" w:type="dxa"/>
            <w:vAlign w:val="center"/>
          </w:tcPr>
          <w:p w:rsidR="000D3334" w:rsidRDefault="000D3334" w:rsidP="00F3634B">
            <w:pPr>
              <w:widowControl/>
              <w:rPr>
                <w:color w:val="000000"/>
                <w:szCs w:val="21"/>
              </w:rPr>
            </w:pPr>
            <w:r>
              <w:rPr>
                <w:color w:val="000000"/>
                <w:szCs w:val="21"/>
              </w:rPr>
              <w:t>履约</w:t>
            </w:r>
            <w:r>
              <w:rPr>
                <w:rFonts w:hint="eastAsia"/>
                <w:color w:val="000000"/>
                <w:szCs w:val="21"/>
              </w:rPr>
              <w:t>保证</w:t>
            </w:r>
            <w:r>
              <w:rPr>
                <w:color w:val="000000"/>
                <w:szCs w:val="21"/>
              </w:rPr>
              <w:t>金</w:t>
            </w:r>
          </w:p>
        </w:tc>
        <w:tc>
          <w:tcPr>
            <w:tcW w:w="1134" w:type="dxa"/>
            <w:vAlign w:val="center"/>
          </w:tcPr>
          <w:p w:rsidR="000D3334" w:rsidRDefault="000D3334" w:rsidP="00F3634B">
            <w:pPr>
              <w:widowControl/>
              <w:jc w:val="right"/>
              <w:rPr>
                <w:color w:val="000000"/>
                <w:szCs w:val="21"/>
              </w:rPr>
            </w:pPr>
            <w:r>
              <w:rPr>
                <w:color w:val="000000"/>
                <w:szCs w:val="21"/>
              </w:rPr>
              <w:t>1,886.75</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1,886.75</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56.60</w:t>
            </w:r>
          </w:p>
        </w:tc>
        <w:tc>
          <w:tcPr>
            <w:tcW w:w="709" w:type="dxa"/>
            <w:vAlign w:val="center"/>
          </w:tcPr>
          <w:p w:rsidR="000D3334" w:rsidRDefault="000D3334" w:rsidP="00F3634B">
            <w:pPr>
              <w:jc w:val="center"/>
              <w:rPr>
                <w:color w:val="000000"/>
                <w:szCs w:val="21"/>
              </w:rPr>
            </w:pPr>
            <w:r>
              <w:rPr>
                <w:color w:val="000000"/>
                <w:szCs w:val="21"/>
              </w:rPr>
              <w:t>是</w:t>
            </w:r>
          </w:p>
        </w:tc>
        <w:tc>
          <w:tcPr>
            <w:tcW w:w="1276" w:type="dxa"/>
            <w:vAlign w:val="center"/>
          </w:tcPr>
          <w:p w:rsidR="000D3334" w:rsidRDefault="000D3334" w:rsidP="00F3634B">
            <w:pPr>
              <w:rPr>
                <w:color w:val="000000"/>
                <w:szCs w:val="21"/>
              </w:rPr>
            </w:pPr>
            <w:r>
              <w:rPr>
                <w:rFonts w:hint="eastAsia"/>
                <w:color w:val="000000"/>
                <w:szCs w:val="21"/>
              </w:rPr>
              <w:t>项目在建中</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5</w:t>
            </w:r>
          </w:p>
        </w:tc>
        <w:tc>
          <w:tcPr>
            <w:tcW w:w="2410" w:type="dxa"/>
            <w:vAlign w:val="center"/>
          </w:tcPr>
          <w:p w:rsidR="000D3334" w:rsidRDefault="000D3334" w:rsidP="00F3634B">
            <w:pPr>
              <w:widowControl/>
              <w:rPr>
                <w:color w:val="000000"/>
                <w:szCs w:val="21"/>
              </w:rPr>
            </w:pPr>
            <w:r>
              <w:rPr>
                <w:color w:val="000000"/>
                <w:szCs w:val="21"/>
              </w:rPr>
              <w:t>河北建设集团股份有限公司</w:t>
            </w:r>
          </w:p>
        </w:tc>
        <w:tc>
          <w:tcPr>
            <w:tcW w:w="1276" w:type="dxa"/>
            <w:vAlign w:val="center"/>
          </w:tcPr>
          <w:p w:rsidR="000D3334" w:rsidRDefault="000D3334" w:rsidP="00F3634B">
            <w:pPr>
              <w:widowControl/>
              <w:rPr>
                <w:color w:val="000000"/>
                <w:szCs w:val="21"/>
              </w:rPr>
            </w:pPr>
            <w:r>
              <w:rPr>
                <w:rFonts w:hint="eastAsia"/>
                <w:color w:val="000000"/>
                <w:szCs w:val="21"/>
              </w:rPr>
              <w:t>其他</w:t>
            </w:r>
            <w:r>
              <w:rPr>
                <w:color w:val="000000"/>
                <w:szCs w:val="21"/>
              </w:rPr>
              <w:t>保证金</w:t>
            </w:r>
          </w:p>
        </w:tc>
        <w:tc>
          <w:tcPr>
            <w:tcW w:w="1134" w:type="dxa"/>
            <w:vAlign w:val="center"/>
          </w:tcPr>
          <w:p w:rsidR="000D3334" w:rsidRDefault="000D3334" w:rsidP="00F3634B">
            <w:pPr>
              <w:widowControl/>
              <w:jc w:val="right"/>
              <w:rPr>
                <w:color w:val="000000"/>
                <w:szCs w:val="21"/>
              </w:rPr>
            </w:pPr>
            <w:r>
              <w:rPr>
                <w:color w:val="000000"/>
                <w:szCs w:val="21"/>
              </w:rPr>
              <w:t>1,650.00</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1,650.00</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1,155.00</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已于期后收回</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6</w:t>
            </w:r>
          </w:p>
        </w:tc>
        <w:tc>
          <w:tcPr>
            <w:tcW w:w="2410" w:type="dxa"/>
            <w:vAlign w:val="center"/>
          </w:tcPr>
          <w:p w:rsidR="000D3334" w:rsidRDefault="000D3334" w:rsidP="00F3634B">
            <w:pPr>
              <w:widowControl/>
              <w:rPr>
                <w:color w:val="000000"/>
                <w:szCs w:val="21"/>
              </w:rPr>
            </w:pPr>
            <w:r>
              <w:rPr>
                <w:color w:val="000000"/>
                <w:szCs w:val="21"/>
              </w:rPr>
              <w:t>中国中铁股份有限公司</w:t>
            </w:r>
          </w:p>
        </w:tc>
        <w:tc>
          <w:tcPr>
            <w:tcW w:w="1276" w:type="dxa"/>
            <w:vAlign w:val="center"/>
          </w:tcPr>
          <w:p w:rsidR="000D3334" w:rsidRDefault="000D3334" w:rsidP="00F3634B">
            <w:pPr>
              <w:widowControl/>
              <w:rPr>
                <w:color w:val="000000"/>
                <w:szCs w:val="21"/>
              </w:rPr>
            </w:pPr>
            <w:r>
              <w:rPr>
                <w:color w:val="000000"/>
                <w:szCs w:val="21"/>
              </w:rPr>
              <w:t>往来款</w:t>
            </w:r>
          </w:p>
        </w:tc>
        <w:tc>
          <w:tcPr>
            <w:tcW w:w="1134" w:type="dxa"/>
            <w:vAlign w:val="center"/>
          </w:tcPr>
          <w:p w:rsidR="000D3334" w:rsidRDefault="000D3334" w:rsidP="00F3634B">
            <w:pPr>
              <w:widowControl/>
              <w:jc w:val="right"/>
              <w:rPr>
                <w:color w:val="000000"/>
                <w:szCs w:val="21"/>
              </w:rPr>
            </w:pPr>
            <w:r>
              <w:rPr>
                <w:color w:val="000000"/>
                <w:szCs w:val="21"/>
              </w:rPr>
              <w:t>1,441.45</w:t>
            </w:r>
          </w:p>
        </w:tc>
        <w:tc>
          <w:tcPr>
            <w:tcW w:w="1134" w:type="dxa"/>
            <w:vAlign w:val="center"/>
          </w:tcPr>
          <w:p w:rsidR="000D3334" w:rsidRDefault="000D3334" w:rsidP="00F3634B">
            <w:pPr>
              <w:widowControl/>
              <w:jc w:val="right"/>
              <w:rPr>
                <w:color w:val="000000"/>
                <w:szCs w:val="21"/>
              </w:rPr>
            </w:pPr>
            <w:r>
              <w:rPr>
                <w:color w:val="000000"/>
                <w:szCs w:val="21"/>
              </w:rPr>
              <w:t>1,441.45</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43.24</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工程牵头方代收代付农民工工资</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7</w:t>
            </w:r>
          </w:p>
        </w:tc>
        <w:tc>
          <w:tcPr>
            <w:tcW w:w="2410" w:type="dxa"/>
            <w:vAlign w:val="center"/>
          </w:tcPr>
          <w:p w:rsidR="000D3334" w:rsidRDefault="000D3334" w:rsidP="00F3634B">
            <w:pPr>
              <w:widowControl/>
              <w:rPr>
                <w:color w:val="000000"/>
                <w:szCs w:val="21"/>
              </w:rPr>
            </w:pPr>
            <w:r>
              <w:rPr>
                <w:color w:val="000000"/>
                <w:szCs w:val="21"/>
              </w:rPr>
              <w:t>阜南县城北</w:t>
            </w:r>
            <w:proofErr w:type="gramStart"/>
            <w:r>
              <w:rPr>
                <w:color w:val="000000"/>
                <w:szCs w:val="21"/>
              </w:rPr>
              <w:t>祥</w:t>
            </w:r>
            <w:proofErr w:type="gramEnd"/>
            <w:r>
              <w:rPr>
                <w:color w:val="000000"/>
                <w:szCs w:val="21"/>
              </w:rPr>
              <w:t>源房地产开发有限公司</w:t>
            </w:r>
          </w:p>
        </w:tc>
        <w:tc>
          <w:tcPr>
            <w:tcW w:w="1276" w:type="dxa"/>
            <w:vAlign w:val="center"/>
          </w:tcPr>
          <w:p w:rsidR="000D3334" w:rsidRDefault="000D3334" w:rsidP="00F3634B">
            <w:pPr>
              <w:widowControl/>
              <w:rPr>
                <w:color w:val="000000"/>
                <w:szCs w:val="21"/>
              </w:rPr>
            </w:pPr>
            <w:r>
              <w:rPr>
                <w:color w:val="000000"/>
                <w:szCs w:val="21"/>
              </w:rPr>
              <w:t>履约</w:t>
            </w:r>
            <w:r>
              <w:rPr>
                <w:rFonts w:hint="eastAsia"/>
                <w:color w:val="000000"/>
                <w:szCs w:val="21"/>
              </w:rPr>
              <w:t>保证</w:t>
            </w:r>
            <w:r>
              <w:rPr>
                <w:color w:val="000000"/>
                <w:szCs w:val="21"/>
              </w:rPr>
              <w:t>金</w:t>
            </w:r>
          </w:p>
        </w:tc>
        <w:tc>
          <w:tcPr>
            <w:tcW w:w="1134" w:type="dxa"/>
            <w:vAlign w:val="center"/>
          </w:tcPr>
          <w:p w:rsidR="000D3334" w:rsidRDefault="000D3334" w:rsidP="00F3634B">
            <w:pPr>
              <w:widowControl/>
              <w:jc w:val="right"/>
              <w:rPr>
                <w:color w:val="000000"/>
                <w:szCs w:val="21"/>
              </w:rPr>
            </w:pPr>
            <w:r>
              <w:rPr>
                <w:color w:val="000000"/>
                <w:szCs w:val="21"/>
              </w:rPr>
              <w:t>1,100.00</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1,100.00</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33.00</w:t>
            </w:r>
          </w:p>
        </w:tc>
        <w:tc>
          <w:tcPr>
            <w:tcW w:w="709" w:type="dxa"/>
            <w:vAlign w:val="center"/>
          </w:tcPr>
          <w:p w:rsidR="000D3334" w:rsidRDefault="000D3334" w:rsidP="00F3634B">
            <w:pPr>
              <w:jc w:val="center"/>
              <w:rPr>
                <w:color w:val="000000"/>
                <w:szCs w:val="21"/>
              </w:rPr>
            </w:pPr>
            <w:r>
              <w:rPr>
                <w:color w:val="000000"/>
                <w:szCs w:val="21"/>
              </w:rPr>
              <w:t>是</w:t>
            </w:r>
          </w:p>
        </w:tc>
        <w:tc>
          <w:tcPr>
            <w:tcW w:w="1276" w:type="dxa"/>
            <w:vAlign w:val="center"/>
          </w:tcPr>
          <w:p w:rsidR="000D3334" w:rsidRDefault="000D3334" w:rsidP="00F3634B">
            <w:pPr>
              <w:rPr>
                <w:color w:val="000000"/>
                <w:szCs w:val="21"/>
              </w:rPr>
            </w:pPr>
            <w:r>
              <w:rPr>
                <w:rFonts w:hint="eastAsia"/>
                <w:color w:val="000000"/>
                <w:szCs w:val="21"/>
              </w:rPr>
              <w:t>项目在建中</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8</w:t>
            </w:r>
          </w:p>
        </w:tc>
        <w:tc>
          <w:tcPr>
            <w:tcW w:w="2410" w:type="dxa"/>
            <w:vAlign w:val="center"/>
          </w:tcPr>
          <w:p w:rsidR="000D3334" w:rsidRDefault="000D3334" w:rsidP="00F3634B">
            <w:pPr>
              <w:widowControl/>
              <w:rPr>
                <w:color w:val="000000"/>
                <w:szCs w:val="21"/>
              </w:rPr>
            </w:pPr>
            <w:r>
              <w:rPr>
                <w:color w:val="000000"/>
                <w:szCs w:val="21"/>
              </w:rPr>
              <w:t>安徽鹿鸣置业有限公司</w:t>
            </w:r>
          </w:p>
        </w:tc>
        <w:tc>
          <w:tcPr>
            <w:tcW w:w="1276" w:type="dxa"/>
            <w:vAlign w:val="center"/>
          </w:tcPr>
          <w:p w:rsidR="000D3334" w:rsidRDefault="000D3334" w:rsidP="00F3634B">
            <w:pPr>
              <w:widowControl/>
              <w:rPr>
                <w:color w:val="000000"/>
                <w:szCs w:val="21"/>
              </w:rPr>
            </w:pPr>
            <w:r>
              <w:rPr>
                <w:color w:val="000000"/>
                <w:szCs w:val="21"/>
              </w:rPr>
              <w:t>履约</w:t>
            </w:r>
            <w:r>
              <w:rPr>
                <w:rFonts w:hint="eastAsia"/>
                <w:color w:val="000000"/>
                <w:szCs w:val="21"/>
              </w:rPr>
              <w:t>保证</w:t>
            </w:r>
            <w:r>
              <w:rPr>
                <w:color w:val="000000"/>
                <w:szCs w:val="21"/>
              </w:rPr>
              <w:t>金</w:t>
            </w:r>
          </w:p>
        </w:tc>
        <w:tc>
          <w:tcPr>
            <w:tcW w:w="1134" w:type="dxa"/>
            <w:vAlign w:val="center"/>
          </w:tcPr>
          <w:p w:rsidR="000D3334" w:rsidRDefault="000D3334" w:rsidP="00F3634B">
            <w:pPr>
              <w:widowControl/>
              <w:jc w:val="right"/>
              <w:rPr>
                <w:color w:val="000000"/>
                <w:szCs w:val="21"/>
              </w:rPr>
            </w:pPr>
            <w:r>
              <w:rPr>
                <w:color w:val="000000"/>
                <w:szCs w:val="21"/>
              </w:rPr>
              <w:t>1,000.00</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1,000.00</w:t>
            </w:r>
          </w:p>
        </w:tc>
        <w:tc>
          <w:tcPr>
            <w:tcW w:w="992" w:type="dxa"/>
            <w:vAlign w:val="center"/>
          </w:tcPr>
          <w:p w:rsidR="000D3334" w:rsidRDefault="000D3334" w:rsidP="00F3634B">
            <w:pPr>
              <w:widowControl/>
              <w:jc w:val="right"/>
              <w:rPr>
                <w:color w:val="000000"/>
                <w:szCs w:val="21"/>
              </w:rPr>
            </w:pPr>
            <w:r>
              <w:rPr>
                <w:color w:val="000000"/>
                <w:szCs w:val="21"/>
              </w:rPr>
              <w:t>1,000.00</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客户违约，收购前</w:t>
            </w:r>
            <w:proofErr w:type="gramStart"/>
            <w:r>
              <w:rPr>
                <w:rFonts w:hint="eastAsia"/>
                <w:color w:val="000000"/>
                <w:szCs w:val="21"/>
              </w:rPr>
              <w:t>交建建筑</w:t>
            </w:r>
            <w:proofErr w:type="gramEnd"/>
            <w:r>
              <w:rPr>
                <w:rFonts w:hint="eastAsia"/>
                <w:color w:val="000000"/>
                <w:szCs w:val="21"/>
              </w:rPr>
              <w:t>已全额计提坏账</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9</w:t>
            </w:r>
          </w:p>
        </w:tc>
        <w:tc>
          <w:tcPr>
            <w:tcW w:w="2410" w:type="dxa"/>
            <w:vAlign w:val="center"/>
          </w:tcPr>
          <w:p w:rsidR="000D3334" w:rsidRDefault="000D3334" w:rsidP="00F3634B">
            <w:pPr>
              <w:widowControl/>
              <w:rPr>
                <w:color w:val="000000"/>
                <w:szCs w:val="21"/>
              </w:rPr>
            </w:pPr>
            <w:r>
              <w:rPr>
                <w:color w:val="000000"/>
                <w:szCs w:val="21"/>
              </w:rPr>
              <w:t>界首市劳动保障监察执法大队</w:t>
            </w:r>
          </w:p>
        </w:tc>
        <w:tc>
          <w:tcPr>
            <w:tcW w:w="1276" w:type="dxa"/>
            <w:vAlign w:val="center"/>
          </w:tcPr>
          <w:p w:rsidR="000D3334" w:rsidRDefault="000D3334" w:rsidP="00F3634B">
            <w:pPr>
              <w:widowControl/>
              <w:rPr>
                <w:color w:val="000000"/>
                <w:szCs w:val="21"/>
              </w:rPr>
            </w:pPr>
            <w:r>
              <w:rPr>
                <w:color w:val="000000"/>
                <w:szCs w:val="21"/>
              </w:rPr>
              <w:t>农民工保障金</w:t>
            </w:r>
          </w:p>
        </w:tc>
        <w:tc>
          <w:tcPr>
            <w:tcW w:w="1134" w:type="dxa"/>
            <w:vAlign w:val="center"/>
          </w:tcPr>
          <w:p w:rsidR="000D3334" w:rsidRDefault="000D3334" w:rsidP="00F3634B">
            <w:pPr>
              <w:widowControl/>
              <w:jc w:val="right"/>
              <w:rPr>
                <w:color w:val="000000"/>
                <w:szCs w:val="21"/>
              </w:rPr>
            </w:pPr>
            <w:r>
              <w:rPr>
                <w:color w:val="000000"/>
                <w:szCs w:val="21"/>
              </w:rPr>
              <w:t>500.00</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300.00</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200.00</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98.00</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项目在建中</w:t>
            </w:r>
          </w:p>
        </w:tc>
      </w:tr>
      <w:tr w:rsidR="000D3334" w:rsidTr="00F3634B">
        <w:trPr>
          <w:trHeight w:val="454"/>
        </w:trPr>
        <w:tc>
          <w:tcPr>
            <w:tcW w:w="567" w:type="dxa"/>
            <w:vAlign w:val="center"/>
          </w:tcPr>
          <w:p w:rsidR="000D3334" w:rsidRDefault="000D3334" w:rsidP="00F3634B">
            <w:pPr>
              <w:widowControl/>
              <w:jc w:val="center"/>
              <w:rPr>
                <w:color w:val="000000"/>
                <w:szCs w:val="21"/>
              </w:rPr>
            </w:pPr>
            <w:r>
              <w:rPr>
                <w:color w:val="000000"/>
                <w:szCs w:val="21"/>
              </w:rPr>
              <w:t>10</w:t>
            </w:r>
          </w:p>
        </w:tc>
        <w:tc>
          <w:tcPr>
            <w:tcW w:w="2410" w:type="dxa"/>
            <w:vAlign w:val="center"/>
          </w:tcPr>
          <w:p w:rsidR="000D3334" w:rsidRDefault="000D3334" w:rsidP="00F3634B">
            <w:pPr>
              <w:widowControl/>
              <w:rPr>
                <w:color w:val="000000"/>
                <w:szCs w:val="21"/>
              </w:rPr>
            </w:pPr>
            <w:r>
              <w:rPr>
                <w:color w:val="000000"/>
                <w:szCs w:val="21"/>
              </w:rPr>
              <w:t>重庆市黔江区</w:t>
            </w:r>
            <w:proofErr w:type="gramStart"/>
            <w:r>
              <w:rPr>
                <w:color w:val="000000"/>
                <w:szCs w:val="21"/>
              </w:rPr>
              <w:t>安畅交通</w:t>
            </w:r>
            <w:proofErr w:type="gramEnd"/>
            <w:r>
              <w:rPr>
                <w:color w:val="000000"/>
                <w:szCs w:val="21"/>
              </w:rPr>
              <w:t>建设开发有限责任公司</w:t>
            </w:r>
          </w:p>
        </w:tc>
        <w:tc>
          <w:tcPr>
            <w:tcW w:w="1276" w:type="dxa"/>
            <w:vAlign w:val="center"/>
          </w:tcPr>
          <w:p w:rsidR="000D3334" w:rsidRDefault="000D3334" w:rsidP="00F3634B">
            <w:pPr>
              <w:widowControl/>
              <w:rPr>
                <w:color w:val="000000"/>
                <w:szCs w:val="21"/>
              </w:rPr>
            </w:pPr>
            <w:r>
              <w:rPr>
                <w:color w:val="000000"/>
                <w:szCs w:val="21"/>
              </w:rPr>
              <w:t>履约</w:t>
            </w:r>
            <w:r>
              <w:rPr>
                <w:rFonts w:hint="eastAsia"/>
                <w:color w:val="000000"/>
                <w:szCs w:val="21"/>
              </w:rPr>
              <w:t>保证</w:t>
            </w:r>
            <w:r>
              <w:rPr>
                <w:color w:val="000000"/>
                <w:szCs w:val="21"/>
              </w:rPr>
              <w:t>金</w:t>
            </w:r>
          </w:p>
        </w:tc>
        <w:tc>
          <w:tcPr>
            <w:tcW w:w="1134" w:type="dxa"/>
            <w:vAlign w:val="center"/>
          </w:tcPr>
          <w:p w:rsidR="000D3334" w:rsidRDefault="000D3334" w:rsidP="00F3634B">
            <w:pPr>
              <w:widowControl/>
              <w:jc w:val="right"/>
              <w:rPr>
                <w:color w:val="000000"/>
                <w:szCs w:val="21"/>
              </w:rPr>
            </w:pPr>
            <w:r>
              <w:rPr>
                <w:color w:val="000000"/>
                <w:szCs w:val="21"/>
              </w:rPr>
              <w:t>452.53</w:t>
            </w:r>
          </w:p>
        </w:tc>
        <w:tc>
          <w:tcPr>
            <w:tcW w:w="1134" w:type="dxa"/>
            <w:vAlign w:val="center"/>
          </w:tcPr>
          <w:p w:rsidR="000D3334" w:rsidRDefault="000D3334" w:rsidP="00F3634B">
            <w:pPr>
              <w:widowControl/>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w:t>
            </w:r>
          </w:p>
        </w:tc>
        <w:tc>
          <w:tcPr>
            <w:tcW w:w="851"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jc w:val="right"/>
              <w:rPr>
                <w:color w:val="000000"/>
                <w:szCs w:val="21"/>
              </w:rPr>
            </w:pPr>
            <w:r>
              <w:rPr>
                <w:color w:val="000000"/>
                <w:szCs w:val="21"/>
              </w:rPr>
              <w:t>452.53</w:t>
            </w:r>
          </w:p>
        </w:tc>
        <w:tc>
          <w:tcPr>
            <w:tcW w:w="992" w:type="dxa"/>
            <w:vAlign w:val="center"/>
          </w:tcPr>
          <w:p w:rsidR="000D3334" w:rsidRDefault="000D3334" w:rsidP="00F3634B">
            <w:pPr>
              <w:jc w:val="right"/>
              <w:rPr>
                <w:color w:val="000000"/>
                <w:szCs w:val="21"/>
              </w:rPr>
            </w:pPr>
            <w:r>
              <w:rPr>
                <w:color w:val="000000"/>
                <w:szCs w:val="21"/>
              </w:rPr>
              <w:t>-</w:t>
            </w:r>
          </w:p>
        </w:tc>
        <w:tc>
          <w:tcPr>
            <w:tcW w:w="1134" w:type="dxa"/>
            <w:vAlign w:val="center"/>
          </w:tcPr>
          <w:p w:rsidR="000D3334" w:rsidRDefault="000D3334" w:rsidP="00F3634B">
            <w:pPr>
              <w:jc w:val="right"/>
              <w:rPr>
                <w:color w:val="000000"/>
                <w:szCs w:val="21"/>
              </w:rPr>
            </w:pPr>
            <w:r>
              <w:rPr>
                <w:color w:val="000000"/>
                <w:szCs w:val="21"/>
              </w:rPr>
              <w:t>-</w:t>
            </w:r>
          </w:p>
        </w:tc>
        <w:tc>
          <w:tcPr>
            <w:tcW w:w="992" w:type="dxa"/>
            <w:vAlign w:val="center"/>
          </w:tcPr>
          <w:p w:rsidR="000D3334" w:rsidRDefault="000D3334" w:rsidP="00F3634B">
            <w:pPr>
              <w:widowControl/>
              <w:jc w:val="right"/>
              <w:rPr>
                <w:color w:val="000000"/>
                <w:szCs w:val="21"/>
              </w:rPr>
            </w:pPr>
            <w:r>
              <w:rPr>
                <w:color w:val="000000"/>
                <w:szCs w:val="21"/>
              </w:rPr>
              <w:t>13.58</w:t>
            </w:r>
          </w:p>
        </w:tc>
        <w:tc>
          <w:tcPr>
            <w:tcW w:w="709" w:type="dxa"/>
            <w:vAlign w:val="center"/>
          </w:tcPr>
          <w:p w:rsidR="000D3334" w:rsidRDefault="000D3334" w:rsidP="00F3634B">
            <w:pPr>
              <w:jc w:val="center"/>
              <w:rPr>
                <w:color w:val="000000"/>
                <w:szCs w:val="21"/>
              </w:rPr>
            </w:pPr>
            <w:r>
              <w:rPr>
                <w:color w:val="000000"/>
                <w:szCs w:val="21"/>
              </w:rPr>
              <w:t>否</w:t>
            </w:r>
          </w:p>
        </w:tc>
        <w:tc>
          <w:tcPr>
            <w:tcW w:w="1276" w:type="dxa"/>
            <w:vAlign w:val="center"/>
          </w:tcPr>
          <w:p w:rsidR="000D3334" w:rsidRDefault="000D3334" w:rsidP="00F3634B">
            <w:pPr>
              <w:rPr>
                <w:color w:val="000000"/>
                <w:szCs w:val="21"/>
              </w:rPr>
            </w:pPr>
            <w:r>
              <w:rPr>
                <w:rFonts w:hint="eastAsia"/>
                <w:color w:val="000000"/>
                <w:szCs w:val="21"/>
              </w:rPr>
              <w:t>项目在建中</w:t>
            </w:r>
          </w:p>
        </w:tc>
      </w:tr>
    </w:tbl>
    <w:p w:rsidR="000D3334" w:rsidRDefault="000D3334" w:rsidP="000D3334">
      <w:pPr>
        <w:spacing w:beforeLines="50" w:before="120" w:line="360" w:lineRule="auto"/>
        <w:ind w:firstLineChars="100" w:firstLine="241"/>
        <w:outlineLvl w:val="1"/>
        <w:rPr>
          <w:b/>
          <w:bCs/>
          <w:sz w:val="24"/>
        </w:rPr>
        <w:sectPr w:rsidR="000D3334">
          <w:pgSz w:w="16838" w:h="11906" w:orient="landscape"/>
          <w:pgMar w:top="1814" w:right="1418" w:bottom="1418" w:left="1701" w:header="850" w:footer="992" w:gutter="0"/>
          <w:cols w:space="425"/>
          <w:docGrid w:linePitch="312"/>
        </w:sectPr>
      </w:pPr>
    </w:p>
    <w:p w:rsidR="000D3334" w:rsidRDefault="000D3334" w:rsidP="000D3334">
      <w:pPr>
        <w:spacing w:beforeLines="50" w:before="156" w:line="360" w:lineRule="auto"/>
        <w:ind w:firstLineChars="200" w:firstLine="480"/>
        <w:rPr>
          <w:sz w:val="24"/>
        </w:rPr>
      </w:pPr>
      <w:r>
        <w:rPr>
          <w:rFonts w:hint="eastAsia"/>
          <w:sz w:val="24"/>
        </w:rPr>
        <w:lastRenderedPageBreak/>
        <w:t>如上表所示，</w:t>
      </w:r>
      <w:r>
        <w:rPr>
          <w:sz w:val="24"/>
        </w:rPr>
        <w:t>合肥祥瀚房地产开发有限公司、阜南县城北</w:t>
      </w:r>
      <w:proofErr w:type="gramStart"/>
      <w:r>
        <w:rPr>
          <w:sz w:val="24"/>
        </w:rPr>
        <w:t>祥</w:t>
      </w:r>
      <w:proofErr w:type="gramEnd"/>
      <w:r>
        <w:rPr>
          <w:sz w:val="24"/>
        </w:rPr>
        <w:t>源房地产开发有限公司为</w:t>
      </w:r>
      <w:r>
        <w:rPr>
          <w:rFonts w:hint="eastAsia"/>
          <w:sz w:val="24"/>
        </w:rPr>
        <w:t>公司控股股东下属公司，与公司及控股股东存在关联关系，相关款项为履约保证金，不存在其他利益安排。除此以外，其他欠款方与公司及控股股东不存在关联关系及</w:t>
      </w:r>
      <w:r w:rsidRPr="008D3755">
        <w:rPr>
          <w:rFonts w:hint="eastAsia"/>
          <w:sz w:val="24"/>
        </w:rPr>
        <w:t>其他利益安排</w:t>
      </w:r>
      <w:r>
        <w:rPr>
          <w:rFonts w:hint="eastAsia"/>
          <w:sz w:val="24"/>
        </w:rPr>
        <w:t>。</w:t>
      </w:r>
    </w:p>
    <w:p w:rsidR="000D3334" w:rsidRDefault="000D3334" w:rsidP="000D3334">
      <w:pPr>
        <w:spacing w:beforeLines="50" w:before="156" w:line="360" w:lineRule="auto"/>
        <w:ind w:firstLineChars="200" w:firstLine="482"/>
        <w:outlineLvl w:val="0"/>
        <w:rPr>
          <w:b/>
          <w:bCs/>
          <w:sz w:val="24"/>
        </w:rPr>
      </w:pPr>
      <w:r>
        <w:rPr>
          <w:b/>
          <w:bCs/>
          <w:sz w:val="24"/>
        </w:rPr>
        <w:t>二、列示公司对关联方（含期末余额为</w:t>
      </w:r>
      <w:r>
        <w:rPr>
          <w:b/>
          <w:bCs/>
          <w:sz w:val="24"/>
        </w:rPr>
        <w:t>0</w:t>
      </w:r>
      <w:r>
        <w:rPr>
          <w:b/>
          <w:bCs/>
          <w:sz w:val="24"/>
        </w:rPr>
        <w:t>但期间有发生额）其他应收款的欠款方名称、交易背景、金额、坏账计提、期后回款情况等，说明相关关联交易是否履行了必要的审议程序与信息披露义务，对于账龄超过</w:t>
      </w:r>
      <w:r>
        <w:rPr>
          <w:b/>
          <w:bCs/>
          <w:sz w:val="24"/>
        </w:rPr>
        <w:t>1</w:t>
      </w:r>
      <w:r>
        <w:rPr>
          <w:b/>
          <w:bCs/>
          <w:sz w:val="24"/>
        </w:rPr>
        <w:t>年的其他应收</w:t>
      </w:r>
      <w:proofErr w:type="gramStart"/>
      <w:r>
        <w:rPr>
          <w:b/>
          <w:bCs/>
          <w:sz w:val="24"/>
        </w:rPr>
        <w:t>款说明关联方尚未</w:t>
      </w:r>
      <w:proofErr w:type="gramEnd"/>
      <w:r>
        <w:rPr>
          <w:b/>
          <w:bCs/>
          <w:sz w:val="24"/>
        </w:rPr>
        <w:t>回款的原因，核实是否存在</w:t>
      </w:r>
      <w:proofErr w:type="gramStart"/>
      <w:r>
        <w:rPr>
          <w:b/>
          <w:bCs/>
          <w:sz w:val="24"/>
        </w:rPr>
        <w:t>潜在资金</w:t>
      </w:r>
      <w:proofErr w:type="gramEnd"/>
      <w:r>
        <w:rPr>
          <w:b/>
          <w:bCs/>
          <w:sz w:val="24"/>
        </w:rPr>
        <w:t>占用的情况</w:t>
      </w:r>
    </w:p>
    <w:p w:rsidR="000D3334" w:rsidRPr="00587274" w:rsidRDefault="000D3334" w:rsidP="000D3334">
      <w:pPr>
        <w:spacing w:beforeLines="50" w:before="156" w:line="360" w:lineRule="auto"/>
        <w:ind w:firstLineChars="200" w:firstLine="480"/>
        <w:rPr>
          <w:sz w:val="24"/>
        </w:rPr>
      </w:pPr>
      <w:r>
        <w:rPr>
          <w:rFonts w:hint="eastAsia"/>
          <w:sz w:val="24"/>
        </w:rPr>
        <w:t>公司对关联方</w:t>
      </w:r>
      <w:r w:rsidRPr="00587274">
        <w:rPr>
          <w:rFonts w:hint="eastAsia"/>
          <w:sz w:val="24"/>
        </w:rPr>
        <w:t>（含期末余额为</w:t>
      </w:r>
      <w:r w:rsidRPr="00587274">
        <w:rPr>
          <w:rFonts w:hint="eastAsia"/>
          <w:sz w:val="24"/>
        </w:rPr>
        <w:t>0</w:t>
      </w:r>
      <w:r w:rsidRPr="00587274">
        <w:rPr>
          <w:rFonts w:hint="eastAsia"/>
          <w:sz w:val="24"/>
        </w:rPr>
        <w:t>但期间有发生额）其他应收款</w:t>
      </w:r>
      <w:r>
        <w:rPr>
          <w:rFonts w:hint="eastAsia"/>
          <w:sz w:val="24"/>
        </w:rPr>
        <w:t>的具体情况如下表所示：</w:t>
      </w:r>
    </w:p>
    <w:p w:rsidR="000D3334" w:rsidRDefault="000D3334" w:rsidP="000D3334">
      <w:pPr>
        <w:spacing w:beforeLines="50" w:before="156"/>
        <w:ind w:firstLineChars="200" w:firstLine="420"/>
        <w:jc w:val="right"/>
        <w:rPr>
          <w:bCs/>
          <w:szCs w:val="21"/>
        </w:rPr>
      </w:pPr>
      <w:r>
        <w:rPr>
          <w:rFonts w:hint="eastAsia"/>
          <w:bCs/>
          <w:szCs w:val="21"/>
        </w:rPr>
        <w:t>单位：万元</w:t>
      </w:r>
    </w:p>
    <w:tbl>
      <w:tblPr>
        <w:tblStyle w:val="a9"/>
        <w:tblW w:w="5305"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45"/>
        <w:gridCol w:w="877"/>
        <w:gridCol w:w="1024"/>
        <w:gridCol w:w="875"/>
        <w:gridCol w:w="1020"/>
        <w:gridCol w:w="1022"/>
        <w:gridCol w:w="875"/>
        <w:gridCol w:w="875"/>
        <w:gridCol w:w="729"/>
      </w:tblGrid>
      <w:tr w:rsidR="000D3334" w:rsidTr="00F3634B">
        <w:trPr>
          <w:trHeight w:val="454"/>
          <w:tblHeader/>
          <w:jc w:val="center"/>
        </w:trPr>
        <w:tc>
          <w:tcPr>
            <w:tcW w:w="965"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欠款方名称</w:t>
            </w:r>
          </w:p>
        </w:tc>
        <w:tc>
          <w:tcPr>
            <w:tcW w:w="485"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款项性质</w:t>
            </w:r>
          </w:p>
        </w:tc>
        <w:tc>
          <w:tcPr>
            <w:tcW w:w="566"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期</w:t>
            </w:r>
            <w:proofErr w:type="gramStart"/>
            <w:r>
              <w:rPr>
                <w:b/>
                <w:bCs/>
                <w:szCs w:val="21"/>
              </w:rPr>
              <w:t>初</w:t>
            </w:r>
            <w:r>
              <w:rPr>
                <w:rFonts w:hint="eastAsia"/>
                <w:b/>
                <w:bCs/>
                <w:szCs w:val="21"/>
              </w:rPr>
              <w:t>金额</w:t>
            </w:r>
            <w:proofErr w:type="gramEnd"/>
          </w:p>
        </w:tc>
        <w:tc>
          <w:tcPr>
            <w:tcW w:w="484"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本期增加</w:t>
            </w:r>
          </w:p>
        </w:tc>
        <w:tc>
          <w:tcPr>
            <w:tcW w:w="564"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本期减少</w:t>
            </w:r>
          </w:p>
        </w:tc>
        <w:tc>
          <w:tcPr>
            <w:tcW w:w="565"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期末金额</w:t>
            </w:r>
          </w:p>
        </w:tc>
        <w:tc>
          <w:tcPr>
            <w:tcW w:w="484" w:type="pct"/>
            <w:shd w:val="clear" w:color="auto" w:fill="D9D9D9" w:themeFill="background1" w:themeFillShade="D9"/>
            <w:vAlign w:val="center"/>
          </w:tcPr>
          <w:p w:rsidR="000D3334" w:rsidRDefault="000D3334" w:rsidP="00F3634B">
            <w:pPr>
              <w:adjustRightInd w:val="0"/>
              <w:jc w:val="center"/>
              <w:rPr>
                <w:b/>
                <w:bCs/>
                <w:szCs w:val="21"/>
              </w:rPr>
            </w:pPr>
            <w:r>
              <w:rPr>
                <w:rFonts w:hint="eastAsia"/>
                <w:b/>
                <w:bCs/>
                <w:szCs w:val="21"/>
              </w:rPr>
              <w:t>账</w:t>
            </w:r>
            <w:proofErr w:type="gramStart"/>
            <w:r>
              <w:rPr>
                <w:rFonts w:hint="eastAsia"/>
                <w:b/>
                <w:bCs/>
                <w:szCs w:val="21"/>
              </w:rPr>
              <w:t>龄情况</w:t>
            </w:r>
            <w:proofErr w:type="gramEnd"/>
          </w:p>
        </w:tc>
        <w:tc>
          <w:tcPr>
            <w:tcW w:w="484"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坏账</w:t>
            </w:r>
            <w:proofErr w:type="gramStart"/>
            <w:r>
              <w:rPr>
                <w:b/>
                <w:bCs/>
                <w:szCs w:val="21"/>
              </w:rPr>
              <w:t>准备余额</w:t>
            </w:r>
            <w:proofErr w:type="gramEnd"/>
          </w:p>
        </w:tc>
        <w:tc>
          <w:tcPr>
            <w:tcW w:w="403"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期后回款</w:t>
            </w:r>
          </w:p>
        </w:tc>
      </w:tr>
      <w:tr w:rsidR="000D3334" w:rsidTr="00F3634B">
        <w:trPr>
          <w:trHeight w:val="454"/>
          <w:jc w:val="center"/>
        </w:trPr>
        <w:tc>
          <w:tcPr>
            <w:tcW w:w="965" w:type="pct"/>
            <w:vAlign w:val="center"/>
          </w:tcPr>
          <w:p w:rsidR="000D3334" w:rsidRDefault="000D3334" w:rsidP="00F3634B">
            <w:pPr>
              <w:adjustRightInd w:val="0"/>
              <w:rPr>
                <w:szCs w:val="21"/>
              </w:rPr>
            </w:pPr>
            <w:r>
              <w:rPr>
                <w:szCs w:val="21"/>
              </w:rPr>
              <w:t>合肥祥瀚房地产开发有限公司</w:t>
            </w:r>
          </w:p>
        </w:tc>
        <w:tc>
          <w:tcPr>
            <w:tcW w:w="485" w:type="pct"/>
            <w:vAlign w:val="center"/>
          </w:tcPr>
          <w:p w:rsidR="000D3334" w:rsidRDefault="000D3334" w:rsidP="00F3634B">
            <w:pPr>
              <w:adjustRightInd w:val="0"/>
              <w:rPr>
                <w:szCs w:val="21"/>
              </w:rPr>
            </w:pPr>
            <w:r>
              <w:rPr>
                <w:szCs w:val="21"/>
              </w:rPr>
              <w:t>履约</w:t>
            </w:r>
            <w:r>
              <w:rPr>
                <w:rFonts w:hint="eastAsia"/>
                <w:szCs w:val="21"/>
              </w:rPr>
              <w:t>保证</w:t>
            </w:r>
            <w:r>
              <w:rPr>
                <w:szCs w:val="21"/>
              </w:rPr>
              <w:t>金</w:t>
            </w:r>
          </w:p>
        </w:tc>
        <w:tc>
          <w:tcPr>
            <w:tcW w:w="566" w:type="pct"/>
            <w:vAlign w:val="center"/>
          </w:tcPr>
          <w:p w:rsidR="000D3334" w:rsidRDefault="000D3334" w:rsidP="00F3634B">
            <w:pPr>
              <w:adjustRightInd w:val="0"/>
              <w:jc w:val="right"/>
            </w:pPr>
            <w:r>
              <w:t>1,886.75</w:t>
            </w:r>
          </w:p>
        </w:tc>
        <w:tc>
          <w:tcPr>
            <w:tcW w:w="484" w:type="pct"/>
            <w:vAlign w:val="center"/>
          </w:tcPr>
          <w:p w:rsidR="000D3334" w:rsidRDefault="000D3334" w:rsidP="00F3634B">
            <w:pPr>
              <w:adjustRightInd w:val="0"/>
              <w:jc w:val="right"/>
            </w:pPr>
            <w:r>
              <w:t>-</w:t>
            </w:r>
          </w:p>
        </w:tc>
        <w:tc>
          <w:tcPr>
            <w:tcW w:w="564" w:type="pct"/>
            <w:vAlign w:val="center"/>
          </w:tcPr>
          <w:p w:rsidR="000D3334" w:rsidRDefault="000D3334" w:rsidP="00F3634B">
            <w:pPr>
              <w:adjustRightInd w:val="0"/>
              <w:jc w:val="right"/>
            </w:pPr>
            <w:r>
              <w:t>-</w:t>
            </w:r>
          </w:p>
        </w:tc>
        <w:tc>
          <w:tcPr>
            <w:tcW w:w="565" w:type="pct"/>
            <w:vAlign w:val="center"/>
          </w:tcPr>
          <w:p w:rsidR="000D3334" w:rsidRDefault="000D3334" w:rsidP="00F3634B">
            <w:pPr>
              <w:adjustRightInd w:val="0"/>
              <w:jc w:val="right"/>
            </w:pPr>
            <w:r>
              <w:t>1,886.75</w:t>
            </w:r>
          </w:p>
        </w:tc>
        <w:tc>
          <w:tcPr>
            <w:tcW w:w="484" w:type="pct"/>
            <w:vAlign w:val="center"/>
          </w:tcPr>
          <w:p w:rsidR="000D3334" w:rsidRDefault="000D3334" w:rsidP="00F3634B">
            <w:pPr>
              <w:adjustRightInd w:val="0"/>
              <w:jc w:val="center"/>
            </w:pPr>
            <w:r>
              <w:rPr>
                <w:rFonts w:hint="eastAsia"/>
              </w:rPr>
              <w:t>3-4</w:t>
            </w:r>
            <w:r>
              <w:rPr>
                <w:rFonts w:hint="eastAsia"/>
              </w:rPr>
              <w:t>年</w:t>
            </w:r>
          </w:p>
        </w:tc>
        <w:tc>
          <w:tcPr>
            <w:tcW w:w="484" w:type="pct"/>
            <w:vAlign w:val="center"/>
          </w:tcPr>
          <w:p w:rsidR="000D3334" w:rsidRDefault="000D3334" w:rsidP="00F3634B">
            <w:pPr>
              <w:adjustRightInd w:val="0"/>
              <w:jc w:val="right"/>
            </w:pPr>
            <w:r>
              <w:t>56.60</w:t>
            </w:r>
          </w:p>
        </w:tc>
        <w:tc>
          <w:tcPr>
            <w:tcW w:w="403" w:type="pct"/>
            <w:vAlign w:val="center"/>
          </w:tcPr>
          <w:p w:rsidR="000D3334" w:rsidRDefault="000D3334" w:rsidP="00F3634B">
            <w:pPr>
              <w:adjustRightInd w:val="0"/>
              <w:jc w:val="right"/>
            </w:pPr>
            <w:r>
              <w:t>-</w:t>
            </w:r>
          </w:p>
        </w:tc>
      </w:tr>
      <w:tr w:rsidR="000D3334" w:rsidTr="00F3634B">
        <w:trPr>
          <w:trHeight w:val="454"/>
          <w:jc w:val="center"/>
        </w:trPr>
        <w:tc>
          <w:tcPr>
            <w:tcW w:w="965" w:type="pct"/>
            <w:vAlign w:val="center"/>
          </w:tcPr>
          <w:p w:rsidR="000D3334" w:rsidRDefault="000D3334" w:rsidP="00F3634B">
            <w:pPr>
              <w:adjustRightInd w:val="0"/>
              <w:rPr>
                <w:szCs w:val="21"/>
              </w:rPr>
            </w:pPr>
            <w:r>
              <w:rPr>
                <w:szCs w:val="21"/>
              </w:rPr>
              <w:t>阜南县城北</w:t>
            </w:r>
            <w:proofErr w:type="gramStart"/>
            <w:r>
              <w:rPr>
                <w:szCs w:val="21"/>
              </w:rPr>
              <w:t>祥</w:t>
            </w:r>
            <w:proofErr w:type="gramEnd"/>
            <w:r>
              <w:rPr>
                <w:szCs w:val="21"/>
              </w:rPr>
              <w:t>源房地产开发有限公司</w:t>
            </w:r>
          </w:p>
        </w:tc>
        <w:tc>
          <w:tcPr>
            <w:tcW w:w="485" w:type="pct"/>
            <w:vAlign w:val="center"/>
          </w:tcPr>
          <w:p w:rsidR="000D3334" w:rsidRDefault="000D3334" w:rsidP="00F3634B">
            <w:pPr>
              <w:adjustRightInd w:val="0"/>
              <w:rPr>
                <w:szCs w:val="21"/>
              </w:rPr>
            </w:pPr>
            <w:r>
              <w:rPr>
                <w:szCs w:val="21"/>
              </w:rPr>
              <w:t>履约</w:t>
            </w:r>
            <w:r>
              <w:rPr>
                <w:rFonts w:hint="eastAsia"/>
                <w:szCs w:val="21"/>
              </w:rPr>
              <w:t>保证</w:t>
            </w:r>
            <w:r>
              <w:rPr>
                <w:szCs w:val="21"/>
              </w:rPr>
              <w:t>金</w:t>
            </w:r>
          </w:p>
        </w:tc>
        <w:tc>
          <w:tcPr>
            <w:tcW w:w="566" w:type="pct"/>
            <w:vAlign w:val="center"/>
          </w:tcPr>
          <w:p w:rsidR="000D3334" w:rsidRDefault="000D3334" w:rsidP="00F3634B">
            <w:pPr>
              <w:adjustRightInd w:val="0"/>
              <w:jc w:val="right"/>
            </w:pPr>
            <w:r>
              <w:t>1,100.00</w:t>
            </w:r>
          </w:p>
        </w:tc>
        <w:tc>
          <w:tcPr>
            <w:tcW w:w="484" w:type="pct"/>
            <w:vAlign w:val="center"/>
          </w:tcPr>
          <w:p w:rsidR="000D3334" w:rsidRDefault="000D3334" w:rsidP="00F3634B">
            <w:pPr>
              <w:adjustRightInd w:val="0"/>
              <w:jc w:val="right"/>
            </w:pPr>
            <w:r>
              <w:rPr>
                <w:rFonts w:hint="eastAsia"/>
              </w:rPr>
              <w:t>-</w:t>
            </w:r>
          </w:p>
        </w:tc>
        <w:tc>
          <w:tcPr>
            <w:tcW w:w="564" w:type="pct"/>
            <w:vAlign w:val="center"/>
          </w:tcPr>
          <w:p w:rsidR="000D3334" w:rsidRDefault="000D3334" w:rsidP="00F3634B">
            <w:pPr>
              <w:adjustRightInd w:val="0"/>
              <w:jc w:val="right"/>
            </w:pPr>
            <w:r>
              <w:rPr>
                <w:rFonts w:hint="eastAsia"/>
              </w:rPr>
              <w:t>-</w:t>
            </w:r>
          </w:p>
        </w:tc>
        <w:tc>
          <w:tcPr>
            <w:tcW w:w="565" w:type="pct"/>
            <w:vAlign w:val="center"/>
          </w:tcPr>
          <w:p w:rsidR="000D3334" w:rsidRDefault="000D3334" w:rsidP="00F3634B">
            <w:pPr>
              <w:adjustRightInd w:val="0"/>
              <w:jc w:val="right"/>
            </w:pPr>
            <w:r>
              <w:t>1,100.00</w:t>
            </w:r>
          </w:p>
        </w:tc>
        <w:tc>
          <w:tcPr>
            <w:tcW w:w="484" w:type="pct"/>
            <w:vAlign w:val="center"/>
          </w:tcPr>
          <w:p w:rsidR="000D3334" w:rsidRDefault="000D3334" w:rsidP="00F3634B">
            <w:pPr>
              <w:wordWrap w:val="0"/>
              <w:adjustRightInd w:val="0"/>
              <w:jc w:val="center"/>
            </w:pPr>
            <w:r>
              <w:rPr>
                <w:rFonts w:hint="eastAsia"/>
              </w:rPr>
              <w:t>1-2</w:t>
            </w:r>
            <w:r>
              <w:rPr>
                <w:rFonts w:hint="eastAsia"/>
              </w:rPr>
              <w:t>年</w:t>
            </w:r>
          </w:p>
        </w:tc>
        <w:tc>
          <w:tcPr>
            <w:tcW w:w="484" w:type="pct"/>
            <w:vAlign w:val="center"/>
          </w:tcPr>
          <w:p w:rsidR="000D3334" w:rsidRDefault="000D3334" w:rsidP="00F3634B">
            <w:pPr>
              <w:adjustRightInd w:val="0"/>
              <w:jc w:val="right"/>
            </w:pPr>
            <w:r>
              <w:t>33.00</w:t>
            </w:r>
          </w:p>
        </w:tc>
        <w:tc>
          <w:tcPr>
            <w:tcW w:w="403" w:type="pct"/>
            <w:vAlign w:val="center"/>
          </w:tcPr>
          <w:p w:rsidR="000D3334" w:rsidRDefault="000D3334" w:rsidP="00F3634B">
            <w:pPr>
              <w:adjustRightInd w:val="0"/>
              <w:jc w:val="right"/>
            </w:pPr>
            <w:r>
              <w:t>-</w:t>
            </w:r>
          </w:p>
        </w:tc>
      </w:tr>
      <w:tr w:rsidR="000D3334" w:rsidTr="00F3634B">
        <w:trPr>
          <w:trHeight w:val="454"/>
          <w:jc w:val="center"/>
        </w:trPr>
        <w:tc>
          <w:tcPr>
            <w:tcW w:w="965" w:type="pct"/>
            <w:vAlign w:val="center"/>
          </w:tcPr>
          <w:p w:rsidR="000D3334" w:rsidRDefault="000D3334" w:rsidP="00F3634B">
            <w:pPr>
              <w:adjustRightInd w:val="0"/>
              <w:rPr>
                <w:szCs w:val="21"/>
              </w:rPr>
            </w:pPr>
            <w:r w:rsidRPr="00587274">
              <w:rPr>
                <w:rFonts w:hint="eastAsia"/>
                <w:szCs w:val="21"/>
              </w:rPr>
              <w:t>阜南县城北</w:t>
            </w:r>
            <w:proofErr w:type="gramStart"/>
            <w:r w:rsidRPr="00587274">
              <w:rPr>
                <w:rFonts w:hint="eastAsia"/>
                <w:szCs w:val="21"/>
              </w:rPr>
              <w:t>祥</w:t>
            </w:r>
            <w:proofErr w:type="gramEnd"/>
            <w:r w:rsidRPr="00587274">
              <w:rPr>
                <w:rFonts w:hint="eastAsia"/>
                <w:szCs w:val="21"/>
              </w:rPr>
              <w:t>源房地产开发有限公司</w:t>
            </w:r>
          </w:p>
        </w:tc>
        <w:tc>
          <w:tcPr>
            <w:tcW w:w="485" w:type="pct"/>
            <w:vAlign w:val="center"/>
          </w:tcPr>
          <w:p w:rsidR="000D3334" w:rsidRDefault="000D3334" w:rsidP="00F3634B">
            <w:pPr>
              <w:adjustRightInd w:val="0"/>
              <w:rPr>
                <w:szCs w:val="21"/>
              </w:rPr>
            </w:pPr>
            <w:r>
              <w:rPr>
                <w:rFonts w:hint="eastAsia"/>
                <w:szCs w:val="21"/>
              </w:rPr>
              <w:t>代收代付农民工工资</w:t>
            </w:r>
          </w:p>
        </w:tc>
        <w:tc>
          <w:tcPr>
            <w:tcW w:w="566" w:type="pct"/>
            <w:vAlign w:val="center"/>
          </w:tcPr>
          <w:p w:rsidR="000D3334" w:rsidRDefault="000D3334" w:rsidP="00F3634B">
            <w:pPr>
              <w:adjustRightInd w:val="0"/>
              <w:jc w:val="right"/>
            </w:pPr>
            <w:r>
              <w:rPr>
                <w:rFonts w:hint="eastAsia"/>
              </w:rPr>
              <w:t>-</w:t>
            </w:r>
          </w:p>
        </w:tc>
        <w:tc>
          <w:tcPr>
            <w:tcW w:w="484" w:type="pct"/>
            <w:vAlign w:val="center"/>
          </w:tcPr>
          <w:p w:rsidR="000D3334" w:rsidRDefault="000D3334" w:rsidP="00F3634B">
            <w:pPr>
              <w:adjustRightInd w:val="0"/>
              <w:jc w:val="right"/>
            </w:pPr>
            <w:r>
              <w:t>620.00</w:t>
            </w:r>
          </w:p>
        </w:tc>
        <w:tc>
          <w:tcPr>
            <w:tcW w:w="564" w:type="pct"/>
            <w:vAlign w:val="center"/>
          </w:tcPr>
          <w:p w:rsidR="000D3334" w:rsidRDefault="000D3334" w:rsidP="00F3634B">
            <w:pPr>
              <w:adjustRightInd w:val="0"/>
              <w:jc w:val="right"/>
            </w:pPr>
            <w:r>
              <w:t>620.00</w:t>
            </w:r>
          </w:p>
        </w:tc>
        <w:tc>
          <w:tcPr>
            <w:tcW w:w="565" w:type="pct"/>
            <w:vAlign w:val="center"/>
          </w:tcPr>
          <w:p w:rsidR="000D3334" w:rsidRDefault="000D3334" w:rsidP="00F3634B">
            <w:pPr>
              <w:adjustRightInd w:val="0"/>
              <w:jc w:val="right"/>
            </w:pPr>
            <w:r>
              <w:rPr>
                <w:rFonts w:hint="eastAsia"/>
              </w:rPr>
              <w:t>-</w:t>
            </w:r>
          </w:p>
        </w:tc>
        <w:tc>
          <w:tcPr>
            <w:tcW w:w="484" w:type="pct"/>
            <w:vAlign w:val="center"/>
          </w:tcPr>
          <w:p w:rsidR="000D3334" w:rsidRDefault="000D3334" w:rsidP="00F3634B">
            <w:pPr>
              <w:adjustRightInd w:val="0"/>
              <w:jc w:val="right"/>
            </w:pPr>
            <w:r>
              <w:rPr>
                <w:rFonts w:hint="eastAsia"/>
              </w:rPr>
              <w:t>-</w:t>
            </w:r>
          </w:p>
        </w:tc>
        <w:tc>
          <w:tcPr>
            <w:tcW w:w="484" w:type="pct"/>
            <w:vAlign w:val="center"/>
          </w:tcPr>
          <w:p w:rsidR="000D3334" w:rsidRDefault="000D3334" w:rsidP="00F3634B">
            <w:pPr>
              <w:adjustRightInd w:val="0"/>
              <w:jc w:val="right"/>
            </w:pPr>
            <w:r>
              <w:rPr>
                <w:rFonts w:hint="eastAsia"/>
              </w:rPr>
              <w:t>-</w:t>
            </w:r>
          </w:p>
        </w:tc>
        <w:tc>
          <w:tcPr>
            <w:tcW w:w="403" w:type="pct"/>
            <w:vAlign w:val="center"/>
          </w:tcPr>
          <w:p w:rsidR="000D3334" w:rsidRDefault="000D3334" w:rsidP="00F3634B">
            <w:pPr>
              <w:adjustRightInd w:val="0"/>
              <w:jc w:val="right"/>
            </w:pPr>
            <w:r>
              <w:rPr>
                <w:rFonts w:hint="eastAsia"/>
              </w:rPr>
              <w:t>-</w:t>
            </w:r>
          </w:p>
        </w:tc>
      </w:tr>
      <w:tr w:rsidR="000D3334" w:rsidTr="00F3634B">
        <w:trPr>
          <w:trHeight w:val="454"/>
          <w:jc w:val="center"/>
        </w:trPr>
        <w:tc>
          <w:tcPr>
            <w:tcW w:w="965" w:type="pct"/>
            <w:vAlign w:val="center"/>
          </w:tcPr>
          <w:p w:rsidR="000D3334" w:rsidRDefault="000D3334" w:rsidP="00F3634B">
            <w:pPr>
              <w:adjustRightInd w:val="0"/>
              <w:rPr>
                <w:szCs w:val="21"/>
              </w:rPr>
            </w:pPr>
            <w:proofErr w:type="gramStart"/>
            <w:r>
              <w:rPr>
                <w:szCs w:val="21"/>
              </w:rPr>
              <w:t>阜阳源海房地产</w:t>
            </w:r>
            <w:proofErr w:type="gramEnd"/>
            <w:r>
              <w:rPr>
                <w:szCs w:val="21"/>
              </w:rPr>
              <w:t>开发有限公司</w:t>
            </w:r>
          </w:p>
        </w:tc>
        <w:tc>
          <w:tcPr>
            <w:tcW w:w="485" w:type="pct"/>
            <w:vAlign w:val="center"/>
          </w:tcPr>
          <w:p w:rsidR="000D3334" w:rsidRDefault="000D3334" w:rsidP="00F3634B">
            <w:pPr>
              <w:adjustRightInd w:val="0"/>
              <w:rPr>
                <w:szCs w:val="21"/>
              </w:rPr>
            </w:pPr>
            <w:r>
              <w:rPr>
                <w:szCs w:val="21"/>
              </w:rPr>
              <w:t>履约</w:t>
            </w:r>
            <w:r>
              <w:rPr>
                <w:rFonts w:hint="eastAsia"/>
                <w:szCs w:val="21"/>
              </w:rPr>
              <w:t>保证</w:t>
            </w:r>
            <w:r>
              <w:rPr>
                <w:szCs w:val="21"/>
              </w:rPr>
              <w:t>金</w:t>
            </w:r>
          </w:p>
        </w:tc>
        <w:tc>
          <w:tcPr>
            <w:tcW w:w="566" w:type="pct"/>
            <w:vAlign w:val="center"/>
          </w:tcPr>
          <w:p w:rsidR="000D3334" w:rsidRDefault="000D3334" w:rsidP="00F3634B">
            <w:pPr>
              <w:adjustRightInd w:val="0"/>
              <w:jc w:val="right"/>
            </w:pPr>
            <w:r>
              <w:t>1,000.00</w:t>
            </w:r>
          </w:p>
        </w:tc>
        <w:tc>
          <w:tcPr>
            <w:tcW w:w="484" w:type="pct"/>
            <w:vAlign w:val="center"/>
          </w:tcPr>
          <w:p w:rsidR="000D3334" w:rsidRDefault="000D3334" w:rsidP="00F3634B">
            <w:pPr>
              <w:adjustRightInd w:val="0"/>
              <w:jc w:val="right"/>
            </w:pPr>
            <w:r>
              <w:t>-</w:t>
            </w:r>
          </w:p>
        </w:tc>
        <w:tc>
          <w:tcPr>
            <w:tcW w:w="564" w:type="pct"/>
            <w:vAlign w:val="center"/>
          </w:tcPr>
          <w:p w:rsidR="000D3334" w:rsidRDefault="000D3334" w:rsidP="00F3634B">
            <w:pPr>
              <w:adjustRightInd w:val="0"/>
              <w:jc w:val="right"/>
            </w:pPr>
            <w:r>
              <w:t>1,000.00</w:t>
            </w:r>
          </w:p>
        </w:tc>
        <w:tc>
          <w:tcPr>
            <w:tcW w:w="565" w:type="pct"/>
            <w:vAlign w:val="center"/>
          </w:tcPr>
          <w:p w:rsidR="000D3334" w:rsidRDefault="000D3334" w:rsidP="00F3634B">
            <w:pPr>
              <w:adjustRightInd w:val="0"/>
              <w:jc w:val="right"/>
            </w:pPr>
            <w:r>
              <w:t>-</w:t>
            </w:r>
          </w:p>
        </w:tc>
        <w:tc>
          <w:tcPr>
            <w:tcW w:w="484" w:type="pct"/>
            <w:vAlign w:val="center"/>
          </w:tcPr>
          <w:p w:rsidR="000D3334" w:rsidRDefault="000D3334" w:rsidP="00F3634B">
            <w:pPr>
              <w:adjustRightInd w:val="0"/>
              <w:jc w:val="right"/>
            </w:pPr>
          </w:p>
        </w:tc>
        <w:tc>
          <w:tcPr>
            <w:tcW w:w="484" w:type="pct"/>
            <w:vAlign w:val="center"/>
          </w:tcPr>
          <w:p w:rsidR="000D3334" w:rsidRDefault="000D3334" w:rsidP="00F3634B">
            <w:pPr>
              <w:adjustRightInd w:val="0"/>
              <w:jc w:val="right"/>
            </w:pPr>
            <w:r>
              <w:t>-</w:t>
            </w:r>
          </w:p>
        </w:tc>
        <w:tc>
          <w:tcPr>
            <w:tcW w:w="403" w:type="pct"/>
            <w:vAlign w:val="center"/>
          </w:tcPr>
          <w:p w:rsidR="000D3334" w:rsidRDefault="000D3334" w:rsidP="00F3634B">
            <w:pPr>
              <w:adjustRightInd w:val="0"/>
              <w:jc w:val="right"/>
            </w:pPr>
            <w:r>
              <w:t>-</w:t>
            </w:r>
          </w:p>
        </w:tc>
      </w:tr>
      <w:tr w:rsidR="000D3334" w:rsidTr="00F3634B">
        <w:trPr>
          <w:trHeight w:val="454"/>
          <w:jc w:val="center"/>
        </w:trPr>
        <w:tc>
          <w:tcPr>
            <w:tcW w:w="965" w:type="pct"/>
            <w:vAlign w:val="center"/>
          </w:tcPr>
          <w:p w:rsidR="000D3334" w:rsidRDefault="000D3334" w:rsidP="00F3634B">
            <w:pPr>
              <w:adjustRightInd w:val="0"/>
              <w:rPr>
                <w:szCs w:val="21"/>
              </w:rPr>
            </w:pPr>
            <w:proofErr w:type="gramStart"/>
            <w:r>
              <w:rPr>
                <w:szCs w:val="21"/>
              </w:rPr>
              <w:t>湘潭山</w:t>
            </w:r>
            <w:proofErr w:type="gramEnd"/>
            <w:r>
              <w:rPr>
                <w:szCs w:val="21"/>
              </w:rPr>
              <w:t>市晴岚文化传播有限公司</w:t>
            </w:r>
          </w:p>
        </w:tc>
        <w:tc>
          <w:tcPr>
            <w:tcW w:w="485" w:type="pct"/>
            <w:vAlign w:val="center"/>
          </w:tcPr>
          <w:p w:rsidR="000D3334" w:rsidRDefault="000D3334" w:rsidP="00F3634B">
            <w:pPr>
              <w:adjustRightInd w:val="0"/>
              <w:rPr>
                <w:szCs w:val="21"/>
              </w:rPr>
            </w:pPr>
            <w:r>
              <w:rPr>
                <w:szCs w:val="21"/>
              </w:rPr>
              <w:t>履约</w:t>
            </w:r>
            <w:r>
              <w:rPr>
                <w:rFonts w:hint="eastAsia"/>
                <w:szCs w:val="21"/>
              </w:rPr>
              <w:t>保证</w:t>
            </w:r>
            <w:r>
              <w:rPr>
                <w:szCs w:val="21"/>
              </w:rPr>
              <w:t>金</w:t>
            </w:r>
          </w:p>
        </w:tc>
        <w:tc>
          <w:tcPr>
            <w:tcW w:w="566" w:type="pct"/>
            <w:vAlign w:val="center"/>
          </w:tcPr>
          <w:p w:rsidR="000D3334" w:rsidRDefault="000D3334" w:rsidP="00F3634B">
            <w:pPr>
              <w:adjustRightInd w:val="0"/>
              <w:jc w:val="right"/>
            </w:pPr>
            <w:r>
              <w:t>8.00</w:t>
            </w:r>
          </w:p>
        </w:tc>
        <w:tc>
          <w:tcPr>
            <w:tcW w:w="484" w:type="pct"/>
            <w:vAlign w:val="center"/>
          </w:tcPr>
          <w:p w:rsidR="000D3334" w:rsidRDefault="000D3334" w:rsidP="00F3634B">
            <w:pPr>
              <w:adjustRightInd w:val="0"/>
              <w:jc w:val="right"/>
            </w:pPr>
            <w:r>
              <w:t>-</w:t>
            </w:r>
          </w:p>
        </w:tc>
        <w:tc>
          <w:tcPr>
            <w:tcW w:w="564" w:type="pct"/>
            <w:vAlign w:val="center"/>
          </w:tcPr>
          <w:p w:rsidR="000D3334" w:rsidRDefault="000D3334" w:rsidP="00F3634B">
            <w:pPr>
              <w:adjustRightInd w:val="0"/>
              <w:jc w:val="right"/>
            </w:pPr>
            <w:r>
              <w:t>8.00</w:t>
            </w:r>
          </w:p>
        </w:tc>
        <w:tc>
          <w:tcPr>
            <w:tcW w:w="565" w:type="pct"/>
            <w:vAlign w:val="center"/>
          </w:tcPr>
          <w:p w:rsidR="000D3334" w:rsidRDefault="000D3334" w:rsidP="00F3634B">
            <w:pPr>
              <w:adjustRightInd w:val="0"/>
              <w:jc w:val="right"/>
            </w:pPr>
            <w:r>
              <w:t>-</w:t>
            </w:r>
          </w:p>
        </w:tc>
        <w:tc>
          <w:tcPr>
            <w:tcW w:w="484" w:type="pct"/>
            <w:vAlign w:val="center"/>
          </w:tcPr>
          <w:p w:rsidR="000D3334" w:rsidRDefault="000D3334" w:rsidP="00F3634B">
            <w:pPr>
              <w:adjustRightInd w:val="0"/>
              <w:jc w:val="right"/>
            </w:pPr>
          </w:p>
        </w:tc>
        <w:tc>
          <w:tcPr>
            <w:tcW w:w="484" w:type="pct"/>
            <w:vAlign w:val="center"/>
          </w:tcPr>
          <w:p w:rsidR="000D3334" w:rsidRDefault="000D3334" w:rsidP="00F3634B">
            <w:pPr>
              <w:adjustRightInd w:val="0"/>
              <w:jc w:val="right"/>
            </w:pPr>
            <w:r>
              <w:t>-</w:t>
            </w:r>
          </w:p>
        </w:tc>
        <w:tc>
          <w:tcPr>
            <w:tcW w:w="403" w:type="pct"/>
            <w:vAlign w:val="center"/>
          </w:tcPr>
          <w:p w:rsidR="000D3334" w:rsidRDefault="000D3334" w:rsidP="00F3634B">
            <w:pPr>
              <w:adjustRightInd w:val="0"/>
              <w:jc w:val="right"/>
            </w:pPr>
            <w:r>
              <w:t>-</w:t>
            </w:r>
          </w:p>
        </w:tc>
      </w:tr>
      <w:tr w:rsidR="000D3334" w:rsidTr="00F3634B">
        <w:trPr>
          <w:trHeight w:val="454"/>
          <w:jc w:val="center"/>
        </w:trPr>
        <w:tc>
          <w:tcPr>
            <w:tcW w:w="965" w:type="pct"/>
            <w:vAlign w:val="center"/>
          </w:tcPr>
          <w:p w:rsidR="000D3334" w:rsidRPr="00587274" w:rsidRDefault="000D3334" w:rsidP="00F3634B">
            <w:pPr>
              <w:adjustRightInd w:val="0"/>
              <w:jc w:val="center"/>
              <w:rPr>
                <w:b/>
                <w:bCs/>
                <w:szCs w:val="21"/>
              </w:rPr>
            </w:pPr>
            <w:r w:rsidRPr="00587274">
              <w:rPr>
                <w:rFonts w:hint="eastAsia"/>
                <w:b/>
                <w:bCs/>
                <w:szCs w:val="21"/>
              </w:rPr>
              <w:t>合计</w:t>
            </w:r>
          </w:p>
        </w:tc>
        <w:tc>
          <w:tcPr>
            <w:tcW w:w="485" w:type="pct"/>
            <w:vAlign w:val="center"/>
          </w:tcPr>
          <w:p w:rsidR="000D3334" w:rsidRPr="00587274" w:rsidRDefault="000D3334" w:rsidP="00F3634B">
            <w:pPr>
              <w:adjustRightInd w:val="0"/>
              <w:rPr>
                <w:b/>
                <w:bCs/>
                <w:szCs w:val="21"/>
              </w:rPr>
            </w:pPr>
          </w:p>
        </w:tc>
        <w:tc>
          <w:tcPr>
            <w:tcW w:w="566" w:type="pct"/>
            <w:vAlign w:val="center"/>
          </w:tcPr>
          <w:p w:rsidR="000D3334" w:rsidRPr="00587274" w:rsidRDefault="000D3334" w:rsidP="00F3634B">
            <w:pPr>
              <w:adjustRightInd w:val="0"/>
              <w:jc w:val="right"/>
              <w:rPr>
                <w:b/>
                <w:bCs/>
              </w:rPr>
            </w:pPr>
            <w:r w:rsidRPr="00587274">
              <w:rPr>
                <w:rFonts w:eastAsia="等线"/>
                <w:b/>
                <w:bCs/>
                <w:color w:val="000000"/>
                <w:szCs w:val="21"/>
              </w:rPr>
              <w:t>3,994.75</w:t>
            </w:r>
          </w:p>
        </w:tc>
        <w:tc>
          <w:tcPr>
            <w:tcW w:w="484" w:type="pct"/>
            <w:vAlign w:val="center"/>
          </w:tcPr>
          <w:p w:rsidR="000D3334" w:rsidRPr="00587274" w:rsidRDefault="000D3334" w:rsidP="00F3634B">
            <w:pPr>
              <w:adjustRightInd w:val="0"/>
              <w:jc w:val="right"/>
              <w:rPr>
                <w:b/>
                <w:bCs/>
              </w:rPr>
            </w:pPr>
            <w:r w:rsidRPr="00587274">
              <w:rPr>
                <w:rFonts w:eastAsia="等线"/>
                <w:b/>
                <w:bCs/>
                <w:color w:val="000000"/>
                <w:szCs w:val="21"/>
              </w:rPr>
              <w:t>620.00</w:t>
            </w:r>
          </w:p>
        </w:tc>
        <w:tc>
          <w:tcPr>
            <w:tcW w:w="564" w:type="pct"/>
            <w:vAlign w:val="center"/>
          </w:tcPr>
          <w:p w:rsidR="000D3334" w:rsidRPr="00587274" w:rsidRDefault="000D3334" w:rsidP="00F3634B">
            <w:pPr>
              <w:adjustRightInd w:val="0"/>
              <w:jc w:val="right"/>
              <w:rPr>
                <w:b/>
                <w:bCs/>
              </w:rPr>
            </w:pPr>
            <w:r w:rsidRPr="00587274">
              <w:rPr>
                <w:rFonts w:eastAsia="等线"/>
                <w:b/>
                <w:bCs/>
                <w:color w:val="000000"/>
                <w:szCs w:val="21"/>
              </w:rPr>
              <w:t>1,628.00</w:t>
            </w:r>
          </w:p>
        </w:tc>
        <w:tc>
          <w:tcPr>
            <w:tcW w:w="565" w:type="pct"/>
            <w:vAlign w:val="center"/>
          </w:tcPr>
          <w:p w:rsidR="000D3334" w:rsidRPr="00587274" w:rsidRDefault="000D3334" w:rsidP="00F3634B">
            <w:pPr>
              <w:adjustRightInd w:val="0"/>
              <w:jc w:val="right"/>
              <w:rPr>
                <w:b/>
                <w:bCs/>
              </w:rPr>
            </w:pPr>
            <w:r w:rsidRPr="00587274">
              <w:rPr>
                <w:rFonts w:eastAsia="等线"/>
                <w:b/>
                <w:bCs/>
                <w:color w:val="000000"/>
                <w:szCs w:val="21"/>
              </w:rPr>
              <w:t>2,986.75</w:t>
            </w:r>
          </w:p>
        </w:tc>
        <w:tc>
          <w:tcPr>
            <w:tcW w:w="484" w:type="pct"/>
            <w:vAlign w:val="center"/>
          </w:tcPr>
          <w:p w:rsidR="000D3334" w:rsidRPr="00587274" w:rsidRDefault="000D3334" w:rsidP="00F3634B">
            <w:pPr>
              <w:adjustRightInd w:val="0"/>
              <w:jc w:val="right"/>
              <w:rPr>
                <w:b/>
                <w:bCs/>
              </w:rPr>
            </w:pPr>
          </w:p>
        </w:tc>
        <w:tc>
          <w:tcPr>
            <w:tcW w:w="484" w:type="pct"/>
            <w:vAlign w:val="center"/>
          </w:tcPr>
          <w:p w:rsidR="000D3334" w:rsidRPr="00587274" w:rsidRDefault="000D3334" w:rsidP="00F3634B">
            <w:pPr>
              <w:adjustRightInd w:val="0"/>
              <w:jc w:val="right"/>
              <w:rPr>
                <w:b/>
                <w:bCs/>
              </w:rPr>
            </w:pPr>
            <w:r w:rsidRPr="00587274">
              <w:rPr>
                <w:rFonts w:eastAsia="等线"/>
                <w:b/>
                <w:bCs/>
                <w:color w:val="000000"/>
                <w:szCs w:val="21"/>
              </w:rPr>
              <w:t>89.60</w:t>
            </w:r>
          </w:p>
        </w:tc>
        <w:tc>
          <w:tcPr>
            <w:tcW w:w="403" w:type="pct"/>
            <w:vAlign w:val="center"/>
          </w:tcPr>
          <w:p w:rsidR="000D3334" w:rsidRPr="00587274" w:rsidRDefault="000D3334" w:rsidP="00F3634B">
            <w:pPr>
              <w:adjustRightInd w:val="0"/>
              <w:jc w:val="right"/>
              <w:rPr>
                <w:b/>
                <w:bCs/>
              </w:rPr>
            </w:pPr>
            <w:r>
              <w:rPr>
                <w:rFonts w:eastAsia="等线" w:hint="eastAsia"/>
                <w:b/>
                <w:bCs/>
                <w:color w:val="000000"/>
                <w:szCs w:val="21"/>
              </w:rPr>
              <w:t>-</w:t>
            </w:r>
          </w:p>
        </w:tc>
      </w:tr>
    </w:tbl>
    <w:p w:rsidR="000D3334" w:rsidRDefault="000D3334" w:rsidP="000D3334">
      <w:pPr>
        <w:spacing w:beforeLines="50" w:before="156" w:line="360" w:lineRule="auto"/>
        <w:ind w:firstLineChars="200" w:firstLine="480"/>
        <w:rPr>
          <w:sz w:val="24"/>
        </w:rPr>
      </w:pPr>
      <w:r>
        <w:rPr>
          <w:rFonts w:hint="eastAsia"/>
          <w:sz w:val="24"/>
        </w:rPr>
        <w:t>如上表所示，公司对关联方其他应收款的</w:t>
      </w:r>
      <w:proofErr w:type="gramStart"/>
      <w:r>
        <w:rPr>
          <w:rFonts w:hint="eastAsia"/>
          <w:sz w:val="24"/>
        </w:rPr>
        <w:t>欠款余额</w:t>
      </w:r>
      <w:proofErr w:type="gramEnd"/>
      <w:r>
        <w:rPr>
          <w:rFonts w:hint="eastAsia"/>
          <w:sz w:val="24"/>
        </w:rPr>
        <w:t>对应的款项均为履约保证金，相关款项的形成系公司作为项目承包方，按照具体工程项目合同约定缴纳的一定金额的履约保证金，待达到合同约定的节点（一般为竣工验收），业主方退还相关履约保证金。其中，其他应收款</w:t>
      </w:r>
      <w:r w:rsidRPr="002A46A4">
        <w:rPr>
          <w:rFonts w:hint="eastAsia"/>
          <w:sz w:val="24"/>
        </w:rPr>
        <w:t>阜南县城北</w:t>
      </w:r>
      <w:proofErr w:type="gramStart"/>
      <w:r w:rsidRPr="002A46A4">
        <w:rPr>
          <w:rFonts w:hint="eastAsia"/>
          <w:sz w:val="24"/>
        </w:rPr>
        <w:t>祥</w:t>
      </w:r>
      <w:proofErr w:type="gramEnd"/>
      <w:r w:rsidRPr="002A46A4">
        <w:rPr>
          <w:rFonts w:hint="eastAsia"/>
          <w:sz w:val="24"/>
        </w:rPr>
        <w:t>源房地产开发有限公司</w:t>
      </w:r>
      <w:r>
        <w:rPr>
          <w:rFonts w:hint="eastAsia"/>
          <w:sz w:val="24"/>
        </w:rPr>
        <w:t>，本期存在发生额</w:t>
      </w:r>
      <w:r>
        <w:rPr>
          <w:rFonts w:hint="eastAsia"/>
          <w:sz w:val="24"/>
        </w:rPr>
        <w:t>620.00</w:t>
      </w:r>
      <w:r>
        <w:rPr>
          <w:rFonts w:hint="eastAsia"/>
          <w:sz w:val="24"/>
        </w:rPr>
        <w:t>万元，系代收代</w:t>
      </w:r>
      <w:proofErr w:type="gramStart"/>
      <w:r>
        <w:rPr>
          <w:rFonts w:hint="eastAsia"/>
          <w:sz w:val="24"/>
        </w:rPr>
        <w:t>付业</w:t>
      </w:r>
      <w:proofErr w:type="gramEnd"/>
      <w:r>
        <w:rPr>
          <w:rFonts w:hint="eastAsia"/>
          <w:sz w:val="24"/>
        </w:rPr>
        <w:t>主单位的农民工工资，相关款项不存在关联方资金占用的情形。</w:t>
      </w:r>
    </w:p>
    <w:p w:rsidR="000D3334" w:rsidRDefault="000D3334" w:rsidP="000D3334">
      <w:pPr>
        <w:spacing w:beforeLines="50" w:before="156" w:line="360" w:lineRule="auto"/>
        <w:ind w:firstLineChars="200" w:firstLine="480"/>
        <w:rPr>
          <w:sz w:val="24"/>
        </w:rPr>
      </w:pPr>
      <w:r>
        <w:rPr>
          <w:rFonts w:hint="eastAsia"/>
          <w:sz w:val="24"/>
        </w:rPr>
        <w:lastRenderedPageBreak/>
        <w:t>上表中公司关联方其他应收款的形成均对应具体的工程项目，为公司全资子公司</w:t>
      </w:r>
      <w:proofErr w:type="gramStart"/>
      <w:r>
        <w:rPr>
          <w:rFonts w:hint="eastAsia"/>
          <w:sz w:val="24"/>
        </w:rPr>
        <w:t>交建建筑</w:t>
      </w:r>
      <w:proofErr w:type="gramEnd"/>
      <w:r>
        <w:rPr>
          <w:rFonts w:hint="eastAsia"/>
          <w:sz w:val="24"/>
        </w:rPr>
        <w:t>向控股股东及关联方提供的房屋建筑及附属设施建设服务，其中：</w:t>
      </w:r>
      <w:r w:rsidRPr="002957D7">
        <w:rPr>
          <w:rFonts w:hint="eastAsia"/>
          <w:sz w:val="24"/>
        </w:rPr>
        <w:t>合肥祥瀚房地产开发有限公司</w:t>
      </w:r>
      <w:r>
        <w:rPr>
          <w:rFonts w:hint="eastAsia"/>
          <w:sz w:val="24"/>
        </w:rPr>
        <w:t>相关项目为收购前承接项目，按照合同约定缴纳履约保证金；</w:t>
      </w:r>
      <w:r w:rsidRPr="002957D7">
        <w:rPr>
          <w:rFonts w:hint="eastAsia"/>
          <w:sz w:val="24"/>
        </w:rPr>
        <w:t>阜南县城北</w:t>
      </w:r>
      <w:proofErr w:type="gramStart"/>
      <w:r w:rsidRPr="002957D7">
        <w:rPr>
          <w:rFonts w:hint="eastAsia"/>
          <w:sz w:val="24"/>
        </w:rPr>
        <w:t>祥</w:t>
      </w:r>
      <w:proofErr w:type="gramEnd"/>
      <w:r w:rsidRPr="002957D7">
        <w:rPr>
          <w:rFonts w:hint="eastAsia"/>
          <w:sz w:val="24"/>
        </w:rPr>
        <w:t>源房地产开发有限公司</w:t>
      </w:r>
      <w:r>
        <w:rPr>
          <w:rFonts w:hint="eastAsia"/>
          <w:sz w:val="24"/>
        </w:rPr>
        <w:t>、</w:t>
      </w:r>
      <w:proofErr w:type="gramStart"/>
      <w:r w:rsidRPr="00D32639">
        <w:rPr>
          <w:rFonts w:hint="eastAsia"/>
          <w:sz w:val="24"/>
        </w:rPr>
        <w:t>阜阳源海房地产</w:t>
      </w:r>
      <w:proofErr w:type="gramEnd"/>
      <w:r w:rsidRPr="00D32639">
        <w:rPr>
          <w:rFonts w:hint="eastAsia"/>
          <w:sz w:val="24"/>
        </w:rPr>
        <w:t>开发有限公司</w:t>
      </w:r>
      <w:r>
        <w:rPr>
          <w:rFonts w:hint="eastAsia"/>
          <w:sz w:val="24"/>
        </w:rPr>
        <w:t>相关项目为收购后承接项目，相关合同签订及关联交易议案均已经过必要的</w:t>
      </w:r>
      <w:r w:rsidRPr="00FD7388">
        <w:rPr>
          <w:rFonts w:hint="eastAsia"/>
          <w:sz w:val="24"/>
        </w:rPr>
        <w:t>审议程序</w:t>
      </w:r>
      <w:r>
        <w:rPr>
          <w:rFonts w:hint="eastAsia"/>
          <w:sz w:val="24"/>
        </w:rPr>
        <w:t>并审议通过，也履行了相应信息披露义务。相关履约保证金系按照合同约定缴纳，符合相关法律法规规定及行业惯例，关联合同项目履约保证金的缴纳要求、比例及退还条件与非关联合同项目不存在明显差异。</w:t>
      </w:r>
    </w:p>
    <w:p w:rsidR="000D3334" w:rsidRDefault="000D3334" w:rsidP="000D3334">
      <w:pPr>
        <w:spacing w:beforeLines="50" w:before="156" w:line="360" w:lineRule="auto"/>
        <w:ind w:firstLineChars="200" w:firstLine="480"/>
        <w:rPr>
          <w:sz w:val="24"/>
        </w:rPr>
      </w:pPr>
      <w:r>
        <w:rPr>
          <w:rFonts w:hint="eastAsia"/>
          <w:sz w:val="24"/>
        </w:rPr>
        <w:t>相关合同约定履约保证金的退还：履约保证金在工程竣工验收通过（合格）且无任何违约责任时，由乙方（承包人）提出申请，甲方（发包人）</w:t>
      </w:r>
      <w:r>
        <w:rPr>
          <w:rFonts w:hint="eastAsia"/>
          <w:sz w:val="24"/>
        </w:rPr>
        <w:t>15</w:t>
      </w:r>
      <w:r>
        <w:rPr>
          <w:rFonts w:hint="eastAsia"/>
          <w:sz w:val="24"/>
        </w:rPr>
        <w:t>个工作日内无息返还。上表中账龄超过</w:t>
      </w:r>
      <w:r>
        <w:rPr>
          <w:rFonts w:hint="eastAsia"/>
          <w:sz w:val="24"/>
        </w:rPr>
        <w:t>1</w:t>
      </w:r>
      <w:r>
        <w:rPr>
          <w:rFonts w:hint="eastAsia"/>
          <w:sz w:val="24"/>
        </w:rPr>
        <w:t>年的履约保证金尚未退还系对应工程项目仍在建设过程中，尚未满足退还条件，不存在</w:t>
      </w:r>
      <w:proofErr w:type="gramStart"/>
      <w:r>
        <w:rPr>
          <w:rFonts w:hint="eastAsia"/>
          <w:sz w:val="24"/>
        </w:rPr>
        <w:t>潜在资金</w:t>
      </w:r>
      <w:proofErr w:type="gramEnd"/>
      <w:r>
        <w:rPr>
          <w:rFonts w:hint="eastAsia"/>
          <w:sz w:val="24"/>
        </w:rPr>
        <w:t>占用。</w:t>
      </w:r>
    </w:p>
    <w:p w:rsidR="000D3334" w:rsidRDefault="000D3334" w:rsidP="000D3334">
      <w:pPr>
        <w:spacing w:beforeLines="50" w:before="156" w:line="360" w:lineRule="auto"/>
        <w:ind w:firstLineChars="200" w:firstLine="482"/>
        <w:outlineLvl w:val="0"/>
        <w:rPr>
          <w:b/>
          <w:bCs/>
          <w:sz w:val="24"/>
        </w:rPr>
      </w:pPr>
      <w:r>
        <w:rPr>
          <w:rFonts w:hint="eastAsia"/>
          <w:b/>
          <w:bCs/>
          <w:sz w:val="24"/>
        </w:rPr>
        <w:t>三、年审会计师核查意见</w:t>
      </w:r>
    </w:p>
    <w:p w:rsidR="000D3334" w:rsidRDefault="000D3334" w:rsidP="000D3334">
      <w:pPr>
        <w:spacing w:beforeLines="50" w:before="156" w:line="360" w:lineRule="auto"/>
        <w:ind w:firstLineChars="200" w:firstLine="482"/>
        <w:outlineLvl w:val="1"/>
        <w:rPr>
          <w:b/>
          <w:bCs/>
          <w:sz w:val="24"/>
        </w:rPr>
      </w:pPr>
      <w:r>
        <w:rPr>
          <w:rFonts w:hint="eastAsia"/>
          <w:b/>
          <w:bCs/>
          <w:sz w:val="24"/>
        </w:rPr>
        <w:t>（一）核查程序</w:t>
      </w:r>
    </w:p>
    <w:p w:rsidR="000D3334" w:rsidRDefault="000D3334" w:rsidP="000D3334">
      <w:pPr>
        <w:spacing w:beforeLines="50" w:before="156" w:line="360" w:lineRule="auto"/>
        <w:ind w:firstLineChars="200" w:firstLine="480"/>
        <w:rPr>
          <w:sz w:val="24"/>
        </w:rPr>
      </w:pPr>
      <w:r>
        <w:rPr>
          <w:rFonts w:hint="eastAsia"/>
          <w:sz w:val="24"/>
        </w:rPr>
        <w:t>针对上述事项，年审会计师履行了以下核查程序：</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获取公司其他应收明细表，复核检查前十大欠款方的名称、款项性质、金额、具体账龄结构、减值计提金额统计准确性；复核检查对关联方其他应收款的欠款方名称、交易背景、金额、坏账计提、期后回款情况等金额准确性；</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、获取关联方清单，结合工商信息查询，核实前十大欠款方与公司及控股股东是否存在关联关系；了解其他应收</w:t>
      </w:r>
      <w:proofErr w:type="gramStart"/>
      <w:r>
        <w:rPr>
          <w:rFonts w:hint="eastAsia"/>
          <w:sz w:val="24"/>
        </w:rPr>
        <w:t>款形成</w:t>
      </w:r>
      <w:proofErr w:type="gramEnd"/>
      <w:r>
        <w:rPr>
          <w:rFonts w:hint="eastAsia"/>
          <w:sz w:val="24"/>
        </w:rPr>
        <w:t>的项目背景及原因，检查合同、协议中的缴纳或支付、款项退回约定和条件及支付银行回单等，判断其商业合理性及是否存在其他利益安排；</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、对关联方其他应收款期末余额及发生额，获取并检查相关项目合同协议及审批审议文件，核实确认合同签订及关联交易是否履行了必要的审议程序与信息披露义务；</w:t>
      </w:r>
    </w:p>
    <w:p w:rsidR="000D3334" w:rsidRDefault="000D3334" w:rsidP="000D3334">
      <w:pPr>
        <w:spacing w:beforeLines="50" w:before="156" w:line="360" w:lineRule="auto"/>
        <w:ind w:firstLineChars="200" w:firstLine="480"/>
        <w:rPr>
          <w:sz w:val="24"/>
        </w:rPr>
      </w:pPr>
      <w:r>
        <w:rPr>
          <w:rFonts w:hint="eastAsia"/>
          <w:sz w:val="24"/>
        </w:rPr>
        <w:t>4</w:t>
      </w:r>
      <w:r>
        <w:rPr>
          <w:rFonts w:hint="eastAsia"/>
          <w:sz w:val="24"/>
        </w:rPr>
        <w:t>、结合合同协议约定的退回条件或期限，对于账龄超过</w:t>
      </w:r>
      <w:r>
        <w:rPr>
          <w:rFonts w:hint="eastAsia"/>
          <w:sz w:val="24"/>
        </w:rPr>
        <w:t>1</w:t>
      </w:r>
      <w:r>
        <w:rPr>
          <w:rFonts w:hint="eastAsia"/>
          <w:sz w:val="24"/>
        </w:rPr>
        <w:t>年的关联方其他应收</w:t>
      </w:r>
      <w:proofErr w:type="gramStart"/>
      <w:r>
        <w:rPr>
          <w:rFonts w:hint="eastAsia"/>
          <w:sz w:val="24"/>
        </w:rPr>
        <w:t>款了解</w:t>
      </w:r>
      <w:proofErr w:type="gramEnd"/>
      <w:r>
        <w:rPr>
          <w:rFonts w:hint="eastAsia"/>
          <w:sz w:val="24"/>
        </w:rPr>
        <w:t>尚未回款原因，核实是否存在</w:t>
      </w:r>
      <w:proofErr w:type="gramStart"/>
      <w:r>
        <w:rPr>
          <w:rFonts w:hint="eastAsia"/>
          <w:sz w:val="24"/>
        </w:rPr>
        <w:t>潜在资金</w:t>
      </w:r>
      <w:proofErr w:type="gramEnd"/>
      <w:r>
        <w:rPr>
          <w:rFonts w:hint="eastAsia"/>
          <w:sz w:val="24"/>
        </w:rPr>
        <w:t>占用情况。</w:t>
      </w:r>
    </w:p>
    <w:p w:rsidR="000D3334" w:rsidRDefault="000D3334" w:rsidP="000D3334">
      <w:pPr>
        <w:spacing w:beforeLines="50" w:before="156" w:line="360" w:lineRule="auto"/>
        <w:ind w:firstLineChars="200" w:firstLine="482"/>
        <w:outlineLvl w:val="1"/>
        <w:rPr>
          <w:b/>
          <w:bCs/>
          <w:sz w:val="24"/>
        </w:rPr>
      </w:pPr>
      <w:r>
        <w:rPr>
          <w:rFonts w:hint="eastAsia"/>
          <w:b/>
          <w:bCs/>
          <w:sz w:val="24"/>
        </w:rPr>
        <w:lastRenderedPageBreak/>
        <w:t>（二）核查意见</w:t>
      </w:r>
    </w:p>
    <w:p w:rsidR="000D3334" w:rsidRDefault="000D3334" w:rsidP="000D3334">
      <w:pPr>
        <w:spacing w:beforeLines="50" w:before="156" w:line="360" w:lineRule="auto"/>
        <w:ind w:firstLineChars="200" w:firstLine="480"/>
        <w:rPr>
          <w:sz w:val="24"/>
        </w:rPr>
      </w:pPr>
      <w:r>
        <w:rPr>
          <w:rFonts w:hint="eastAsia"/>
          <w:sz w:val="24"/>
        </w:rPr>
        <w:t>经核查，年审会计师认为：</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w:t>
      </w:r>
      <w:r w:rsidRPr="002000AF">
        <w:rPr>
          <w:rFonts w:hint="eastAsia"/>
          <w:sz w:val="24"/>
        </w:rPr>
        <w:t>其他</w:t>
      </w:r>
      <w:proofErr w:type="gramStart"/>
      <w:r w:rsidRPr="002000AF">
        <w:rPr>
          <w:rFonts w:hint="eastAsia"/>
          <w:sz w:val="24"/>
        </w:rPr>
        <w:t>应收款前十</w:t>
      </w:r>
      <w:proofErr w:type="gramEnd"/>
      <w:r w:rsidRPr="002000AF">
        <w:rPr>
          <w:rFonts w:hint="eastAsia"/>
          <w:sz w:val="24"/>
        </w:rPr>
        <w:t>大欠款方中合肥祥瀚房地产开发有限公司、阜南县城北</w:t>
      </w:r>
      <w:proofErr w:type="gramStart"/>
      <w:r w:rsidRPr="002000AF">
        <w:rPr>
          <w:rFonts w:hint="eastAsia"/>
          <w:sz w:val="24"/>
        </w:rPr>
        <w:t>祥</w:t>
      </w:r>
      <w:proofErr w:type="gramEnd"/>
      <w:r w:rsidRPr="002000AF">
        <w:rPr>
          <w:rFonts w:hint="eastAsia"/>
          <w:sz w:val="24"/>
        </w:rPr>
        <w:t>源房地产开发有限公司为公司控股股东下属公司，与公司及控股股东存在关联关系，相关款项为履约保证金，不存在其他利益安排。除此以外，其他欠款方与公司及控股股东不存在关联关系及其他利益安排。</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、公司对关联方的其他应收款均为履约保函金，欠款方为关联业主单位，公司作为工程项目承包方按照合同约定缴纳，相关合同签订及关联交易均已履行了必要的审议程序与信息披露义务；账龄超过</w:t>
      </w:r>
      <w:r>
        <w:rPr>
          <w:rFonts w:hint="eastAsia"/>
          <w:sz w:val="24"/>
        </w:rPr>
        <w:t>1</w:t>
      </w:r>
      <w:r>
        <w:rPr>
          <w:rFonts w:hint="eastAsia"/>
          <w:sz w:val="24"/>
        </w:rPr>
        <w:t>年的履约保证金尚未退还系对应工程项目仍在建设过程中，尚未满足退还条件，不存在</w:t>
      </w:r>
      <w:proofErr w:type="gramStart"/>
      <w:r>
        <w:rPr>
          <w:rFonts w:hint="eastAsia"/>
          <w:sz w:val="24"/>
        </w:rPr>
        <w:t>潜在资金</w:t>
      </w:r>
      <w:proofErr w:type="gramEnd"/>
      <w:r>
        <w:rPr>
          <w:rFonts w:hint="eastAsia"/>
          <w:sz w:val="24"/>
        </w:rPr>
        <w:t>占用。</w:t>
      </w:r>
    </w:p>
    <w:p w:rsidR="000D3334" w:rsidRDefault="000D3334" w:rsidP="000D3334">
      <w:pPr>
        <w:spacing w:beforeLines="50" w:before="156" w:line="360" w:lineRule="auto"/>
        <w:ind w:firstLineChars="200" w:firstLine="480"/>
        <w:rPr>
          <w:sz w:val="24"/>
        </w:rPr>
      </w:pPr>
    </w:p>
    <w:p w:rsidR="000D3334" w:rsidRDefault="000D3334" w:rsidP="000D3334">
      <w:pPr>
        <w:spacing w:beforeLines="50" w:before="156" w:line="360" w:lineRule="auto"/>
        <w:ind w:firstLineChars="200" w:firstLine="482"/>
        <w:outlineLvl w:val="0"/>
        <w:rPr>
          <w:b/>
          <w:bCs/>
          <w:sz w:val="24"/>
        </w:rPr>
      </w:pPr>
      <w:r>
        <w:rPr>
          <w:rFonts w:hint="eastAsia"/>
          <w:b/>
          <w:bCs/>
          <w:sz w:val="24"/>
        </w:rPr>
        <w:t>问题</w:t>
      </w:r>
      <w:r>
        <w:rPr>
          <w:rFonts w:hint="eastAsia"/>
          <w:b/>
          <w:bCs/>
          <w:sz w:val="24"/>
        </w:rPr>
        <w:t>4</w:t>
      </w:r>
      <w:r>
        <w:rPr>
          <w:rFonts w:hint="eastAsia"/>
          <w:b/>
          <w:bCs/>
          <w:sz w:val="24"/>
        </w:rPr>
        <w:t>、关于关联其他非流动资产</w:t>
      </w:r>
    </w:p>
    <w:p w:rsidR="000D3334" w:rsidRDefault="000D3334" w:rsidP="000D3334">
      <w:pPr>
        <w:spacing w:beforeLines="50" w:before="156" w:line="360" w:lineRule="auto"/>
        <w:ind w:firstLineChars="200" w:firstLine="482"/>
        <w:rPr>
          <w:b/>
          <w:bCs/>
          <w:sz w:val="24"/>
        </w:rPr>
      </w:pPr>
      <w:r>
        <w:rPr>
          <w:rFonts w:hint="eastAsia"/>
          <w:b/>
          <w:bCs/>
          <w:sz w:val="24"/>
        </w:rPr>
        <w:t>年报显示，公司应收关联方的其他非流动资产期末余额</w:t>
      </w:r>
      <w:r>
        <w:rPr>
          <w:rFonts w:hint="eastAsia"/>
          <w:b/>
          <w:bCs/>
          <w:sz w:val="24"/>
        </w:rPr>
        <w:t>5919.53</w:t>
      </w:r>
      <w:r>
        <w:rPr>
          <w:rFonts w:hint="eastAsia"/>
          <w:b/>
          <w:bCs/>
          <w:sz w:val="24"/>
        </w:rPr>
        <w:t>万元，计提坏账</w:t>
      </w:r>
      <w:r>
        <w:rPr>
          <w:rFonts w:hint="eastAsia"/>
          <w:b/>
          <w:bCs/>
          <w:sz w:val="24"/>
        </w:rPr>
        <w:t>130.97</w:t>
      </w:r>
      <w:r>
        <w:rPr>
          <w:rFonts w:hint="eastAsia"/>
          <w:b/>
          <w:bCs/>
          <w:sz w:val="24"/>
        </w:rPr>
        <w:t>万元，欠款方主要是控股股东旗下地产类与旅游类公司。请公司补充披露：（</w:t>
      </w:r>
      <w:r>
        <w:rPr>
          <w:rFonts w:hint="eastAsia"/>
          <w:b/>
          <w:bCs/>
          <w:sz w:val="24"/>
        </w:rPr>
        <w:t>1</w:t>
      </w:r>
      <w:r>
        <w:rPr>
          <w:rFonts w:hint="eastAsia"/>
          <w:b/>
          <w:bCs/>
          <w:sz w:val="24"/>
        </w:rPr>
        <w:t>）应收关联方的其他非流动资产形成的原因、涉及业务内容、金额，以及相关款项后续回收计划；（</w:t>
      </w:r>
      <w:r>
        <w:rPr>
          <w:rFonts w:hint="eastAsia"/>
          <w:b/>
          <w:bCs/>
          <w:sz w:val="24"/>
        </w:rPr>
        <w:t>2</w:t>
      </w:r>
      <w:r>
        <w:rPr>
          <w:rFonts w:hint="eastAsia"/>
          <w:b/>
          <w:bCs/>
          <w:sz w:val="24"/>
        </w:rPr>
        <w:t>）结合关联方目前流动性与资信情况，说明公司已采取或拟采取何种措施保证后续款项的回收。请年审会计师发表意见</w:t>
      </w:r>
      <w:r>
        <w:rPr>
          <w:b/>
          <w:bCs/>
          <w:sz w:val="24"/>
        </w:rPr>
        <w:t>。</w:t>
      </w:r>
    </w:p>
    <w:p w:rsidR="000D3334" w:rsidRDefault="000D3334" w:rsidP="000D3334">
      <w:pPr>
        <w:spacing w:beforeLines="50" w:before="156" w:line="360" w:lineRule="auto"/>
        <w:ind w:firstLineChars="200" w:firstLine="482"/>
        <w:outlineLvl w:val="0"/>
        <w:rPr>
          <w:b/>
          <w:bCs/>
          <w:sz w:val="24"/>
        </w:rPr>
      </w:pPr>
      <w:r>
        <w:rPr>
          <w:b/>
          <w:bCs/>
          <w:sz w:val="24"/>
        </w:rPr>
        <w:t>回复</w:t>
      </w:r>
      <w:r>
        <w:rPr>
          <w:rFonts w:hint="eastAsia"/>
          <w:b/>
          <w:bCs/>
          <w:sz w:val="24"/>
        </w:rPr>
        <w:t>：</w:t>
      </w:r>
    </w:p>
    <w:p w:rsidR="000D3334" w:rsidRDefault="000D3334" w:rsidP="000D3334">
      <w:pPr>
        <w:spacing w:beforeLines="50" w:before="156" w:line="360" w:lineRule="auto"/>
        <w:ind w:firstLineChars="200" w:firstLine="482"/>
        <w:outlineLvl w:val="0"/>
        <w:rPr>
          <w:b/>
          <w:bCs/>
          <w:sz w:val="24"/>
        </w:rPr>
      </w:pPr>
      <w:r>
        <w:rPr>
          <w:b/>
          <w:bCs/>
          <w:sz w:val="24"/>
        </w:rPr>
        <w:t>一、</w:t>
      </w:r>
      <w:r>
        <w:rPr>
          <w:rFonts w:hint="eastAsia"/>
          <w:b/>
          <w:bCs/>
          <w:sz w:val="24"/>
        </w:rPr>
        <w:t>应收关联方的其他非流动资产形成的原因、涉及业务内容、金额，以及相关款项后续回收计划</w:t>
      </w:r>
    </w:p>
    <w:p w:rsidR="000D3334" w:rsidRDefault="000D3334" w:rsidP="000D3334">
      <w:pPr>
        <w:spacing w:beforeLines="50" w:before="156" w:line="360" w:lineRule="auto"/>
        <w:ind w:firstLineChars="200" w:firstLine="480"/>
        <w:rPr>
          <w:sz w:val="24"/>
        </w:rPr>
      </w:pPr>
      <w:r>
        <w:rPr>
          <w:rFonts w:hint="eastAsia"/>
          <w:sz w:val="24"/>
        </w:rPr>
        <w:t>截至</w:t>
      </w:r>
      <w:r>
        <w:rPr>
          <w:rFonts w:hint="eastAsia"/>
          <w:sz w:val="24"/>
        </w:rPr>
        <w:t>2024</w:t>
      </w:r>
      <w:r>
        <w:rPr>
          <w:rFonts w:hint="eastAsia"/>
          <w:sz w:val="24"/>
        </w:rPr>
        <w:t>年末，公司应收关联方的其他非流动资产期末余额为</w:t>
      </w:r>
      <w:r>
        <w:rPr>
          <w:rFonts w:hint="eastAsia"/>
          <w:sz w:val="24"/>
        </w:rPr>
        <w:t>5,919.53</w:t>
      </w:r>
      <w:r>
        <w:rPr>
          <w:rFonts w:hint="eastAsia"/>
          <w:sz w:val="24"/>
        </w:rPr>
        <w:t>万元，均系各工程项目未到期且到期日为</w:t>
      </w:r>
      <w:r>
        <w:rPr>
          <w:rFonts w:hint="eastAsia"/>
          <w:sz w:val="24"/>
        </w:rPr>
        <w:t>1</w:t>
      </w:r>
      <w:r>
        <w:rPr>
          <w:rFonts w:hint="eastAsia"/>
          <w:sz w:val="24"/>
        </w:rPr>
        <w:t>年以上的质保金。根据施工合同约定，工程项目审计定案后，业主单位通常支付至定案金额的</w:t>
      </w:r>
      <w:r>
        <w:rPr>
          <w:rFonts w:hint="eastAsia"/>
          <w:sz w:val="24"/>
        </w:rPr>
        <w:t>95%-97%</w:t>
      </w:r>
      <w:r>
        <w:rPr>
          <w:rFonts w:hint="eastAsia"/>
          <w:sz w:val="24"/>
        </w:rPr>
        <w:t>，余款作为工程质量保证金，</w:t>
      </w:r>
      <w:proofErr w:type="gramStart"/>
      <w:r>
        <w:rPr>
          <w:rFonts w:hint="eastAsia"/>
          <w:sz w:val="24"/>
        </w:rPr>
        <w:t>待质量缺陷责任期满并</w:t>
      </w:r>
      <w:proofErr w:type="gramEnd"/>
      <w:r>
        <w:rPr>
          <w:rFonts w:hint="eastAsia"/>
          <w:sz w:val="24"/>
        </w:rPr>
        <w:t>无质量问题发生后，一次性付清，质量缺陷责任期通常为</w:t>
      </w:r>
      <w:r>
        <w:rPr>
          <w:rFonts w:hint="eastAsia"/>
          <w:sz w:val="24"/>
        </w:rPr>
        <w:t>2-5</w:t>
      </w:r>
      <w:r>
        <w:rPr>
          <w:rFonts w:hint="eastAsia"/>
          <w:sz w:val="24"/>
        </w:rPr>
        <w:t>年。故期末根据各项</w:t>
      </w:r>
      <w:proofErr w:type="gramStart"/>
      <w:r>
        <w:rPr>
          <w:rFonts w:hint="eastAsia"/>
          <w:sz w:val="24"/>
        </w:rPr>
        <w:t>目合同</w:t>
      </w:r>
      <w:proofErr w:type="gramEnd"/>
      <w:r>
        <w:rPr>
          <w:rFonts w:hint="eastAsia"/>
          <w:sz w:val="24"/>
        </w:rPr>
        <w:t>具体约定，将质量缺陷责任期到期期限在</w:t>
      </w:r>
      <w:r>
        <w:rPr>
          <w:rFonts w:hint="eastAsia"/>
          <w:sz w:val="24"/>
        </w:rPr>
        <w:t>1</w:t>
      </w:r>
      <w:r>
        <w:rPr>
          <w:rFonts w:hint="eastAsia"/>
          <w:sz w:val="24"/>
        </w:rPr>
        <w:t>年以上的质保金重分类至其他非流动资产列报，相关款项在质量</w:t>
      </w:r>
      <w:proofErr w:type="gramStart"/>
      <w:r>
        <w:rPr>
          <w:rFonts w:hint="eastAsia"/>
          <w:sz w:val="24"/>
        </w:rPr>
        <w:t>缺陷</w:t>
      </w:r>
      <w:r>
        <w:rPr>
          <w:rFonts w:hint="eastAsia"/>
          <w:sz w:val="24"/>
        </w:rPr>
        <w:lastRenderedPageBreak/>
        <w:t>责任期满并无</w:t>
      </w:r>
      <w:proofErr w:type="gramEnd"/>
      <w:r>
        <w:rPr>
          <w:rFonts w:hint="eastAsia"/>
          <w:sz w:val="24"/>
        </w:rPr>
        <w:t>质量问题发生后，可以正常收回。</w:t>
      </w:r>
    </w:p>
    <w:p w:rsidR="000D3334" w:rsidRDefault="000D3334" w:rsidP="000D3334">
      <w:pPr>
        <w:spacing w:beforeLines="50" w:before="156" w:line="360" w:lineRule="auto"/>
        <w:ind w:firstLineChars="200" w:firstLine="482"/>
        <w:outlineLvl w:val="0"/>
        <w:rPr>
          <w:b/>
          <w:bCs/>
          <w:sz w:val="24"/>
        </w:rPr>
      </w:pPr>
      <w:r>
        <w:rPr>
          <w:rFonts w:hint="eastAsia"/>
          <w:b/>
          <w:bCs/>
          <w:sz w:val="24"/>
        </w:rPr>
        <w:t>二、结合关联方目前流动性与资信情况，说明公司已采取或拟采取何种措施保证后续款项的回收</w:t>
      </w:r>
    </w:p>
    <w:p w:rsidR="000D3334" w:rsidRDefault="000D3334" w:rsidP="000D3334">
      <w:pPr>
        <w:spacing w:beforeLines="50" w:before="156" w:line="360" w:lineRule="auto"/>
        <w:ind w:firstLineChars="200" w:firstLine="482"/>
        <w:outlineLvl w:val="1"/>
        <w:rPr>
          <w:b/>
          <w:bCs/>
          <w:sz w:val="24"/>
        </w:rPr>
      </w:pPr>
      <w:r>
        <w:rPr>
          <w:rFonts w:hint="eastAsia"/>
          <w:b/>
          <w:bCs/>
          <w:sz w:val="24"/>
        </w:rPr>
        <w:t>（一）控股股东目前流动性与资信情况</w:t>
      </w:r>
    </w:p>
    <w:p w:rsidR="000D3334" w:rsidRDefault="000D3334" w:rsidP="000D3334">
      <w:pPr>
        <w:spacing w:beforeLines="50" w:before="156" w:line="360" w:lineRule="auto"/>
        <w:ind w:firstLineChars="200" w:firstLine="480"/>
        <w:rPr>
          <w:sz w:val="24"/>
        </w:rPr>
      </w:pPr>
      <w:r>
        <w:rPr>
          <w:rFonts w:hint="eastAsia"/>
          <w:sz w:val="24"/>
        </w:rPr>
        <w:t>公司控股股东</w:t>
      </w:r>
      <w:proofErr w:type="gramStart"/>
      <w:r>
        <w:rPr>
          <w:rFonts w:hint="eastAsia"/>
          <w:sz w:val="24"/>
        </w:rPr>
        <w:t>祥</w:t>
      </w:r>
      <w:proofErr w:type="gramEnd"/>
      <w:r>
        <w:rPr>
          <w:rFonts w:hint="eastAsia"/>
          <w:sz w:val="24"/>
        </w:rPr>
        <w:t>源控股集团有限责任公司，是一家以</w:t>
      </w:r>
      <w:proofErr w:type="gramStart"/>
      <w:r>
        <w:rPr>
          <w:rFonts w:hint="eastAsia"/>
          <w:sz w:val="24"/>
        </w:rPr>
        <w:t>文旅投资</w:t>
      </w:r>
      <w:proofErr w:type="gramEnd"/>
      <w:r>
        <w:rPr>
          <w:rFonts w:hint="eastAsia"/>
          <w:sz w:val="24"/>
        </w:rPr>
        <w:t>建设运营为主导的企业集团，业务主要分为三大板块，包括</w:t>
      </w:r>
      <w:proofErr w:type="gramStart"/>
      <w:r>
        <w:rPr>
          <w:rFonts w:hint="eastAsia"/>
          <w:sz w:val="24"/>
        </w:rPr>
        <w:t>文旅资产</w:t>
      </w:r>
      <w:proofErr w:type="gramEnd"/>
      <w:r>
        <w:rPr>
          <w:rFonts w:hint="eastAsia"/>
          <w:sz w:val="24"/>
        </w:rPr>
        <w:t>开发运营、基建投资和房地产投资与运营。</w:t>
      </w:r>
    </w:p>
    <w:p w:rsidR="000D3334" w:rsidRDefault="000D3334" w:rsidP="000D3334">
      <w:pPr>
        <w:spacing w:beforeLines="50" w:before="156" w:line="360" w:lineRule="auto"/>
        <w:ind w:firstLineChars="200" w:firstLine="480"/>
        <w:rPr>
          <w:sz w:val="24"/>
        </w:rPr>
      </w:pPr>
      <w:r>
        <w:rPr>
          <w:rFonts w:hint="eastAsia"/>
          <w:sz w:val="24"/>
        </w:rPr>
        <w:t>根据中喜会计师事务所（特殊普通合伙）合肥分所出具的</w:t>
      </w:r>
      <w:proofErr w:type="gramStart"/>
      <w:r>
        <w:rPr>
          <w:rFonts w:hint="eastAsia"/>
          <w:sz w:val="24"/>
        </w:rPr>
        <w:t>祥</w:t>
      </w:r>
      <w:proofErr w:type="gramEnd"/>
      <w:r>
        <w:rPr>
          <w:rFonts w:hint="eastAsia"/>
          <w:sz w:val="24"/>
        </w:rPr>
        <w:t>源控股</w:t>
      </w:r>
      <w:r>
        <w:rPr>
          <w:sz w:val="24"/>
        </w:rPr>
        <w:t>202</w:t>
      </w:r>
      <w:r>
        <w:rPr>
          <w:rFonts w:hint="eastAsia"/>
          <w:sz w:val="24"/>
        </w:rPr>
        <w:t>4</w:t>
      </w:r>
      <w:r>
        <w:rPr>
          <w:rFonts w:hint="eastAsia"/>
          <w:sz w:val="24"/>
        </w:rPr>
        <w:t>年度审计报告（中</w:t>
      </w:r>
      <w:proofErr w:type="gramStart"/>
      <w:r>
        <w:rPr>
          <w:rFonts w:hint="eastAsia"/>
          <w:sz w:val="24"/>
        </w:rPr>
        <w:t>喜庐财审</w:t>
      </w:r>
      <w:proofErr w:type="gramEnd"/>
      <w:r>
        <w:rPr>
          <w:rFonts w:hint="eastAsia"/>
          <w:sz w:val="24"/>
        </w:rPr>
        <w:t>2025S00094</w:t>
      </w:r>
      <w:r>
        <w:rPr>
          <w:rFonts w:hint="eastAsia"/>
          <w:sz w:val="24"/>
        </w:rPr>
        <w:t>号），</w:t>
      </w:r>
      <w:r>
        <w:rPr>
          <w:sz w:val="24"/>
        </w:rPr>
        <w:t>202</w:t>
      </w:r>
      <w:r>
        <w:rPr>
          <w:rFonts w:hint="eastAsia"/>
          <w:sz w:val="24"/>
        </w:rPr>
        <w:t>3</w:t>
      </w:r>
      <w:r>
        <w:rPr>
          <w:sz w:val="24"/>
        </w:rPr>
        <w:t>-202</w:t>
      </w:r>
      <w:r>
        <w:rPr>
          <w:rFonts w:hint="eastAsia"/>
          <w:sz w:val="24"/>
        </w:rPr>
        <w:t>4</w:t>
      </w:r>
      <w:r>
        <w:rPr>
          <w:rFonts w:hint="eastAsia"/>
          <w:sz w:val="24"/>
        </w:rPr>
        <w:t>年度，</w:t>
      </w:r>
      <w:proofErr w:type="gramStart"/>
      <w:r>
        <w:rPr>
          <w:rFonts w:hint="eastAsia"/>
          <w:sz w:val="24"/>
        </w:rPr>
        <w:t>祥</w:t>
      </w:r>
      <w:proofErr w:type="gramEnd"/>
      <w:r>
        <w:rPr>
          <w:rFonts w:hint="eastAsia"/>
          <w:sz w:val="24"/>
        </w:rPr>
        <w:t>源控股的主要财务指标列示如下：</w:t>
      </w:r>
    </w:p>
    <w:p w:rsidR="000D3334" w:rsidRDefault="000D3334" w:rsidP="000D3334">
      <w:pPr>
        <w:ind w:firstLineChars="200" w:firstLine="420"/>
        <w:jc w:val="right"/>
        <w:rPr>
          <w:szCs w:val="21"/>
        </w:rPr>
      </w:pPr>
      <w:r>
        <w:rPr>
          <w:rFonts w:hint="eastAsia"/>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0"/>
        <w:gridCol w:w="2632"/>
        <w:gridCol w:w="2840"/>
      </w:tblGrid>
      <w:tr w:rsidR="000D3334" w:rsidTr="00F3634B">
        <w:trPr>
          <w:trHeight w:val="454"/>
          <w:tblHeader/>
        </w:trPr>
        <w:tc>
          <w:tcPr>
            <w:tcW w:w="1790" w:type="pct"/>
            <w:tcBorders>
              <w:top w:val="single" w:sz="12" w:space="0" w:color="auto"/>
              <w:left w:val="single" w:sz="12" w:space="0" w:color="auto"/>
              <w:bottom w:val="single" w:sz="4" w:space="0" w:color="auto"/>
              <w:right w:val="single" w:sz="4" w:space="0" w:color="auto"/>
            </w:tcBorders>
            <w:shd w:val="clear" w:color="auto" w:fill="D9D9D9"/>
            <w:vAlign w:val="center"/>
          </w:tcPr>
          <w:p w:rsidR="000D3334" w:rsidRDefault="000D3334" w:rsidP="00F3634B">
            <w:pPr>
              <w:jc w:val="center"/>
              <w:textAlignment w:val="center"/>
              <w:rPr>
                <w:b/>
                <w:bCs/>
                <w:szCs w:val="21"/>
              </w:rPr>
            </w:pPr>
            <w:r>
              <w:rPr>
                <w:b/>
                <w:bCs/>
                <w:snapToGrid w:val="0"/>
                <w:color w:val="000000"/>
                <w:szCs w:val="21"/>
                <w:lang w:bidi="ar"/>
              </w:rPr>
              <w:t>项目</w:t>
            </w:r>
          </w:p>
        </w:tc>
        <w:tc>
          <w:tcPr>
            <w:tcW w:w="1544" w:type="pct"/>
            <w:tcBorders>
              <w:top w:val="single" w:sz="12" w:space="0" w:color="auto"/>
              <w:left w:val="single" w:sz="4" w:space="0" w:color="auto"/>
              <w:bottom w:val="single" w:sz="4" w:space="0" w:color="auto"/>
              <w:right w:val="single" w:sz="4" w:space="0" w:color="auto"/>
            </w:tcBorders>
            <w:shd w:val="clear" w:color="auto" w:fill="D9D9D9"/>
            <w:vAlign w:val="center"/>
          </w:tcPr>
          <w:p w:rsidR="000D3334" w:rsidRDefault="000D3334" w:rsidP="00F3634B">
            <w:pPr>
              <w:jc w:val="center"/>
              <w:textAlignment w:val="center"/>
              <w:rPr>
                <w:b/>
                <w:bCs/>
                <w:szCs w:val="21"/>
              </w:rPr>
            </w:pPr>
            <w:r>
              <w:rPr>
                <w:b/>
                <w:bCs/>
                <w:snapToGrid w:val="0"/>
                <w:color w:val="000000"/>
                <w:szCs w:val="21"/>
                <w:lang w:bidi="ar"/>
              </w:rPr>
              <w:t>2024-12-31/2024</w:t>
            </w:r>
            <w:r>
              <w:rPr>
                <w:b/>
                <w:bCs/>
                <w:snapToGrid w:val="0"/>
                <w:color w:val="000000"/>
                <w:szCs w:val="21"/>
                <w:lang w:bidi="ar"/>
              </w:rPr>
              <w:t>年度</w:t>
            </w:r>
          </w:p>
        </w:tc>
        <w:tc>
          <w:tcPr>
            <w:tcW w:w="1666" w:type="pct"/>
            <w:tcBorders>
              <w:top w:val="single" w:sz="12" w:space="0" w:color="auto"/>
              <w:left w:val="single" w:sz="4" w:space="0" w:color="auto"/>
              <w:bottom w:val="single" w:sz="4" w:space="0" w:color="auto"/>
              <w:right w:val="single" w:sz="12" w:space="0" w:color="auto"/>
            </w:tcBorders>
            <w:shd w:val="clear" w:color="auto" w:fill="D9D9D9"/>
            <w:vAlign w:val="center"/>
          </w:tcPr>
          <w:p w:rsidR="000D3334" w:rsidRDefault="000D3334" w:rsidP="00F3634B">
            <w:pPr>
              <w:jc w:val="center"/>
              <w:textAlignment w:val="center"/>
              <w:rPr>
                <w:b/>
                <w:bCs/>
                <w:szCs w:val="21"/>
              </w:rPr>
            </w:pPr>
            <w:r>
              <w:rPr>
                <w:b/>
                <w:bCs/>
                <w:szCs w:val="21"/>
              </w:rPr>
              <w:t>2023-12-31/2023</w:t>
            </w:r>
            <w:r>
              <w:rPr>
                <w:b/>
                <w:bCs/>
                <w:szCs w:val="21"/>
              </w:rPr>
              <w:t>年度</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流动资产总额</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3,924,978.93</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4,177,158.46</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lang w:bidi="ar"/>
              </w:rPr>
            </w:pPr>
            <w:r>
              <w:rPr>
                <w:snapToGrid w:val="0"/>
                <w:color w:val="000000"/>
                <w:szCs w:val="21"/>
                <w:lang w:bidi="ar"/>
              </w:rPr>
              <w:t>非流动资产总额</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lang w:bidi="ar"/>
              </w:rPr>
            </w:pPr>
            <w:r>
              <w:rPr>
                <w:szCs w:val="21"/>
                <w:lang w:bidi="ar"/>
              </w:rPr>
              <w:t>2,072,783.11</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2,086,964.36</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b/>
                <w:bCs/>
                <w:szCs w:val="21"/>
                <w:lang w:bidi="ar"/>
              </w:rPr>
            </w:pPr>
            <w:r>
              <w:rPr>
                <w:b/>
                <w:bCs/>
                <w:snapToGrid w:val="0"/>
                <w:color w:val="000000"/>
                <w:szCs w:val="21"/>
                <w:lang w:bidi="ar"/>
              </w:rPr>
              <w:t>资产总额合计</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b/>
                <w:bCs/>
                <w:szCs w:val="21"/>
                <w:lang w:bidi="ar"/>
              </w:rPr>
            </w:pPr>
            <w:r>
              <w:rPr>
                <w:b/>
                <w:bCs/>
                <w:szCs w:val="21"/>
                <w:lang w:bidi="ar"/>
              </w:rPr>
              <w:t>5,997,762.04</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b/>
                <w:bCs/>
                <w:szCs w:val="21"/>
              </w:rPr>
            </w:pPr>
            <w:r>
              <w:rPr>
                <w:b/>
                <w:bCs/>
                <w:szCs w:val="21"/>
              </w:rPr>
              <w:t>6,264,122.81</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流动负债总额</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2,652,029.95</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2,795,517.57</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非流动负债总额</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1,186,717.40</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1,352,025.97</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b/>
                <w:bCs/>
                <w:szCs w:val="21"/>
              </w:rPr>
            </w:pPr>
            <w:r>
              <w:rPr>
                <w:b/>
                <w:bCs/>
                <w:snapToGrid w:val="0"/>
                <w:color w:val="000000"/>
                <w:szCs w:val="21"/>
                <w:lang w:bidi="ar"/>
              </w:rPr>
              <w:t>负债总额合计</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b/>
                <w:bCs/>
                <w:szCs w:val="21"/>
              </w:rPr>
            </w:pPr>
            <w:r>
              <w:rPr>
                <w:b/>
                <w:bCs/>
                <w:szCs w:val="21"/>
              </w:rPr>
              <w:t>3,838,747.35</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b/>
                <w:bCs/>
                <w:szCs w:val="21"/>
              </w:rPr>
            </w:pPr>
            <w:r>
              <w:rPr>
                <w:b/>
                <w:bCs/>
                <w:szCs w:val="21"/>
              </w:rPr>
              <w:t>4,147,543.54</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b/>
                <w:bCs/>
                <w:szCs w:val="21"/>
              </w:rPr>
            </w:pPr>
            <w:r>
              <w:rPr>
                <w:b/>
                <w:bCs/>
                <w:snapToGrid w:val="0"/>
                <w:color w:val="000000"/>
                <w:szCs w:val="21"/>
                <w:lang w:bidi="ar"/>
              </w:rPr>
              <w:t>所有者权益合计</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b/>
                <w:bCs/>
                <w:szCs w:val="21"/>
              </w:rPr>
            </w:pPr>
            <w:r>
              <w:rPr>
                <w:b/>
                <w:bCs/>
                <w:szCs w:val="21"/>
              </w:rPr>
              <w:t>2,159,014.69</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b/>
                <w:bCs/>
                <w:szCs w:val="21"/>
              </w:rPr>
            </w:pPr>
            <w:r>
              <w:rPr>
                <w:b/>
                <w:bCs/>
                <w:szCs w:val="21"/>
              </w:rPr>
              <w:t>2,116,579.27</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营业总收入</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1,072,562.47</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1,184,608.00</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净利润</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57,457.62</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68,807.60</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经营活动产生的现金流量净额</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zCs w:val="21"/>
              </w:rPr>
            </w:pPr>
            <w:r>
              <w:rPr>
                <w:szCs w:val="21"/>
              </w:rPr>
              <w:t>148,096.02</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zCs w:val="21"/>
              </w:rPr>
            </w:pPr>
            <w:r>
              <w:rPr>
                <w:szCs w:val="21"/>
              </w:rPr>
              <w:t>131,186.11</w:t>
            </w:r>
          </w:p>
        </w:tc>
      </w:tr>
      <w:tr w:rsidR="000D3334" w:rsidTr="00F3634B">
        <w:trPr>
          <w:trHeight w:val="454"/>
        </w:trPr>
        <w:tc>
          <w:tcPr>
            <w:tcW w:w="1790" w:type="pct"/>
            <w:tcBorders>
              <w:top w:val="single" w:sz="4" w:space="0" w:color="auto"/>
              <w:left w:val="single" w:sz="12" w:space="0" w:color="auto"/>
              <w:bottom w:val="single" w:sz="4"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资产负债率（</w:t>
            </w:r>
            <w:r>
              <w:rPr>
                <w:snapToGrid w:val="0"/>
                <w:color w:val="000000"/>
                <w:szCs w:val="21"/>
                <w:lang w:bidi="ar"/>
              </w:rPr>
              <w:t>%</w:t>
            </w:r>
            <w:r>
              <w:rPr>
                <w:snapToGrid w:val="0"/>
                <w:color w:val="000000"/>
                <w:szCs w:val="21"/>
                <w:lang w:bidi="ar"/>
              </w:rPr>
              <w:t>）</w:t>
            </w:r>
          </w:p>
        </w:tc>
        <w:tc>
          <w:tcPr>
            <w:tcW w:w="1544" w:type="pct"/>
            <w:tcBorders>
              <w:top w:val="single" w:sz="4" w:space="0" w:color="auto"/>
              <w:left w:val="single" w:sz="4" w:space="0" w:color="auto"/>
              <w:bottom w:val="single" w:sz="4" w:space="0" w:color="auto"/>
              <w:right w:val="single" w:sz="4" w:space="0" w:color="auto"/>
            </w:tcBorders>
            <w:vAlign w:val="center"/>
          </w:tcPr>
          <w:p w:rsidR="000D3334" w:rsidRDefault="000D3334" w:rsidP="00F3634B">
            <w:pPr>
              <w:jc w:val="right"/>
              <w:textAlignment w:val="center"/>
              <w:rPr>
                <w:snapToGrid w:val="0"/>
                <w:color w:val="000000"/>
                <w:szCs w:val="21"/>
                <w:lang w:bidi="ar"/>
              </w:rPr>
            </w:pPr>
            <w:r>
              <w:rPr>
                <w:snapToGrid w:val="0"/>
                <w:color w:val="000000"/>
                <w:szCs w:val="21"/>
                <w:lang w:bidi="ar"/>
              </w:rPr>
              <w:t>64.00%</w:t>
            </w:r>
          </w:p>
        </w:tc>
        <w:tc>
          <w:tcPr>
            <w:tcW w:w="1666" w:type="pct"/>
            <w:tcBorders>
              <w:top w:val="single" w:sz="4" w:space="0" w:color="auto"/>
              <w:left w:val="single" w:sz="4" w:space="0" w:color="auto"/>
              <w:bottom w:val="single" w:sz="4" w:space="0" w:color="auto"/>
              <w:right w:val="single" w:sz="12" w:space="0" w:color="auto"/>
            </w:tcBorders>
            <w:vAlign w:val="center"/>
          </w:tcPr>
          <w:p w:rsidR="000D3334" w:rsidRDefault="000D3334" w:rsidP="00F3634B">
            <w:pPr>
              <w:jc w:val="right"/>
              <w:textAlignment w:val="center"/>
              <w:rPr>
                <w:snapToGrid w:val="0"/>
                <w:color w:val="000000"/>
                <w:szCs w:val="21"/>
                <w:lang w:bidi="ar"/>
              </w:rPr>
            </w:pPr>
            <w:r>
              <w:rPr>
                <w:szCs w:val="21"/>
              </w:rPr>
              <w:t>66.21%</w:t>
            </w:r>
          </w:p>
        </w:tc>
      </w:tr>
      <w:tr w:rsidR="000D3334" w:rsidTr="00F3634B">
        <w:trPr>
          <w:trHeight w:val="454"/>
        </w:trPr>
        <w:tc>
          <w:tcPr>
            <w:tcW w:w="1790" w:type="pct"/>
            <w:tcBorders>
              <w:top w:val="single" w:sz="4" w:space="0" w:color="auto"/>
              <w:left w:val="single" w:sz="12" w:space="0" w:color="auto"/>
              <w:bottom w:val="single" w:sz="12" w:space="0" w:color="auto"/>
              <w:right w:val="single" w:sz="4" w:space="0" w:color="auto"/>
            </w:tcBorders>
            <w:vAlign w:val="center"/>
          </w:tcPr>
          <w:p w:rsidR="000D3334" w:rsidRDefault="000D3334" w:rsidP="00F3634B">
            <w:pPr>
              <w:jc w:val="left"/>
              <w:textAlignment w:val="center"/>
              <w:rPr>
                <w:szCs w:val="21"/>
              </w:rPr>
            </w:pPr>
            <w:r>
              <w:rPr>
                <w:snapToGrid w:val="0"/>
                <w:color w:val="000000"/>
                <w:szCs w:val="21"/>
                <w:lang w:bidi="ar"/>
              </w:rPr>
              <w:t>流动比率（</w:t>
            </w:r>
            <w:proofErr w:type="gramStart"/>
            <w:r>
              <w:rPr>
                <w:snapToGrid w:val="0"/>
                <w:color w:val="000000"/>
                <w:szCs w:val="21"/>
                <w:lang w:bidi="ar"/>
              </w:rPr>
              <w:t>倍</w:t>
            </w:r>
            <w:proofErr w:type="gramEnd"/>
            <w:r>
              <w:rPr>
                <w:snapToGrid w:val="0"/>
                <w:color w:val="000000"/>
                <w:szCs w:val="21"/>
                <w:lang w:bidi="ar"/>
              </w:rPr>
              <w:t>）</w:t>
            </w:r>
          </w:p>
        </w:tc>
        <w:tc>
          <w:tcPr>
            <w:tcW w:w="1544" w:type="pct"/>
            <w:tcBorders>
              <w:top w:val="single" w:sz="4" w:space="0" w:color="auto"/>
              <w:left w:val="single" w:sz="4" w:space="0" w:color="auto"/>
              <w:bottom w:val="single" w:sz="12" w:space="0" w:color="auto"/>
              <w:right w:val="single" w:sz="4" w:space="0" w:color="auto"/>
            </w:tcBorders>
            <w:vAlign w:val="center"/>
          </w:tcPr>
          <w:p w:rsidR="000D3334" w:rsidRDefault="000D3334" w:rsidP="00F3634B">
            <w:pPr>
              <w:jc w:val="right"/>
              <w:textAlignment w:val="center"/>
              <w:rPr>
                <w:szCs w:val="21"/>
              </w:rPr>
            </w:pPr>
            <w:r>
              <w:rPr>
                <w:szCs w:val="21"/>
              </w:rPr>
              <w:t>1.48</w:t>
            </w:r>
          </w:p>
        </w:tc>
        <w:tc>
          <w:tcPr>
            <w:tcW w:w="1666" w:type="pct"/>
            <w:tcBorders>
              <w:top w:val="single" w:sz="4" w:space="0" w:color="auto"/>
              <w:left w:val="single" w:sz="4" w:space="0" w:color="auto"/>
              <w:bottom w:val="single" w:sz="12" w:space="0" w:color="auto"/>
              <w:right w:val="single" w:sz="12" w:space="0" w:color="auto"/>
            </w:tcBorders>
            <w:vAlign w:val="center"/>
          </w:tcPr>
          <w:p w:rsidR="000D3334" w:rsidRDefault="000D3334" w:rsidP="00F3634B">
            <w:pPr>
              <w:jc w:val="right"/>
              <w:textAlignment w:val="center"/>
              <w:rPr>
                <w:szCs w:val="21"/>
              </w:rPr>
            </w:pPr>
            <w:r>
              <w:rPr>
                <w:szCs w:val="21"/>
              </w:rPr>
              <w:t>1.49</w:t>
            </w:r>
          </w:p>
        </w:tc>
      </w:tr>
    </w:tbl>
    <w:p w:rsidR="000D3334" w:rsidRPr="005B65BD" w:rsidRDefault="000D3334" w:rsidP="000D3334">
      <w:pPr>
        <w:spacing w:line="360" w:lineRule="auto"/>
        <w:ind w:firstLineChars="200" w:firstLine="420"/>
        <w:rPr>
          <w:szCs w:val="21"/>
        </w:rPr>
      </w:pPr>
      <w:r w:rsidRPr="005B65BD">
        <w:rPr>
          <w:rFonts w:hint="eastAsia"/>
          <w:szCs w:val="21"/>
        </w:rPr>
        <w:t>注：上述报表为控股股东合并报表，包括所属两家上市公司财务数据。</w:t>
      </w:r>
    </w:p>
    <w:p w:rsidR="000D3334" w:rsidRPr="006310D6" w:rsidRDefault="000D3334" w:rsidP="000D3334">
      <w:pPr>
        <w:spacing w:beforeLines="50" w:before="156" w:line="360" w:lineRule="auto"/>
        <w:ind w:firstLineChars="200" w:firstLine="480"/>
        <w:rPr>
          <w:sz w:val="24"/>
        </w:rPr>
      </w:pPr>
      <w:r w:rsidRPr="008C3287">
        <w:rPr>
          <w:rFonts w:hint="eastAsia"/>
          <w:sz w:val="24"/>
        </w:rPr>
        <w:t>如上表所示，从控股股东合并财务报表角度</w:t>
      </w:r>
      <w:r>
        <w:rPr>
          <w:rFonts w:hint="eastAsia"/>
          <w:sz w:val="24"/>
        </w:rPr>
        <w:t>及公开查询信息</w:t>
      </w:r>
      <w:r w:rsidRPr="008C3287">
        <w:rPr>
          <w:rFonts w:hint="eastAsia"/>
          <w:sz w:val="24"/>
        </w:rPr>
        <w:t>，目前</w:t>
      </w:r>
      <w:r>
        <w:rPr>
          <w:rFonts w:hint="eastAsia"/>
          <w:sz w:val="24"/>
        </w:rPr>
        <w:t>无失信被执行人等异常情况</w:t>
      </w:r>
      <w:r w:rsidRPr="008C3287">
        <w:rPr>
          <w:rFonts w:hint="eastAsia"/>
          <w:sz w:val="24"/>
        </w:rPr>
        <w:t>。</w:t>
      </w:r>
      <w:r w:rsidRPr="006310D6">
        <w:rPr>
          <w:rFonts w:hint="eastAsia"/>
          <w:sz w:val="24"/>
        </w:rPr>
        <w:t>根据</w:t>
      </w:r>
      <w:proofErr w:type="gramStart"/>
      <w:r w:rsidRPr="006310D6">
        <w:rPr>
          <w:rFonts w:hint="eastAsia"/>
          <w:sz w:val="24"/>
        </w:rPr>
        <w:t>祥</w:t>
      </w:r>
      <w:proofErr w:type="gramEnd"/>
      <w:r w:rsidRPr="006310D6">
        <w:rPr>
          <w:rFonts w:hint="eastAsia"/>
          <w:sz w:val="24"/>
        </w:rPr>
        <w:t>源控股提供资料，</w:t>
      </w:r>
      <w:r>
        <w:rPr>
          <w:rFonts w:hint="eastAsia"/>
          <w:sz w:val="24"/>
        </w:rPr>
        <w:t>截至</w:t>
      </w:r>
      <w:r w:rsidRPr="006310D6">
        <w:rPr>
          <w:sz w:val="24"/>
        </w:rPr>
        <w:t>202</w:t>
      </w:r>
      <w:r w:rsidRPr="006310D6">
        <w:rPr>
          <w:rFonts w:hint="eastAsia"/>
          <w:sz w:val="24"/>
        </w:rPr>
        <w:t>4</w:t>
      </w:r>
      <w:r w:rsidRPr="006310D6">
        <w:rPr>
          <w:rFonts w:hint="eastAsia"/>
          <w:sz w:val="24"/>
        </w:rPr>
        <w:t>年</w:t>
      </w:r>
      <w:r w:rsidRPr="006310D6">
        <w:rPr>
          <w:sz w:val="24"/>
        </w:rPr>
        <w:t>12</w:t>
      </w:r>
      <w:r w:rsidRPr="006310D6">
        <w:rPr>
          <w:rFonts w:hint="eastAsia"/>
          <w:sz w:val="24"/>
        </w:rPr>
        <w:t>月</w:t>
      </w:r>
      <w:r w:rsidRPr="006310D6">
        <w:rPr>
          <w:sz w:val="24"/>
        </w:rPr>
        <w:t>31</w:t>
      </w:r>
      <w:r w:rsidRPr="006310D6">
        <w:rPr>
          <w:rFonts w:hint="eastAsia"/>
          <w:sz w:val="24"/>
        </w:rPr>
        <w:t>日</w:t>
      </w:r>
      <w:r>
        <w:rPr>
          <w:rFonts w:hint="eastAsia"/>
          <w:sz w:val="24"/>
        </w:rPr>
        <w:t>，</w:t>
      </w:r>
      <w:proofErr w:type="gramStart"/>
      <w:r>
        <w:rPr>
          <w:rFonts w:hint="eastAsia"/>
          <w:sz w:val="24"/>
        </w:rPr>
        <w:t>祥</w:t>
      </w:r>
      <w:proofErr w:type="gramEnd"/>
      <w:r>
        <w:rPr>
          <w:rFonts w:hint="eastAsia"/>
          <w:sz w:val="24"/>
        </w:rPr>
        <w:t>源控股</w:t>
      </w:r>
      <w:r w:rsidRPr="006310D6">
        <w:rPr>
          <w:rFonts w:hint="eastAsia"/>
          <w:sz w:val="24"/>
        </w:rPr>
        <w:t>拥有银行授信总额为</w:t>
      </w:r>
      <w:r w:rsidRPr="001127C2">
        <w:rPr>
          <w:sz w:val="24"/>
        </w:rPr>
        <w:t>1,957,094.29</w:t>
      </w:r>
      <w:r>
        <w:rPr>
          <w:rFonts w:hint="eastAsia"/>
          <w:sz w:val="24"/>
        </w:rPr>
        <w:t>万</w:t>
      </w:r>
      <w:r w:rsidRPr="006310D6">
        <w:rPr>
          <w:rFonts w:hint="eastAsia"/>
          <w:sz w:val="24"/>
        </w:rPr>
        <w:t>元，其中已用额度</w:t>
      </w:r>
      <w:r w:rsidRPr="001127C2">
        <w:rPr>
          <w:sz w:val="24"/>
        </w:rPr>
        <w:t>957,205.37</w:t>
      </w:r>
      <w:r>
        <w:rPr>
          <w:rFonts w:hint="eastAsia"/>
          <w:sz w:val="24"/>
        </w:rPr>
        <w:t>万</w:t>
      </w:r>
      <w:r w:rsidRPr="006310D6">
        <w:rPr>
          <w:rFonts w:hint="eastAsia"/>
          <w:sz w:val="24"/>
        </w:rPr>
        <w:t>元，未使</w:t>
      </w:r>
      <w:r w:rsidRPr="006310D6">
        <w:rPr>
          <w:rFonts w:hint="eastAsia"/>
          <w:sz w:val="24"/>
        </w:rPr>
        <w:lastRenderedPageBreak/>
        <w:t>用授信额度为</w:t>
      </w:r>
      <w:r w:rsidRPr="001127C2">
        <w:rPr>
          <w:sz w:val="24"/>
        </w:rPr>
        <w:t>999,888.92</w:t>
      </w:r>
      <w:r>
        <w:rPr>
          <w:rFonts w:hint="eastAsia"/>
          <w:sz w:val="24"/>
        </w:rPr>
        <w:t>万</w:t>
      </w:r>
      <w:r w:rsidRPr="006310D6">
        <w:rPr>
          <w:rFonts w:hint="eastAsia"/>
          <w:sz w:val="24"/>
        </w:rPr>
        <w:t>元。</w:t>
      </w:r>
    </w:p>
    <w:p w:rsidR="000D3334" w:rsidRDefault="000D3334" w:rsidP="000D3334">
      <w:pPr>
        <w:spacing w:beforeLines="50" w:before="156" w:line="360" w:lineRule="auto"/>
        <w:ind w:firstLineChars="200" w:firstLine="482"/>
        <w:outlineLvl w:val="1"/>
        <w:rPr>
          <w:b/>
          <w:bCs/>
          <w:sz w:val="24"/>
        </w:rPr>
      </w:pPr>
      <w:r>
        <w:rPr>
          <w:rFonts w:hint="eastAsia"/>
          <w:b/>
          <w:bCs/>
          <w:sz w:val="24"/>
        </w:rPr>
        <w:t>（二）说明公司已采取或拟采取何种措施保证后续款项的回收</w:t>
      </w:r>
    </w:p>
    <w:p w:rsidR="000D3334" w:rsidRDefault="000D3334" w:rsidP="000D3334">
      <w:pPr>
        <w:spacing w:beforeLines="50" w:before="156" w:line="360" w:lineRule="auto"/>
        <w:ind w:firstLineChars="200" w:firstLine="480"/>
        <w:rPr>
          <w:sz w:val="24"/>
        </w:rPr>
      </w:pPr>
      <w:r>
        <w:rPr>
          <w:rFonts w:hint="eastAsia"/>
          <w:sz w:val="24"/>
        </w:rPr>
        <w:t>公司已采取或拟采取以下措施保证后续款项的回收：</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、保持日常磋商及常态化催收，结合合同约定及项目进展，定期统计更新相关工程款和</w:t>
      </w:r>
      <w:proofErr w:type="gramStart"/>
      <w:r>
        <w:rPr>
          <w:rFonts w:hint="eastAsia"/>
          <w:sz w:val="24"/>
        </w:rPr>
        <w:t>质保金</w:t>
      </w:r>
      <w:proofErr w:type="gramEnd"/>
      <w:r>
        <w:rPr>
          <w:rFonts w:hint="eastAsia"/>
          <w:sz w:val="24"/>
        </w:rPr>
        <w:t>等的金额、账龄、支付节点及到期应收情况，及时与关联方沟通回款并要求控股股东参与督促协调，在具备条件下优先以银行存款、银行承兑汇票等流动性较强的方式进行支付；</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、公司前期已经通过债务重组与</w:t>
      </w:r>
      <w:proofErr w:type="gramStart"/>
      <w:r>
        <w:rPr>
          <w:rFonts w:hint="eastAsia"/>
          <w:sz w:val="24"/>
        </w:rPr>
        <w:t>抵销</w:t>
      </w:r>
      <w:proofErr w:type="gramEnd"/>
      <w:r>
        <w:rPr>
          <w:rFonts w:hint="eastAsia"/>
          <w:sz w:val="24"/>
        </w:rPr>
        <w:t>安排清收部分到期债务，加快对关联方应收款项的回收，最大限度维护公司利益；</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、建立关联方实时流动性及资信跟踪机制，对于尚未到期或满足支付条件的应收款项，公司重点关注现金流、资产负债率、流动比率等偿债指标，根据相关情况强化催收力度；</w:t>
      </w:r>
      <w:r w:rsidDel="00411B96">
        <w:rPr>
          <w:rFonts w:hint="eastAsia"/>
          <w:sz w:val="24"/>
        </w:rPr>
        <w:t xml:space="preserve"> </w:t>
      </w:r>
    </w:p>
    <w:p w:rsidR="000D3334" w:rsidRDefault="000D3334" w:rsidP="000D3334">
      <w:pPr>
        <w:spacing w:beforeLines="50" w:before="156" w:line="360" w:lineRule="auto"/>
        <w:ind w:firstLineChars="200" w:firstLine="480"/>
        <w:rPr>
          <w:sz w:val="24"/>
        </w:rPr>
      </w:pPr>
      <w:r>
        <w:rPr>
          <w:rFonts w:hint="eastAsia"/>
          <w:sz w:val="24"/>
        </w:rPr>
        <w:t>4</w:t>
      </w:r>
      <w:r>
        <w:rPr>
          <w:rFonts w:hint="eastAsia"/>
          <w:sz w:val="24"/>
        </w:rPr>
        <w:t>、根据</w:t>
      </w:r>
      <w:r>
        <w:rPr>
          <w:rFonts w:hint="eastAsia"/>
          <w:sz w:val="24"/>
        </w:rPr>
        <w:t>2021</w:t>
      </w:r>
      <w:r>
        <w:rPr>
          <w:rFonts w:hint="eastAsia"/>
          <w:sz w:val="24"/>
        </w:rPr>
        <w:t>年收购</w:t>
      </w:r>
      <w:proofErr w:type="gramStart"/>
      <w:r>
        <w:rPr>
          <w:rFonts w:hint="eastAsia"/>
          <w:sz w:val="24"/>
        </w:rPr>
        <w:t>祥源建设</w:t>
      </w:r>
      <w:proofErr w:type="gramEnd"/>
      <w:r>
        <w:rPr>
          <w:rFonts w:hint="eastAsia"/>
          <w:sz w:val="24"/>
        </w:rPr>
        <w:t>时控股股东出具的相关承诺：承诺在关联方无力支付时，由其统筹集团资源优先偿付。</w:t>
      </w:r>
      <w:bookmarkStart w:id="15" w:name="_Hlk198905328"/>
    </w:p>
    <w:p w:rsidR="000D3334" w:rsidRDefault="000D3334" w:rsidP="000D3334">
      <w:pPr>
        <w:spacing w:beforeLines="50" w:before="156" w:line="360" w:lineRule="auto"/>
        <w:ind w:firstLineChars="200" w:firstLine="482"/>
        <w:outlineLvl w:val="0"/>
        <w:rPr>
          <w:b/>
          <w:bCs/>
          <w:sz w:val="24"/>
        </w:rPr>
      </w:pPr>
      <w:r>
        <w:rPr>
          <w:rFonts w:hint="eastAsia"/>
          <w:b/>
          <w:bCs/>
          <w:sz w:val="24"/>
        </w:rPr>
        <w:t>三、年审会计师核查意见</w:t>
      </w:r>
    </w:p>
    <w:p w:rsidR="000D3334" w:rsidRDefault="000D3334" w:rsidP="000D3334">
      <w:pPr>
        <w:spacing w:beforeLines="50" w:before="156" w:line="360" w:lineRule="auto"/>
        <w:ind w:firstLineChars="200" w:firstLine="482"/>
        <w:outlineLvl w:val="1"/>
        <w:rPr>
          <w:b/>
          <w:bCs/>
          <w:sz w:val="24"/>
        </w:rPr>
      </w:pPr>
      <w:r>
        <w:rPr>
          <w:rFonts w:hint="eastAsia"/>
          <w:b/>
          <w:bCs/>
          <w:sz w:val="24"/>
        </w:rPr>
        <w:t>（一）核查程序</w:t>
      </w:r>
    </w:p>
    <w:p w:rsidR="000D3334" w:rsidRDefault="000D3334" w:rsidP="000D3334">
      <w:pPr>
        <w:spacing w:beforeLines="50" w:before="156" w:line="360" w:lineRule="auto"/>
        <w:ind w:firstLineChars="200" w:firstLine="480"/>
        <w:rPr>
          <w:sz w:val="24"/>
        </w:rPr>
      </w:pPr>
      <w:r>
        <w:rPr>
          <w:rFonts w:hint="eastAsia"/>
          <w:sz w:val="24"/>
        </w:rPr>
        <w:t>针对上述事项，年审会计师履行了以下核查程序：</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、获取公司期末其他非流动资产明细表，查看其他非流动资产涉及的具体项目、形成原因、金额及到期日；</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、获取相关项目的施工合同、竣工决算资料等，结合合同条款检查，复核其他非流动资产的划分是否准确和完整，判断其他非流动资产余额是否均未到期；</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、获取控股股东合并财务报表，计算复核相关财务指标，分析其财务状况及流动性；通过公开信息查询控股股东及附属关联方的工商状况及资信情况；</w:t>
      </w:r>
    </w:p>
    <w:p w:rsidR="000D3334" w:rsidRDefault="000D3334" w:rsidP="000D3334">
      <w:pPr>
        <w:spacing w:beforeLines="50" w:before="156" w:line="360" w:lineRule="auto"/>
        <w:ind w:firstLineChars="200" w:firstLine="480"/>
        <w:rPr>
          <w:sz w:val="24"/>
        </w:rPr>
      </w:pPr>
      <w:r>
        <w:rPr>
          <w:rFonts w:hint="eastAsia"/>
          <w:sz w:val="24"/>
        </w:rPr>
        <w:t>4</w:t>
      </w:r>
      <w:r>
        <w:rPr>
          <w:rFonts w:hint="eastAsia"/>
          <w:sz w:val="24"/>
        </w:rPr>
        <w:t>、询问并检查公司已采取或拟采取何种措施保证后续款项的回收。</w:t>
      </w:r>
    </w:p>
    <w:p w:rsidR="000D3334" w:rsidRDefault="000D3334" w:rsidP="000D3334">
      <w:pPr>
        <w:spacing w:beforeLines="50" w:before="156" w:line="360" w:lineRule="auto"/>
        <w:ind w:firstLineChars="200" w:firstLine="482"/>
        <w:outlineLvl w:val="1"/>
        <w:rPr>
          <w:b/>
          <w:bCs/>
          <w:sz w:val="24"/>
        </w:rPr>
      </w:pPr>
      <w:r>
        <w:rPr>
          <w:rFonts w:hint="eastAsia"/>
          <w:b/>
          <w:bCs/>
          <w:sz w:val="24"/>
        </w:rPr>
        <w:t>（二）核查意见</w:t>
      </w:r>
    </w:p>
    <w:p w:rsidR="000D3334" w:rsidRDefault="000D3334" w:rsidP="000D3334">
      <w:pPr>
        <w:spacing w:beforeLines="50" w:before="156" w:line="360" w:lineRule="auto"/>
        <w:ind w:firstLineChars="200" w:firstLine="480"/>
        <w:rPr>
          <w:sz w:val="24"/>
        </w:rPr>
      </w:pPr>
      <w:r>
        <w:rPr>
          <w:rFonts w:hint="eastAsia"/>
          <w:sz w:val="24"/>
        </w:rPr>
        <w:lastRenderedPageBreak/>
        <w:t>经核查，年审会计师认为：</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、公司应收关联方的其他非流动资产系各工程项目未到期且到期日为</w:t>
      </w:r>
      <w:r>
        <w:rPr>
          <w:rFonts w:hint="eastAsia"/>
          <w:sz w:val="24"/>
        </w:rPr>
        <w:t>1</w:t>
      </w:r>
      <w:r>
        <w:rPr>
          <w:rFonts w:hint="eastAsia"/>
          <w:sz w:val="24"/>
        </w:rPr>
        <w:t>年以上的质保金，根据合同约定，相关款项在质量</w:t>
      </w:r>
      <w:proofErr w:type="gramStart"/>
      <w:r>
        <w:rPr>
          <w:rFonts w:hint="eastAsia"/>
          <w:sz w:val="24"/>
        </w:rPr>
        <w:t>缺陷责任期满并无</w:t>
      </w:r>
      <w:proofErr w:type="gramEnd"/>
      <w:r>
        <w:rPr>
          <w:rFonts w:hint="eastAsia"/>
          <w:sz w:val="24"/>
        </w:rPr>
        <w:t>质量问题发生后，可以收回；</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、结合控股股东及其关联方流动性与资信情况，相关质保金到期满足回款条件后，将继续以现金、票据等多种形式收回款项，公司已采取或拟进一步采取措施保证后续款项的回收</w:t>
      </w:r>
      <w:bookmarkEnd w:id="15"/>
      <w:r>
        <w:rPr>
          <w:rFonts w:hint="eastAsia"/>
          <w:sz w:val="24"/>
        </w:rPr>
        <w:t>。</w:t>
      </w:r>
    </w:p>
    <w:p w:rsidR="000D3334" w:rsidRDefault="000D3334" w:rsidP="000D3334">
      <w:pPr>
        <w:spacing w:beforeLines="50" w:before="156" w:line="360" w:lineRule="auto"/>
        <w:ind w:firstLineChars="200" w:firstLine="480"/>
        <w:rPr>
          <w:sz w:val="24"/>
        </w:rPr>
      </w:pPr>
    </w:p>
    <w:p w:rsidR="000D3334" w:rsidRDefault="000D3334" w:rsidP="000D3334">
      <w:pPr>
        <w:spacing w:beforeLines="50" w:before="156" w:line="360" w:lineRule="auto"/>
        <w:ind w:firstLineChars="200" w:firstLine="482"/>
        <w:outlineLvl w:val="0"/>
        <w:rPr>
          <w:b/>
          <w:bCs/>
          <w:sz w:val="24"/>
        </w:rPr>
      </w:pPr>
      <w:r>
        <w:rPr>
          <w:rFonts w:hint="eastAsia"/>
          <w:b/>
          <w:bCs/>
          <w:sz w:val="24"/>
        </w:rPr>
        <w:t>问题</w:t>
      </w:r>
      <w:r>
        <w:rPr>
          <w:b/>
          <w:bCs/>
          <w:sz w:val="24"/>
        </w:rPr>
        <w:t>5</w:t>
      </w:r>
      <w:r>
        <w:rPr>
          <w:rFonts w:hint="eastAsia"/>
          <w:b/>
          <w:bCs/>
          <w:sz w:val="24"/>
        </w:rPr>
        <w:t>、</w:t>
      </w:r>
      <w:r>
        <w:rPr>
          <w:b/>
          <w:bCs/>
          <w:sz w:val="24"/>
        </w:rPr>
        <w:t>关于货币资金与有息负债</w:t>
      </w:r>
    </w:p>
    <w:p w:rsidR="000D3334" w:rsidRDefault="000D3334" w:rsidP="000D3334">
      <w:pPr>
        <w:spacing w:beforeLines="50" w:before="156" w:line="360" w:lineRule="auto"/>
        <w:ind w:firstLineChars="200" w:firstLine="482"/>
        <w:rPr>
          <w:b/>
          <w:bCs/>
          <w:sz w:val="24"/>
        </w:rPr>
      </w:pPr>
      <w:r>
        <w:rPr>
          <w:b/>
          <w:bCs/>
          <w:sz w:val="24"/>
        </w:rPr>
        <w:t>年报显示，公司货币资金期末余额</w:t>
      </w:r>
      <w:r>
        <w:rPr>
          <w:b/>
          <w:bCs/>
          <w:sz w:val="24"/>
        </w:rPr>
        <w:t>8.49</w:t>
      </w:r>
      <w:r>
        <w:rPr>
          <w:b/>
          <w:bCs/>
          <w:sz w:val="24"/>
        </w:rPr>
        <w:t>亿元；短期借款期末余额</w:t>
      </w:r>
      <w:r>
        <w:rPr>
          <w:b/>
          <w:bCs/>
          <w:sz w:val="24"/>
        </w:rPr>
        <w:t>4.56</w:t>
      </w:r>
      <w:r>
        <w:rPr>
          <w:b/>
          <w:bCs/>
          <w:sz w:val="24"/>
        </w:rPr>
        <w:t>亿元，一年内到期的非流动负债期末余额</w:t>
      </w:r>
      <w:r>
        <w:rPr>
          <w:b/>
          <w:bCs/>
          <w:sz w:val="24"/>
        </w:rPr>
        <w:t>1.72</w:t>
      </w:r>
      <w:r>
        <w:rPr>
          <w:b/>
          <w:bCs/>
          <w:sz w:val="24"/>
        </w:rPr>
        <w:t>亿元，长期借款期末余额合计</w:t>
      </w:r>
      <w:r>
        <w:rPr>
          <w:b/>
          <w:bCs/>
          <w:sz w:val="24"/>
        </w:rPr>
        <w:t>9.71</w:t>
      </w:r>
      <w:r>
        <w:rPr>
          <w:b/>
          <w:bCs/>
          <w:sz w:val="24"/>
        </w:rPr>
        <w:t>亿元。报告期内，利息支出</w:t>
      </w:r>
      <w:r>
        <w:rPr>
          <w:b/>
          <w:bCs/>
          <w:sz w:val="24"/>
        </w:rPr>
        <w:t>1.02</w:t>
      </w:r>
      <w:r>
        <w:rPr>
          <w:b/>
          <w:bCs/>
          <w:sz w:val="24"/>
        </w:rPr>
        <w:t>亿元，占净利润</w:t>
      </w:r>
      <w:r>
        <w:rPr>
          <w:b/>
          <w:bCs/>
          <w:sz w:val="24"/>
        </w:rPr>
        <w:t>77.27%</w:t>
      </w:r>
      <w:r>
        <w:rPr>
          <w:b/>
          <w:bCs/>
          <w:sz w:val="24"/>
        </w:rPr>
        <w:t>。请公司补充披露：（</w:t>
      </w:r>
      <w:r>
        <w:rPr>
          <w:b/>
          <w:bCs/>
          <w:sz w:val="24"/>
        </w:rPr>
        <w:t>1</w:t>
      </w:r>
      <w:r>
        <w:rPr>
          <w:b/>
          <w:bCs/>
          <w:sz w:val="24"/>
        </w:rPr>
        <w:t>）结合日常资金需求和使用计划，说明在持有较大规模货币资金的同时维持高额借款、承担较高利息费用的原因及合理性；（</w:t>
      </w:r>
      <w:r>
        <w:rPr>
          <w:b/>
          <w:bCs/>
          <w:sz w:val="24"/>
        </w:rPr>
        <w:t>2</w:t>
      </w:r>
      <w:r>
        <w:rPr>
          <w:b/>
          <w:bCs/>
          <w:sz w:val="24"/>
        </w:rPr>
        <w:t>）货币资金受限的具体情况，是否存在其他潜在限制性安排、与控股股东或其他关联方联合或共管账户以及货币资金被他方实际使用的情况。请年审会计师发表意见。</w:t>
      </w:r>
    </w:p>
    <w:p w:rsidR="000D3334" w:rsidRDefault="000D3334" w:rsidP="000D3334">
      <w:pPr>
        <w:spacing w:beforeLines="50" w:before="156" w:line="360" w:lineRule="auto"/>
        <w:ind w:firstLineChars="200" w:firstLine="482"/>
        <w:outlineLvl w:val="0"/>
        <w:rPr>
          <w:b/>
          <w:bCs/>
          <w:sz w:val="24"/>
        </w:rPr>
      </w:pPr>
      <w:r>
        <w:rPr>
          <w:b/>
          <w:bCs/>
          <w:sz w:val="24"/>
        </w:rPr>
        <w:t>回复</w:t>
      </w:r>
      <w:r>
        <w:rPr>
          <w:rFonts w:hint="eastAsia"/>
          <w:b/>
          <w:bCs/>
          <w:sz w:val="24"/>
        </w:rPr>
        <w:t>：</w:t>
      </w:r>
    </w:p>
    <w:p w:rsidR="000D3334" w:rsidRDefault="000D3334" w:rsidP="000D3334">
      <w:pPr>
        <w:spacing w:beforeLines="50" w:before="156" w:line="360" w:lineRule="auto"/>
        <w:ind w:firstLineChars="200" w:firstLine="482"/>
        <w:outlineLvl w:val="0"/>
        <w:rPr>
          <w:b/>
          <w:bCs/>
          <w:sz w:val="24"/>
        </w:rPr>
      </w:pPr>
      <w:r>
        <w:rPr>
          <w:b/>
          <w:bCs/>
          <w:sz w:val="24"/>
        </w:rPr>
        <w:t>一、结合日常资金需求和使用计划，说明在持有较大规模货币资金的同时维持高额借款、承担较高利息费用的原因及合理性</w:t>
      </w:r>
    </w:p>
    <w:p w:rsidR="000D3334" w:rsidRDefault="000D3334" w:rsidP="000D3334">
      <w:pPr>
        <w:spacing w:beforeLines="50" w:before="156" w:line="360" w:lineRule="auto"/>
        <w:ind w:firstLineChars="200" w:firstLine="482"/>
        <w:outlineLvl w:val="1"/>
        <w:rPr>
          <w:b/>
          <w:bCs/>
          <w:sz w:val="24"/>
        </w:rPr>
      </w:pPr>
      <w:r>
        <w:rPr>
          <w:b/>
          <w:bCs/>
          <w:sz w:val="24"/>
        </w:rPr>
        <w:t>（一）</w:t>
      </w:r>
      <w:r>
        <w:rPr>
          <w:rFonts w:hint="eastAsia"/>
          <w:b/>
          <w:bCs/>
          <w:sz w:val="24"/>
        </w:rPr>
        <w:t>货币资金期末余额构成情况</w:t>
      </w:r>
    </w:p>
    <w:p w:rsidR="000D3334" w:rsidRDefault="000D3334" w:rsidP="000D3334">
      <w:pPr>
        <w:spacing w:beforeLines="50" w:before="156"/>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1"/>
        <w:gridCol w:w="4261"/>
      </w:tblGrid>
      <w:tr w:rsidR="000D3334" w:rsidTr="00F3634B">
        <w:trPr>
          <w:trHeight w:val="397"/>
          <w:tblHeader/>
        </w:trPr>
        <w:tc>
          <w:tcPr>
            <w:tcW w:w="2500"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项目</w:t>
            </w:r>
          </w:p>
        </w:tc>
        <w:tc>
          <w:tcPr>
            <w:tcW w:w="2500"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期末余额</w:t>
            </w:r>
          </w:p>
        </w:tc>
      </w:tr>
      <w:tr w:rsidR="000D3334" w:rsidTr="00F3634B">
        <w:trPr>
          <w:trHeight w:val="397"/>
        </w:trPr>
        <w:tc>
          <w:tcPr>
            <w:tcW w:w="2500" w:type="pct"/>
            <w:vAlign w:val="center"/>
          </w:tcPr>
          <w:p w:rsidR="000D3334" w:rsidRDefault="000D3334" w:rsidP="00F3634B">
            <w:pPr>
              <w:adjustRightInd w:val="0"/>
              <w:rPr>
                <w:szCs w:val="21"/>
              </w:rPr>
            </w:pPr>
            <w:r>
              <w:rPr>
                <w:szCs w:val="21"/>
              </w:rPr>
              <w:t>库存现金</w:t>
            </w:r>
          </w:p>
        </w:tc>
        <w:tc>
          <w:tcPr>
            <w:tcW w:w="2500" w:type="pct"/>
            <w:vAlign w:val="center"/>
          </w:tcPr>
          <w:p w:rsidR="000D3334" w:rsidRDefault="000D3334" w:rsidP="00F3634B">
            <w:pPr>
              <w:adjustRightInd w:val="0"/>
              <w:jc w:val="right"/>
              <w:rPr>
                <w:b/>
                <w:bCs/>
                <w:szCs w:val="21"/>
              </w:rPr>
            </w:pPr>
            <w:r>
              <w:rPr>
                <w:rFonts w:hint="eastAsia"/>
              </w:rPr>
              <w:t xml:space="preserve"> 1.00 </w:t>
            </w:r>
          </w:p>
        </w:tc>
      </w:tr>
      <w:tr w:rsidR="000D3334" w:rsidTr="00F3634B">
        <w:trPr>
          <w:trHeight w:val="397"/>
        </w:trPr>
        <w:tc>
          <w:tcPr>
            <w:tcW w:w="2500" w:type="pct"/>
            <w:vAlign w:val="center"/>
          </w:tcPr>
          <w:p w:rsidR="000D3334" w:rsidRDefault="000D3334" w:rsidP="00F3634B">
            <w:pPr>
              <w:adjustRightInd w:val="0"/>
              <w:rPr>
                <w:szCs w:val="21"/>
              </w:rPr>
            </w:pPr>
            <w:r>
              <w:rPr>
                <w:szCs w:val="21"/>
              </w:rPr>
              <w:t>银行存款</w:t>
            </w:r>
          </w:p>
        </w:tc>
        <w:tc>
          <w:tcPr>
            <w:tcW w:w="2500" w:type="pct"/>
            <w:vAlign w:val="center"/>
          </w:tcPr>
          <w:p w:rsidR="000D3334" w:rsidRDefault="000D3334" w:rsidP="00F3634B">
            <w:pPr>
              <w:adjustRightInd w:val="0"/>
              <w:jc w:val="right"/>
              <w:rPr>
                <w:b/>
                <w:bCs/>
                <w:szCs w:val="21"/>
              </w:rPr>
            </w:pPr>
            <w:r>
              <w:rPr>
                <w:rFonts w:hint="eastAsia"/>
              </w:rPr>
              <w:t xml:space="preserve"> 79,965.62 </w:t>
            </w:r>
          </w:p>
        </w:tc>
      </w:tr>
      <w:tr w:rsidR="000D3334" w:rsidTr="00F3634B">
        <w:trPr>
          <w:trHeight w:val="397"/>
        </w:trPr>
        <w:tc>
          <w:tcPr>
            <w:tcW w:w="2500" w:type="pct"/>
            <w:vAlign w:val="center"/>
          </w:tcPr>
          <w:p w:rsidR="000D3334" w:rsidRDefault="000D3334" w:rsidP="00F3634B">
            <w:pPr>
              <w:adjustRightInd w:val="0"/>
              <w:rPr>
                <w:szCs w:val="21"/>
              </w:rPr>
            </w:pPr>
            <w:r>
              <w:rPr>
                <w:szCs w:val="21"/>
              </w:rPr>
              <w:t>其他货币资金</w:t>
            </w:r>
          </w:p>
        </w:tc>
        <w:tc>
          <w:tcPr>
            <w:tcW w:w="2500" w:type="pct"/>
            <w:vAlign w:val="center"/>
          </w:tcPr>
          <w:p w:rsidR="000D3334" w:rsidRDefault="000D3334" w:rsidP="00F3634B">
            <w:pPr>
              <w:adjustRightInd w:val="0"/>
              <w:jc w:val="right"/>
              <w:rPr>
                <w:b/>
                <w:bCs/>
                <w:szCs w:val="21"/>
              </w:rPr>
            </w:pPr>
            <w:r>
              <w:rPr>
                <w:rFonts w:hint="eastAsia"/>
              </w:rPr>
              <w:t xml:space="preserve"> 4,974.06 </w:t>
            </w:r>
          </w:p>
        </w:tc>
      </w:tr>
      <w:tr w:rsidR="000D3334" w:rsidTr="00F3634B">
        <w:trPr>
          <w:trHeight w:val="397"/>
        </w:trPr>
        <w:tc>
          <w:tcPr>
            <w:tcW w:w="2500" w:type="pct"/>
            <w:vAlign w:val="center"/>
          </w:tcPr>
          <w:p w:rsidR="000D3334" w:rsidRDefault="000D3334" w:rsidP="00F3634B">
            <w:pPr>
              <w:adjustRightInd w:val="0"/>
              <w:jc w:val="center"/>
              <w:rPr>
                <w:b/>
                <w:bCs/>
                <w:szCs w:val="21"/>
              </w:rPr>
            </w:pPr>
            <w:r>
              <w:rPr>
                <w:b/>
                <w:bCs/>
                <w:szCs w:val="21"/>
              </w:rPr>
              <w:t>合</w:t>
            </w:r>
            <w:r>
              <w:rPr>
                <w:b/>
                <w:bCs/>
                <w:szCs w:val="21"/>
              </w:rPr>
              <w:t xml:space="preserve">  </w:t>
            </w:r>
            <w:r>
              <w:rPr>
                <w:b/>
                <w:bCs/>
                <w:szCs w:val="21"/>
              </w:rPr>
              <w:t>计</w:t>
            </w:r>
          </w:p>
        </w:tc>
        <w:tc>
          <w:tcPr>
            <w:tcW w:w="2500" w:type="pct"/>
            <w:vAlign w:val="center"/>
          </w:tcPr>
          <w:p w:rsidR="000D3334" w:rsidRDefault="000D3334" w:rsidP="00F3634B">
            <w:pPr>
              <w:adjustRightInd w:val="0"/>
              <w:jc w:val="right"/>
              <w:rPr>
                <w:b/>
                <w:bCs/>
                <w:szCs w:val="21"/>
              </w:rPr>
            </w:pPr>
            <w:bookmarkStart w:id="16" w:name="_Hlk198901474"/>
            <w:r>
              <w:rPr>
                <w:rFonts w:hint="eastAsia"/>
                <w:b/>
                <w:bCs/>
              </w:rPr>
              <w:t xml:space="preserve"> 84,940.67</w:t>
            </w:r>
            <w:bookmarkEnd w:id="16"/>
            <w:r>
              <w:rPr>
                <w:rFonts w:hint="eastAsia"/>
                <w:b/>
                <w:bCs/>
              </w:rPr>
              <w:t xml:space="preserve"> </w:t>
            </w:r>
          </w:p>
        </w:tc>
      </w:tr>
      <w:tr w:rsidR="000D3334" w:rsidTr="00F3634B">
        <w:trPr>
          <w:trHeight w:val="397"/>
        </w:trPr>
        <w:tc>
          <w:tcPr>
            <w:tcW w:w="2500" w:type="pct"/>
            <w:vAlign w:val="center"/>
          </w:tcPr>
          <w:p w:rsidR="000D3334" w:rsidRDefault="000D3334" w:rsidP="00F3634B">
            <w:pPr>
              <w:adjustRightInd w:val="0"/>
              <w:jc w:val="left"/>
              <w:rPr>
                <w:szCs w:val="21"/>
              </w:rPr>
            </w:pPr>
            <w:r>
              <w:rPr>
                <w:szCs w:val="21"/>
              </w:rPr>
              <w:t>其中：使用受到限制的货币资金</w:t>
            </w:r>
          </w:p>
        </w:tc>
        <w:tc>
          <w:tcPr>
            <w:tcW w:w="2500" w:type="pct"/>
            <w:vAlign w:val="center"/>
          </w:tcPr>
          <w:p w:rsidR="000D3334" w:rsidRDefault="000D3334" w:rsidP="00F3634B">
            <w:pPr>
              <w:adjustRightInd w:val="0"/>
              <w:jc w:val="right"/>
              <w:rPr>
                <w:szCs w:val="21"/>
              </w:rPr>
            </w:pPr>
            <w:r>
              <w:rPr>
                <w:rFonts w:hint="eastAsia"/>
              </w:rPr>
              <w:t xml:space="preserve"> 7,344.94 </w:t>
            </w:r>
          </w:p>
        </w:tc>
      </w:tr>
    </w:tbl>
    <w:p w:rsidR="000D3334" w:rsidRDefault="000D3334" w:rsidP="000D3334">
      <w:pPr>
        <w:spacing w:beforeLines="50" w:before="156" w:line="360" w:lineRule="auto"/>
        <w:ind w:firstLineChars="200" w:firstLine="480"/>
        <w:rPr>
          <w:sz w:val="24"/>
        </w:rPr>
      </w:pPr>
      <w:r>
        <w:rPr>
          <w:rFonts w:hint="eastAsia"/>
          <w:sz w:val="24"/>
        </w:rPr>
        <w:lastRenderedPageBreak/>
        <w:t>公司货币资金期末余额为</w:t>
      </w:r>
      <w:r>
        <w:rPr>
          <w:rFonts w:hint="eastAsia"/>
          <w:sz w:val="24"/>
        </w:rPr>
        <w:t>84,940.67</w:t>
      </w:r>
      <w:r>
        <w:rPr>
          <w:rFonts w:hint="eastAsia"/>
          <w:sz w:val="24"/>
        </w:rPr>
        <w:t>万元，其中库存现金余额</w:t>
      </w:r>
      <w:r>
        <w:rPr>
          <w:rFonts w:hint="eastAsia"/>
          <w:sz w:val="24"/>
        </w:rPr>
        <w:t>1.00</w:t>
      </w:r>
      <w:r>
        <w:rPr>
          <w:rFonts w:hint="eastAsia"/>
          <w:sz w:val="24"/>
        </w:rPr>
        <w:t>万元主要用于零星采购；银行存款余额</w:t>
      </w:r>
      <w:r>
        <w:rPr>
          <w:rFonts w:hint="eastAsia"/>
          <w:sz w:val="24"/>
        </w:rPr>
        <w:t>79,965.62</w:t>
      </w:r>
      <w:r>
        <w:rPr>
          <w:rFonts w:hint="eastAsia"/>
          <w:sz w:val="24"/>
        </w:rPr>
        <w:t>万元，其中</w:t>
      </w:r>
      <w:r>
        <w:rPr>
          <w:rFonts w:hint="eastAsia"/>
          <w:sz w:val="24"/>
        </w:rPr>
        <w:t>2,370.89</w:t>
      </w:r>
      <w:r>
        <w:rPr>
          <w:rFonts w:hint="eastAsia"/>
          <w:sz w:val="24"/>
        </w:rPr>
        <w:t>万元系未决诉讼冻结资金，使用受限；其他货币资金余额</w:t>
      </w:r>
      <w:r>
        <w:rPr>
          <w:rFonts w:hint="eastAsia"/>
          <w:sz w:val="24"/>
        </w:rPr>
        <w:t>4,974.06</w:t>
      </w:r>
      <w:r>
        <w:rPr>
          <w:rFonts w:hint="eastAsia"/>
          <w:sz w:val="24"/>
        </w:rPr>
        <w:t>万元系向银行缴纳的各项保证金，均为受限资金。</w:t>
      </w:r>
    </w:p>
    <w:p w:rsidR="000D3334" w:rsidRDefault="000D3334" w:rsidP="000D3334">
      <w:pPr>
        <w:spacing w:beforeLines="50" w:before="156" w:line="360" w:lineRule="auto"/>
        <w:ind w:firstLineChars="200" w:firstLine="482"/>
        <w:outlineLvl w:val="1"/>
        <w:rPr>
          <w:b/>
          <w:bCs/>
          <w:sz w:val="24"/>
        </w:rPr>
      </w:pPr>
      <w:r>
        <w:rPr>
          <w:rFonts w:hint="eastAsia"/>
          <w:b/>
          <w:bCs/>
          <w:sz w:val="24"/>
        </w:rPr>
        <w:t>（二）借款期末余额构成情况、主要用途</w:t>
      </w:r>
    </w:p>
    <w:p w:rsidR="000D3334" w:rsidRDefault="000D3334" w:rsidP="000D3334">
      <w:pPr>
        <w:spacing w:beforeLines="50" w:before="156" w:line="360" w:lineRule="auto"/>
        <w:ind w:firstLineChars="200" w:firstLine="480"/>
        <w:rPr>
          <w:sz w:val="24"/>
        </w:rPr>
      </w:pPr>
      <w:r>
        <w:rPr>
          <w:rFonts w:hint="eastAsia"/>
          <w:sz w:val="24"/>
        </w:rPr>
        <w:t>公司短期借款期末余额</w:t>
      </w:r>
      <w:r>
        <w:rPr>
          <w:rFonts w:hint="eastAsia"/>
          <w:sz w:val="24"/>
        </w:rPr>
        <w:t>45,649.78</w:t>
      </w:r>
      <w:r>
        <w:rPr>
          <w:rFonts w:hint="eastAsia"/>
          <w:sz w:val="24"/>
        </w:rPr>
        <w:t>万元，一年内到期的非流动负债期末余额</w:t>
      </w:r>
      <w:r>
        <w:rPr>
          <w:rFonts w:hint="eastAsia"/>
          <w:sz w:val="24"/>
        </w:rPr>
        <w:t>17,150.48</w:t>
      </w:r>
      <w:r>
        <w:rPr>
          <w:rFonts w:hint="eastAsia"/>
          <w:sz w:val="24"/>
        </w:rPr>
        <w:t>万元（其中一年内到期的长期借款期末余额</w:t>
      </w:r>
      <w:r>
        <w:rPr>
          <w:rFonts w:hint="eastAsia"/>
          <w:sz w:val="24"/>
        </w:rPr>
        <w:t>16,186.09</w:t>
      </w:r>
      <w:r>
        <w:rPr>
          <w:rFonts w:hint="eastAsia"/>
          <w:sz w:val="24"/>
        </w:rPr>
        <w:t>万元），长期借款期末余额</w:t>
      </w:r>
      <w:r>
        <w:rPr>
          <w:rFonts w:hint="eastAsia"/>
          <w:sz w:val="24"/>
        </w:rPr>
        <w:t>97,057.57</w:t>
      </w:r>
      <w:r>
        <w:rPr>
          <w:rFonts w:hint="eastAsia"/>
          <w:sz w:val="24"/>
        </w:rPr>
        <w:t>万元，各项借款期末余额合计为</w:t>
      </w:r>
      <w:r>
        <w:rPr>
          <w:rFonts w:hint="eastAsia"/>
          <w:sz w:val="24"/>
        </w:rPr>
        <w:t>158,893.44</w:t>
      </w:r>
      <w:r>
        <w:rPr>
          <w:rFonts w:hint="eastAsia"/>
          <w:sz w:val="24"/>
        </w:rPr>
        <w:t>万元，主要用途如下：</w:t>
      </w:r>
    </w:p>
    <w:p w:rsidR="000D3334" w:rsidRDefault="000D3334" w:rsidP="000D3334">
      <w:pPr>
        <w:spacing w:beforeLines="50" w:before="156"/>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7"/>
        <w:gridCol w:w="1312"/>
        <w:gridCol w:w="4743"/>
      </w:tblGrid>
      <w:tr w:rsidR="000D3334" w:rsidTr="00F3634B">
        <w:trPr>
          <w:trHeight w:val="397"/>
          <w:tblHeader/>
        </w:trPr>
        <w:tc>
          <w:tcPr>
            <w:tcW w:w="1447"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借款用途</w:t>
            </w:r>
          </w:p>
        </w:tc>
        <w:tc>
          <w:tcPr>
            <w:tcW w:w="770"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期末余额</w:t>
            </w:r>
          </w:p>
        </w:tc>
        <w:tc>
          <w:tcPr>
            <w:tcW w:w="2783"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具体内容</w:t>
            </w:r>
          </w:p>
        </w:tc>
      </w:tr>
      <w:tr w:rsidR="000D3334" w:rsidTr="00F3634B">
        <w:trPr>
          <w:trHeight w:val="397"/>
        </w:trPr>
        <w:tc>
          <w:tcPr>
            <w:tcW w:w="1447" w:type="pct"/>
            <w:vAlign w:val="center"/>
          </w:tcPr>
          <w:p w:rsidR="000D3334" w:rsidRDefault="000D3334" w:rsidP="00F3634B">
            <w:pPr>
              <w:adjustRightInd w:val="0"/>
              <w:rPr>
                <w:szCs w:val="21"/>
              </w:rPr>
            </w:pPr>
            <w:r>
              <w:rPr>
                <w:szCs w:val="21"/>
              </w:rPr>
              <w:t>PPP</w:t>
            </w:r>
            <w:r>
              <w:rPr>
                <w:szCs w:val="21"/>
              </w:rPr>
              <w:t>项目专项</w:t>
            </w:r>
            <w:r>
              <w:rPr>
                <w:rFonts w:hint="eastAsia"/>
                <w:szCs w:val="21"/>
              </w:rPr>
              <w:t>贷款</w:t>
            </w:r>
          </w:p>
        </w:tc>
        <w:tc>
          <w:tcPr>
            <w:tcW w:w="770" w:type="pct"/>
            <w:vAlign w:val="center"/>
          </w:tcPr>
          <w:p w:rsidR="000D3334" w:rsidRDefault="000D3334" w:rsidP="00F3634B">
            <w:pPr>
              <w:adjustRightInd w:val="0"/>
              <w:jc w:val="right"/>
              <w:rPr>
                <w:b/>
                <w:bCs/>
                <w:szCs w:val="21"/>
              </w:rPr>
            </w:pPr>
            <w:r>
              <w:rPr>
                <w:rFonts w:hint="eastAsia"/>
                <w:szCs w:val="21"/>
              </w:rPr>
              <w:t>95,925.61</w:t>
            </w:r>
          </w:p>
        </w:tc>
        <w:tc>
          <w:tcPr>
            <w:tcW w:w="2783" w:type="pct"/>
            <w:vAlign w:val="center"/>
          </w:tcPr>
          <w:p w:rsidR="000D3334" w:rsidRDefault="000D3334" w:rsidP="00F3634B">
            <w:pPr>
              <w:adjustRightInd w:val="0"/>
              <w:rPr>
                <w:szCs w:val="21"/>
              </w:rPr>
            </w:pPr>
            <w:r>
              <w:rPr>
                <w:szCs w:val="21"/>
              </w:rPr>
              <w:t>子公司</w:t>
            </w:r>
            <w:proofErr w:type="gramStart"/>
            <w:r>
              <w:rPr>
                <w:szCs w:val="21"/>
              </w:rPr>
              <w:t>界首市齐美</w:t>
            </w:r>
            <w:proofErr w:type="gramEnd"/>
            <w:r>
              <w:rPr>
                <w:szCs w:val="21"/>
              </w:rPr>
              <w:t>项目管理有限公司、亳州</w:t>
            </w:r>
            <w:proofErr w:type="gramStart"/>
            <w:r>
              <w:rPr>
                <w:szCs w:val="21"/>
              </w:rPr>
              <w:t>祥居建设</w:t>
            </w:r>
            <w:proofErr w:type="gramEnd"/>
            <w:r>
              <w:rPr>
                <w:szCs w:val="21"/>
              </w:rPr>
              <w:t>工程有限公司、宿松振兴基础设施管理有限责任公司三个</w:t>
            </w:r>
            <w:r>
              <w:rPr>
                <w:szCs w:val="21"/>
              </w:rPr>
              <w:t>PPP</w:t>
            </w:r>
            <w:r>
              <w:rPr>
                <w:szCs w:val="21"/>
              </w:rPr>
              <w:t>项目公司的专项长期贷款，专用于</w:t>
            </w:r>
            <w:r>
              <w:rPr>
                <w:szCs w:val="21"/>
              </w:rPr>
              <w:t>PPP</w:t>
            </w:r>
            <w:r>
              <w:rPr>
                <w:szCs w:val="21"/>
              </w:rPr>
              <w:t>项目的建设</w:t>
            </w:r>
          </w:p>
        </w:tc>
      </w:tr>
      <w:tr w:rsidR="000D3334" w:rsidTr="00F3634B">
        <w:trPr>
          <w:trHeight w:val="397"/>
        </w:trPr>
        <w:tc>
          <w:tcPr>
            <w:tcW w:w="1447" w:type="pct"/>
            <w:vAlign w:val="center"/>
          </w:tcPr>
          <w:p w:rsidR="000D3334" w:rsidRDefault="000D3334" w:rsidP="00F3634B">
            <w:pPr>
              <w:adjustRightInd w:val="0"/>
              <w:rPr>
                <w:szCs w:val="21"/>
              </w:rPr>
            </w:pPr>
            <w:r>
              <w:rPr>
                <w:szCs w:val="21"/>
              </w:rPr>
              <w:t>补充运营资金</w:t>
            </w:r>
          </w:p>
        </w:tc>
        <w:tc>
          <w:tcPr>
            <w:tcW w:w="770" w:type="pct"/>
            <w:vAlign w:val="center"/>
          </w:tcPr>
          <w:p w:rsidR="000D3334" w:rsidRDefault="000D3334" w:rsidP="00F3634B">
            <w:pPr>
              <w:adjustRightInd w:val="0"/>
              <w:jc w:val="right"/>
              <w:rPr>
                <w:b/>
                <w:bCs/>
                <w:szCs w:val="21"/>
              </w:rPr>
            </w:pPr>
            <w:r>
              <w:rPr>
                <w:rFonts w:hint="eastAsia"/>
                <w:szCs w:val="21"/>
              </w:rPr>
              <w:t>56,359.53</w:t>
            </w:r>
          </w:p>
        </w:tc>
        <w:tc>
          <w:tcPr>
            <w:tcW w:w="2783" w:type="pct"/>
            <w:vAlign w:val="center"/>
          </w:tcPr>
          <w:p w:rsidR="000D3334" w:rsidRDefault="000D3334" w:rsidP="00F3634B">
            <w:pPr>
              <w:adjustRightInd w:val="0"/>
              <w:rPr>
                <w:szCs w:val="21"/>
              </w:rPr>
            </w:pPr>
            <w:r>
              <w:rPr>
                <w:szCs w:val="21"/>
              </w:rPr>
              <w:t>补充运营资金需求（主要为支付材料、工程款）</w:t>
            </w:r>
          </w:p>
        </w:tc>
      </w:tr>
      <w:tr w:rsidR="000D3334" w:rsidTr="00F3634B">
        <w:trPr>
          <w:trHeight w:val="397"/>
        </w:trPr>
        <w:tc>
          <w:tcPr>
            <w:tcW w:w="1447" w:type="pct"/>
            <w:vAlign w:val="center"/>
          </w:tcPr>
          <w:p w:rsidR="000D3334" w:rsidRDefault="000D3334" w:rsidP="00F3634B">
            <w:pPr>
              <w:adjustRightInd w:val="0"/>
              <w:rPr>
                <w:szCs w:val="21"/>
              </w:rPr>
            </w:pPr>
            <w:proofErr w:type="gramStart"/>
            <w:r>
              <w:rPr>
                <w:szCs w:val="21"/>
              </w:rPr>
              <w:t>并购</w:t>
            </w:r>
            <w:r>
              <w:rPr>
                <w:rFonts w:hint="eastAsia"/>
                <w:szCs w:val="21"/>
              </w:rPr>
              <w:t>专项</w:t>
            </w:r>
            <w:proofErr w:type="gramEnd"/>
            <w:r>
              <w:rPr>
                <w:rFonts w:hint="eastAsia"/>
                <w:szCs w:val="21"/>
              </w:rPr>
              <w:t>贷款</w:t>
            </w:r>
          </w:p>
        </w:tc>
        <w:tc>
          <w:tcPr>
            <w:tcW w:w="770" w:type="pct"/>
            <w:vAlign w:val="center"/>
          </w:tcPr>
          <w:p w:rsidR="000D3334" w:rsidRDefault="000D3334" w:rsidP="00F3634B">
            <w:pPr>
              <w:adjustRightInd w:val="0"/>
              <w:jc w:val="right"/>
              <w:rPr>
                <w:b/>
                <w:bCs/>
                <w:szCs w:val="21"/>
              </w:rPr>
            </w:pPr>
            <w:r>
              <w:rPr>
                <w:rFonts w:hint="eastAsia"/>
                <w:szCs w:val="21"/>
              </w:rPr>
              <w:t>6,608.31</w:t>
            </w:r>
          </w:p>
        </w:tc>
        <w:tc>
          <w:tcPr>
            <w:tcW w:w="2783" w:type="pct"/>
            <w:vAlign w:val="center"/>
          </w:tcPr>
          <w:p w:rsidR="000D3334" w:rsidRDefault="000D3334" w:rsidP="00F3634B">
            <w:pPr>
              <w:adjustRightInd w:val="0"/>
              <w:rPr>
                <w:szCs w:val="21"/>
              </w:rPr>
            </w:pPr>
            <w:r>
              <w:rPr>
                <w:szCs w:val="21"/>
              </w:rPr>
              <w:t>为收购</w:t>
            </w:r>
            <w:proofErr w:type="gramStart"/>
            <w:r>
              <w:rPr>
                <w:szCs w:val="21"/>
              </w:rPr>
              <w:t>子公司</w:t>
            </w:r>
            <w:r>
              <w:rPr>
                <w:rFonts w:hint="eastAsia"/>
                <w:szCs w:val="21"/>
              </w:rPr>
              <w:t>交建建筑</w:t>
            </w:r>
            <w:proofErr w:type="gramEnd"/>
            <w:r>
              <w:rPr>
                <w:szCs w:val="21"/>
              </w:rPr>
              <w:t>，公司于</w:t>
            </w:r>
            <w:r>
              <w:rPr>
                <w:szCs w:val="21"/>
              </w:rPr>
              <w:t>2021</w:t>
            </w:r>
            <w:r>
              <w:rPr>
                <w:szCs w:val="21"/>
              </w:rPr>
              <w:t>年</w:t>
            </w:r>
            <w:r>
              <w:rPr>
                <w:szCs w:val="21"/>
              </w:rPr>
              <w:t>12</w:t>
            </w:r>
            <w:r>
              <w:rPr>
                <w:szCs w:val="21"/>
              </w:rPr>
              <w:t>月</w:t>
            </w:r>
            <w:r>
              <w:rPr>
                <w:szCs w:val="21"/>
              </w:rPr>
              <w:t>24</w:t>
            </w:r>
            <w:r>
              <w:rPr>
                <w:szCs w:val="21"/>
              </w:rPr>
              <w:t>日取得</w:t>
            </w:r>
            <w:proofErr w:type="gramStart"/>
            <w:r>
              <w:rPr>
                <w:szCs w:val="21"/>
              </w:rPr>
              <w:t>并购专项</w:t>
            </w:r>
            <w:proofErr w:type="gramEnd"/>
            <w:r>
              <w:rPr>
                <w:szCs w:val="21"/>
              </w:rPr>
              <w:t>贷款</w:t>
            </w:r>
            <w:r>
              <w:rPr>
                <w:szCs w:val="21"/>
              </w:rPr>
              <w:t>11,700.00</w:t>
            </w:r>
            <w:r>
              <w:rPr>
                <w:szCs w:val="21"/>
              </w:rPr>
              <w:t>万元，截至本期期末余额为</w:t>
            </w:r>
            <w:r>
              <w:rPr>
                <w:rFonts w:hint="eastAsia"/>
                <w:szCs w:val="21"/>
              </w:rPr>
              <w:t>6,608.31</w:t>
            </w:r>
            <w:r>
              <w:rPr>
                <w:szCs w:val="21"/>
              </w:rPr>
              <w:t xml:space="preserve"> </w:t>
            </w:r>
            <w:r>
              <w:rPr>
                <w:szCs w:val="21"/>
              </w:rPr>
              <w:t>万元</w:t>
            </w:r>
          </w:p>
        </w:tc>
      </w:tr>
      <w:tr w:rsidR="000D3334" w:rsidTr="00F3634B">
        <w:trPr>
          <w:trHeight w:val="397"/>
        </w:trPr>
        <w:tc>
          <w:tcPr>
            <w:tcW w:w="1447" w:type="pct"/>
            <w:vAlign w:val="center"/>
          </w:tcPr>
          <w:p w:rsidR="000D3334" w:rsidRDefault="000D3334" w:rsidP="00F3634B">
            <w:pPr>
              <w:adjustRightInd w:val="0"/>
              <w:jc w:val="center"/>
              <w:rPr>
                <w:b/>
                <w:bCs/>
                <w:szCs w:val="21"/>
              </w:rPr>
            </w:pPr>
            <w:r>
              <w:rPr>
                <w:b/>
                <w:bCs/>
                <w:szCs w:val="21"/>
              </w:rPr>
              <w:t>合</w:t>
            </w:r>
            <w:r>
              <w:rPr>
                <w:b/>
                <w:bCs/>
                <w:szCs w:val="21"/>
              </w:rPr>
              <w:t xml:space="preserve"> </w:t>
            </w:r>
            <w:r>
              <w:rPr>
                <w:b/>
                <w:bCs/>
                <w:szCs w:val="21"/>
              </w:rPr>
              <w:t>计</w:t>
            </w:r>
          </w:p>
        </w:tc>
        <w:tc>
          <w:tcPr>
            <w:tcW w:w="770" w:type="pct"/>
            <w:vAlign w:val="center"/>
          </w:tcPr>
          <w:p w:rsidR="000D3334" w:rsidRDefault="000D3334" w:rsidP="00F3634B">
            <w:pPr>
              <w:adjustRightInd w:val="0"/>
              <w:jc w:val="right"/>
              <w:rPr>
                <w:b/>
                <w:bCs/>
                <w:szCs w:val="21"/>
              </w:rPr>
            </w:pPr>
            <w:r>
              <w:rPr>
                <w:rFonts w:hint="eastAsia"/>
                <w:b/>
                <w:bCs/>
                <w:szCs w:val="21"/>
              </w:rPr>
              <w:t>158,893.44</w:t>
            </w:r>
          </w:p>
        </w:tc>
        <w:tc>
          <w:tcPr>
            <w:tcW w:w="2783" w:type="pct"/>
          </w:tcPr>
          <w:p w:rsidR="000D3334" w:rsidRDefault="000D3334" w:rsidP="00F3634B">
            <w:pPr>
              <w:adjustRightInd w:val="0"/>
              <w:jc w:val="right"/>
              <w:rPr>
                <w:b/>
                <w:bCs/>
                <w:szCs w:val="21"/>
              </w:rPr>
            </w:pPr>
          </w:p>
        </w:tc>
      </w:tr>
    </w:tbl>
    <w:p w:rsidR="000D3334" w:rsidRDefault="000D3334" w:rsidP="000D3334">
      <w:pPr>
        <w:spacing w:beforeLines="50" w:before="156" w:line="360" w:lineRule="auto"/>
        <w:ind w:firstLineChars="200" w:firstLine="480"/>
        <w:rPr>
          <w:sz w:val="24"/>
        </w:rPr>
      </w:pPr>
      <w:r>
        <w:rPr>
          <w:rFonts w:hint="eastAsia"/>
          <w:sz w:val="24"/>
        </w:rPr>
        <w:t>如上表所示，公司期末借款余额中，</w:t>
      </w:r>
      <w:r>
        <w:rPr>
          <w:rFonts w:hint="eastAsia"/>
          <w:sz w:val="24"/>
        </w:rPr>
        <w:t>95,925.61</w:t>
      </w:r>
      <w:r>
        <w:rPr>
          <w:rFonts w:hint="eastAsia"/>
          <w:sz w:val="24"/>
        </w:rPr>
        <w:t>万元系</w:t>
      </w:r>
      <w:r>
        <w:rPr>
          <w:rFonts w:hint="eastAsia"/>
          <w:sz w:val="24"/>
        </w:rPr>
        <w:t>PPP</w:t>
      </w:r>
      <w:r>
        <w:rPr>
          <w:rFonts w:hint="eastAsia"/>
          <w:sz w:val="24"/>
        </w:rPr>
        <w:t>项目公司的专项长期贷款，</w:t>
      </w:r>
      <w:r>
        <w:rPr>
          <w:rFonts w:hint="eastAsia"/>
          <w:sz w:val="24"/>
        </w:rPr>
        <w:t>6,608.31</w:t>
      </w:r>
      <w:r>
        <w:rPr>
          <w:rFonts w:hint="eastAsia"/>
          <w:sz w:val="24"/>
        </w:rPr>
        <w:t>万元系为收购子公司取得的</w:t>
      </w:r>
      <w:proofErr w:type="gramStart"/>
      <w:r>
        <w:rPr>
          <w:rFonts w:hint="eastAsia"/>
          <w:sz w:val="24"/>
        </w:rPr>
        <w:t>并购专项</w:t>
      </w:r>
      <w:proofErr w:type="gramEnd"/>
      <w:r>
        <w:rPr>
          <w:rFonts w:hint="eastAsia"/>
          <w:sz w:val="24"/>
        </w:rPr>
        <w:t>贷款，剩余</w:t>
      </w:r>
      <w:r>
        <w:rPr>
          <w:rFonts w:hint="eastAsia"/>
          <w:sz w:val="24"/>
        </w:rPr>
        <w:t>56,359.53</w:t>
      </w:r>
      <w:r>
        <w:rPr>
          <w:rFonts w:hint="eastAsia"/>
          <w:sz w:val="24"/>
        </w:rPr>
        <w:t>万元为公司日常经营需求而取得的借款。</w:t>
      </w:r>
    </w:p>
    <w:p w:rsidR="000D3334" w:rsidRDefault="000D3334" w:rsidP="000D3334">
      <w:pPr>
        <w:spacing w:beforeLines="50" w:before="156" w:line="360" w:lineRule="auto"/>
        <w:ind w:firstLineChars="200" w:firstLine="482"/>
        <w:outlineLvl w:val="1"/>
        <w:rPr>
          <w:b/>
          <w:bCs/>
          <w:sz w:val="24"/>
        </w:rPr>
      </w:pPr>
      <w:r>
        <w:rPr>
          <w:b/>
          <w:bCs/>
          <w:sz w:val="24"/>
        </w:rPr>
        <w:t>（</w:t>
      </w:r>
      <w:r>
        <w:rPr>
          <w:rFonts w:hint="eastAsia"/>
          <w:b/>
          <w:bCs/>
          <w:sz w:val="24"/>
        </w:rPr>
        <w:t>三</w:t>
      </w:r>
      <w:r>
        <w:rPr>
          <w:b/>
          <w:bCs/>
          <w:sz w:val="24"/>
        </w:rPr>
        <w:t>）</w:t>
      </w:r>
      <w:r>
        <w:rPr>
          <w:rFonts w:hint="eastAsia"/>
          <w:b/>
          <w:bCs/>
          <w:sz w:val="24"/>
        </w:rPr>
        <w:t>在持有较大规模货币资金的同时维持高额借款、承担较高利息费用的原因及合理性</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、存款专款专用限制</w:t>
      </w:r>
    </w:p>
    <w:p w:rsidR="000D3334" w:rsidRDefault="000D3334" w:rsidP="000D3334">
      <w:pPr>
        <w:spacing w:beforeLines="50" w:before="156" w:line="360" w:lineRule="auto"/>
        <w:ind w:firstLineChars="200" w:firstLine="480"/>
        <w:rPr>
          <w:sz w:val="24"/>
        </w:rPr>
      </w:pPr>
      <w:r>
        <w:rPr>
          <w:rFonts w:hint="eastAsia"/>
          <w:sz w:val="24"/>
        </w:rPr>
        <w:t>公司主营业务为公路、市政基础设施建设业务，承揽的施工项目主要由政府采购发包，新中标项目在项目部设立后通常需要开立工程款监管专户、农民工工资监管专户等专用账户，受业主、监理和银行三方监管，仅能专款专用于相应项目支出，公司不能随意调剂使用；工程款监管专户一般在项目回款达到</w:t>
      </w:r>
      <w:r>
        <w:rPr>
          <w:rFonts w:hint="eastAsia"/>
          <w:sz w:val="24"/>
        </w:rPr>
        <w:t>97%</w:t>
      </w:r>
      <w:r>
        <w:rPr>
          <w:rFonts w:hint="eastAsia"/>
          <w:sz w:val="24"/>
        </w:rPr>
        <w:t>后才</w:t>
      </w:r>
      <w:r>
        <w:rPr>
          <w:rFonts w:hint="eastAsia"/>
          <w:sz w:val="24"/>
        </w:rPr>
        <w:lastRenderedPageBreak/>
        <w:t>可以申请取消监管，农民工工资专户一般在项目完工后，收到项目部农民工维权工作组开具的“关于撤销</w:t>
      </w:r>
      <w:r>
        <w:rPr>
          <w:rFonts w:hint="eastAsia"/>
          <w:sz w:val="24"/>
        </w:rPr>
        <w:t>XX</w:t>
      </w:r>
      <w:r>
        <w:rPr>
          <w:rFonts w:hint="eastAsia"/>
          <w:sz w:val="24"/>
        </w:rPr>
        <w:t>项目农民工工资专用账户的函”时，才能申请解除监管，注销相应银行账户。截至</w:t>
      </w:r>
      <w:r>
        <w:rPr>
          <w:rFonts w:hint="eastAsia"/>
          <w:sz w:val="24"/>
        </w:rPr>
        <w:t>2024</w:t>
      </w:r>
      <w:r>
        <w:rPr>
          <w:rFonts w:hint="eastAsia"/>
          <w:sz w:val="24"/>
        </w:rPr>
        <w:t>年末，公司银行存款余额中受监管使用的资金余额约为</w:t>
      </w:r>
      <w:r>
        <w:rPr>
          <w:rFonts w:hint="eastAsia"/>
          <w:sz w:val="24"/>
        </w:rPr>
        <w:t>6.56</w:t>
      </w:r>
      <w:r>
        <w:rPr>
          <w:rFonts w:hint="eastAsia"/>
          <w:sz w:val="24"/>
        </w:rPr>
        <w:t>亿元，剩余可自由支配的营运资金余额约为</w:t>
      </w:r>
      <w:r>
        <w:rPr>
          <w:rFonts w:hint="eastAsia"/>
          <w:sz w:val="24"/>
        </w:rPr>
        <w:t>1.44</w:t>
      </w:r>
      <w:r>
        <w:rPr>
          <w:rFonts w:hint="eastAsia"/>
          <w:sz w:val="24"/>
        </w:rPr>
        <w:t>亿元，</w:t>
      </w:r>
      <w:r w:rsidRPr="00CA2EA2">
        <w:rPr>
          <w:rFonts w:hint="eastAsia"/>
          <w:sz w:val="24"/>
        </w:rPr>
        <w:t>资金使用及调配的灵活性存在一定压力</w:t>
      </w:r>
      <w:r>
        <w:rPr>
          <w:rFonts w:hint="eastAsia"/>
          <w:sz w:val="24"/>
        </w:rPr>
        <w:t>。</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、借款专款专用限制</w:t>
      </w:r>
    </w:p>
    <w:p w:rsidR="000D3334" w:rsidRDefault="000D3334" w:rsidP="000D3334">
      <w:pPr>
        <w:spacing w:beforeLines="50" w:before="156" w:line="360" w:lineRule="auto"/>
        <w:ind w:firstLineChars="200" w:firstLine="480"/>
        <w:rPr>
          <w:sz w:val="24"/>
        </w:rPr>
      </w:pPr>
      <w:r>
        <w:rPr>
          <w:rFonts w:hint="eastAsia"/>
          <w:sz w:val="24"/>
        </w:rPr>
        <w:t>公司期末借款余额中，</w:t>
      </w:r>
      <w:r>
        <w:rPr>
          <w:rFonts w:hint="eastAsia"/>
          <w:sz w:val="24"/>
        </w:rPr>
        <w:t>95,925.61</w:t>
      </w:r>
      <w:r>
        <w:rPr>
          <w:rFonts w:hint="eastAsia"/>
          <w:sz w:val="24"/>
        </w:rPr>
        <w:t>万元系</w:t>
      </w:r>
      <w:r>
        <w:rPr>
          <w:rFonts w:hint="eastAsia"/>
          <w:sz w:val="24"/>
        </w:rPr>
        <w:t>PPP</w:t>
      </w:r>
      <w:r>
        <w:rPr>
          <w:rFonts w:hint="eastAsia"/>
          <w:sz w:val="24"/>
        </w:rPr>
        <w:t>项目公司的专项长期贷款，</w:t>
      </w:r>
      <w:r>
        <w:rPr>
          <w:rFonts w:hint="eastAsia"/>
          <w:sz w:val="24"/>
        </w:rPr>
        <w:t>6,608.31</w:t>
      </w:r>
      <w:r>
        <w:rPr>
          <w:rFonts w:hint="eastAsia"/>
          <w:sz w:val="24"/>
        </w:rPr>
        <w:t>万元系为收购子公司取得的</w:t>
      </w:r>
      <w:proofErr w:type="gramStart"/>
      <w:r>
        <w:rPr>
          <w:rFonts w:hint="eastAsia"/>
          <w:sz w:val="24"/>
        </w:rPr>
        <w:t>并购专项</w:t>
      </w:r>
      <w:proofErr w:type="gramEnd"/>
      <w:r>
        <w:rPr>
          <w:rFonts w:hint="eastAsia"/>
          <w:sz w:val="24"/>
        </w:rPr>
        <w:t>贷款，剩余</w:t>
      </w:r>
      <w:r>
        <w:rPr>
          <w:rFonts w:hint="eastAsia"/>
          <w:sz w:val="24"/>
        </w:rPr>
        <w:t>56,359.53</w:t>
      </w:r>
      <w:r>
        <w:rPr>
          <w:rFonts w:hint="eastAsia"/>
          <w:sz w:val="24"/>
        </w:rPr>
        <w:t>万元为公司日常经营需求而取得的借款。</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、战略布局与机会成本</w:t>
      </w:r>
    </w:p>
    <w:p w:rsidR="000D3334" w:rsidRDefault="000D3334" w:rsidP="000D3334">
      <w:pPr>
        <w:spacing w:beforeLines="50" w:before="156" w:line="360" w:lineRule="auto"/>
        <w:ind w:firstLineChars="200" w:firstLine="480"/>
        <w:rPr>
          <w:sz w:val="24"/>
        </w:rPr>
      </w:pPr>
      <w:r>
        <w:rPr>
          <w:rFonts w:hint="eastAsia"/>
          <w:sz w:val="24"/>
        </w:rPr>
        <w:t>除上述项目监管资金影响外，还存在部分项目在建设阶段支付比例较低、业主单位付款周期较长等方面影响，往往需要公司先行通过各种融资渠道获取资金，支付</w:t>
      </w:r>
      <w:proofErr w:type="gramStart"/>
      <w:r>
        <w:rPr>
          <w:rFonts w:hint="eastAsia"/>
          <w:sz w:val="24"/>
        </w:rPr>
        <w:t>采购款</w:t>
      </w:r>
      <w:proofErr w:type="gramEnd"/>
      <w:r>
        <w:rPr>
          <w:rFonts w:hint="eastAsia"/>
          <w:sz w:val="24"/>
        </w:rPr>
        <w:t>以保障项目顺利推进。行业竞争激烈时，公司可能选择</w:t>
      </w:r>
      <w:r>
        <w:rPr>
          <w:rFonts w:hint="eastAsia"/>
          <w:sz w:val="24"/>
        </w:rPr>
        <w:t>"</w:t>
      </w:r>
      <w:r>
        <w:rPr>
          <w:rFonts w:hint="eastAsia"/>
          <w:sz w:val="24"/>
        </w:rPr>
        <w:t>现金</w:t>
      </w:r>
      <w:r>
        <w:rPr>
          <w:rFonts w:hint="eastAsia"/>
          <w:sz w:val="24"/>
        </w:rPr>
        <w:t>+</w:t>
      </w:r>
      <w:r>
        <w:rPr>
          <w:rFonts w:hint="eastAsia"/>
          <w:sz w:val="24"/>
        </w:rPr>
        <w:t>债务</w:t>
      </w:r>
      <w:r>
        <w:rPr>
          <w:rFonts w:hint="eastAsia"/>
          <w:sz w:val="24"/>
        </w:rPr>
        <w:t>"</w:t>
      </w:r>
      <w:r>
        <w:rPr>
          <w:rFonts w:hint="eastAsia"/>
          <w:sz w:val="24"/>
        </w:rPr>
        <w:t>组合快速响应投资机会，即使承担利息成本，也优于错失战略机遇。</w:t>
      </w:r>
    </w:p>
    <w:p w:rsidR="000D3334" w:rsidRDefault="000D3334" w:rsidP="000D3334">
      <w:pPr>
        <w:spacing w:beforeLines="50" w:before="156" w:line="360" w:lineRule="auto"/>
        <w:ind w:firstLineChars="200" w:firstLine="480"/>
        <w:rPr>
          <w:sz w:val="24"/>
        </w:rPr>
      </w:pPr>
      <w:r>
        <w:rPr>
          <w:rFonts w:hint="eastAsia"/>
          <w:sz w:val="24"/>
        </w:rPr>
        <w:t>同时，公司通过主动保持适度的银行授信以维持银企关系，有助于公司投融资类项目的拓展，确保公司融资能力。</w:t>
      </w:r>
    </w:p>
    <w:p w:rsidR="000D3334" w:rsidRDefault="000D3334" w:rsidP="000D3334">
      <w:pPr>
        <w:spacing w:beforeLines="50" w:before="156" w:line="360" w:lineRule="auto"/>
        <w:ind w:firstLineChars="200" w:firstLine="480"/>
        <w:rPr>
          <w:sz w:val="24"/>
        </w:rPr>
      </w:pPr>
      <w:r>
        <w:rPr>
          <w:rFonts w:hint="eastAsia"/>
          <w:sz w:val="24"/>
        </w:rPr>
        <w:t>综上所述，公司在持有较大规模货币资金的同时维持高额借款、承担较高利息费用，主要系所处行业对营运资金的需求较高，为满足项目建设资金周转的需要，导致期末借款余额较高，符合公司所处行业特点及自身发展需要，具备合理性。</w:t>
      </w:r>
    </w:p>
    <w:p w:rsidR="000D3334" w:rsidRDefault="000D3334" w:rsidP="000D3334">
      <w:pPr>
        <w:spacing w:beforeLines="50" w:before="156" w:line="360" w:lineRule="auto"/>
        <w:ind w:firstLineChars="200" w:firstLine="482"/>
        <w:outlineLvl w:val="0"/>
        <w:rPr>
          <w:b/>
          <w:bCs/>
          <w:sz w:val="24"/>
        </w:rPr>
      </w:pPr>
      <w:r>
        <w:rPr>
          <w:b/>
          <w:bCs/>
          <w:sz w:val="24"/>
        </w:rPr>
        <w:t>二、货币资金受限的具体情况，是否存在其他潜在限制性安排、与控股股东或其他关联方联合或共管账户以及货币资金被他方实际使用的情况</w:t>
      </w:r>
    </w:p>
    <w:p w:rsidR="000D3334" w:rsidRDefault="000D3334" w:rsidP="000D3334">
      <w:pPr>
        <w:spacing w:beforeLines="50" w:before="156" w:line="360" w:lineRule="auto"/>
        <w:ind w:firstLineChars="200" w:firstLine="480"/>
        <w:rPr>
          <w:sz w:val="24"/>
        </w:rPr>
      </w:pPr>
      <w:r>
        <w:rPr>
          <w:sz w:val="24"/>
        </w:rPr>
        <w:t>截至</w:t>
      </w:r>
      <w:r>
        <w:rPr>
          <w:sz w:val="24"/>
        </w:rPr>
        <w:t>2024</w:t>
      </w:r>
      <w:r>
        <w:rPr>
          <w:rFonts w:hint="eastAsia"/>
          <w:sz w:val="24"/>
        </w:rPr>
        <w:t>年末</w:t>
      </w:r>
      <w:r>
        <w:rPr>
          <w:sz w:val="24"/>
        </w:rPr>
        <w:t>，公司货币资金期末余额</w:t>
      </w:r>
      <w:r>
        <w:rPr>
          <w:sz w:val="24"/>
        </w:rPr>
        <w:t>8.49</w:t>
      </w:r>
      <w:r>
        <w:rPr>
          <w:sz w:val="24"/>
        </w:rPr>
        <w:t>亿元，其中使用受限的货币资金余额</w:t>
      </w:r>
      <w:r>
        <w:rPr>
          <w:rFonts w:hint="eastAsia"/>
          <w:sz w:val="24"/>
        </w:rPr>
        <w:t>7,344.94</w:t>
      </w:r>
      <w:r>
        <w:rPr>
          <w:rFonts w:hint="eastAsia"/>
          <w:sz w:val="24"/>
        </w:rPr>
        <w:t>万元，为其他货币资金和未决诉讼冻结资金，具体情况如下：</w:t>
      </w:r>
    </w:p>
    <w:p w:rsidR="000D3334" w:rsidRDefault="000D3334" w:rsidP="000D3334">
      <w:pPr>
        <w:spacing w:beforeLines="50" w:before="156"/>
        <w:ind w:firstLineChars="200" w:firstLine="420"/>
        <w:jc w:val="right"/>
        <w:rPr>
          <w:bCs/>
          <w:szCs w:val="21"/>
        </w:rPr>
      </w:pPr>
      <w:r>
        <w:rPr>
          <w:bCs/>
          <w:szCs w:val="21"/>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41"/>
        <w:gridCol w:w="1669"/>
        <w:gridCol w:w="4012"/>
      </w:tblGrid>
      <w:tr w:rsidR="000D3334" w:rsidTr="00F3634B">
        <w:trPr>
          <w:trHeight w:val="397"/>
          <w:tblHeader/>
          <w:jc w:val="center"/>
        </w:trPr>
        <w:tc>
          <w:tcPr>
            <w:tcW w:w="1667" w:type="pct"/>
            <w:shd w:val="clear" w:color="auto" w:fill="D8D8D8"/>
            <w:vAlign w:val="center"/>
          </w:tcPr>
          <w:p w:rsidR="000D3334" w:rsidRDefault="000D3334" w:rsidP="00F3634B">
            <w:pPr>
              <w:widowControl/>
              <w:jc w:val="center"/>
              <w:rPr>
                <w:b/>
                <w:bCs/>
                <w:kern w:val="0"/>
                <w:szCs w:val="21"/>
              </w:rPr>
            </w:pPr>
            <w:r>
              <w:rPr>
                <w:b/>
                <w:bCs/>
                <w:kern w:val="0"/>
                <w:szCs w:val="21"/>
              </w:rPr>
              <w:t>项目</w:t>
            </w:r>
          </w:p>
        </w:tc>
        <w:tc>
          <w:tcPr>
            <w:tcW w:w="979" w:type="pct"/>
            <w:shd w:val="clear" w:color="auto" w:fill="D8D8D8"/>
            <w:vAlign w:val="center"/>
          </w:tcPr>
          <w:p w:rsidR="000D3334" w:rsidRDefault="000D3334" w:rsidP="00F3634B">
            <w:pPr>
              <w:widowControl/>
              <w:jc w:val="center"/>
              <w:rPr>
                <w:b/>
                <w:bCs/>
                <w:kern w:val="0"/>
                <w:szCs w:val="21"/>
              </w:rPr>
            </w:pPr>
            <w:r>
              <w:rPr>
                <w:b/>
                <w:bCs/>
                <w:szCs w:val="21"/>
              </w:rPr>
              <w:t>期末余额</w:t>
            </w:r>
          </w:p>
        </w:tc>
        <w:tc>
          <w:tcPr>
            <w:tcW w:w="2354" w:type="pct"/>
            <w:shd w:val="clear" w:color="auto" w:fill="D8D8D8"/>
            <w:vAlign w:val="center"/>
          </w:tcPr>
          <w:p w:rsidR="000D3334" w:rsidRDefault="000D3334" w:rsidP="00F3634B">
            <w:pPr>
              <w:widowControl/>
              <w:jc w:val="center"/>
              <w:rPr>
                <w:b/>
                <w:bCs/>
                <w:szCs w:val="21"/>
              </w:rPr>
            </w:pPr>
            <w:r>
              <w:rPr>
                <w:b/>
                <w:bCs/>
                <w:szCs w:val="21"/>
              </w:rPr>
              <w:t>受限原因</w:t>
            </w:r>
          </w:p>
        </w:tc>
      </w:tr>
      <w:tr w:rsidR="000D3334" w:rsidTr="00F3634B">
        <w:trPr>
          <w:trHeight w:val="397"/>
          <w:jc w:val="center"/>
        </w:trPr>
        <w:tc>
          <w:tcPr>
            <w:tcW w:w="1667" w:type="pct"/>
            <w:vAlign w:val="center"/>
          </w:tcPr>
          <w:p w:rsidR="000D3334" w:rsidRDefault="000D3334" w:rsidP="00F3634B">
            <w:pPr>
              <w:widowControl/>
              <w:rPr>
                <w:kern w:val="0"/>
                <w:szCs w:val="21"/>
              </w:rPr>
            </w:pPr>
            <w:r>
              <w:rPr>
                <w:color w:val="000000"/>
                <w:szCs w:val="21"/>
              </w:rPr>
              <w:t>其他货币资金</w:t>
            </w:r>
          </w:p>
        </w:tc>
        <w:tc>
          <w:tcPr>
            <w:tcW w:w="979" w:type="pct"/>
            <w:vAlign w:val="center"/>
          </w:tcPr>
          <w:p w:rsidR="000D3334" w:rsidRDefault="000D3334" w:rsidP="00F3634B">
            <w:pPr>
              <w:widowControl/>
              <w:ind w:firstLine="480"/>
              <w:jc w:val="right"/>
              <w:rPr>
                <w:b/>
                <w:kern w:val="0"/>
                <w:szCs w:val="21"/>
              </w:rPr>
            </w:pPr>
            <w:r>
              <w:rPr>
                <w:color w:val="000000"/>
                <w:szCs w:val="21"/>
              </w:rPr>
              <w:t xml:space="preserve"> 4,974.06 </w:t>
            </w:r>
          </w:p>
        </w:tc>
        <w:tc>
          <w:tcPr>
            <w:tcW w:w="2354" w:type="pct"/>
          </w:tcPr>
          <w:p w:rsidR="000D3334" w:rsidRDefault="000D3334" w:rsidP="00F3634B">
            <w:pPr>
              <w:widowControl/>
              <w:jc w:val="left"/>
              <w:rPr>
                <w:color w:val="000000"/>
                <w:szCs w:val="21"/>
              </w:rPr>
            </w:pPr>
          </w:p>
        </w:tc>
      </w:tr>
      <w:tr w:rsidR="000D3334" w:rsidTr="00F3634B">
        <w:trPr>
          <w:trHeight w:val="397"/>
          <w:jc w:val="center"/>
        </w:trPr>
        <w:tc>
          <w:tcPr>
            <w:tcW w:w="1667" w:type="pct"/>
            <w:vAlign w:val="center"/>
          </w:tcPr>
          <w:p w:rsidR="000D3334" w:rsidRDefault="000D3334" w:rsidP="00F3634B">
            <w:pPr>
              <w:widowControl/>
              <w:rPr>
                <w:kern w:val="0"/>
                <w:szCs w:val="21"/>
              </w:rPr>
            </w:pPr>
            <w:r>
              <w:rPr>
                <w:color w:val="000000"/>
                <w:szCs w:val="21"/>
              </w:rPr>
              <w:lastRenderedPageBreak/>
              <w:t>其中：银行承兑汇票保证金</w:t>
            </w:r>
          </w:p>
        </w:tc>
        <w:tc>
          <w:tcPr>
            <w:tcW w:w="979" w:type="pct"/>
            <w:vAlign w:val="center"/>
          </w:tcPr>
          <w:p w:rsidR="000D3334" w:rsidRDefault="000D3334" w:rsidP="00F3634B">
            <w:pPr>
              <w:widowControl/>
              <w:ind w:firstLine="480"/>
              <w:jc w:val="right"/>
              <w:rPr>
                <w:b/>
                <w:kern w:val="0"/>
                <w:szCs w:val="21"/>
              </w:rPr>
            </w:pPr>
            <w:r>
              <w:rPr>
                <w:color w:val="000000"/>
                <w:szCs w:val="21"/>
              </w:rPr>
              <w:t xml:space="preserve">   903.42 </w:t>
            </w:r>
          </w:p>
        </w:tc>
        <w:tc>
          <w:tcPr>
            <w:tcW w:w="2354" w:type="pct"/>
          </w:tcPr>
          <w:p w:rsidR="000D3334" w:rsidRDefault="000D3334" w:rsidP="00F3634B">
            <w:pPr>
              <w:widowControl/>
              <w:jc w:val="left"/>
              <w:rPr>
                <w:color w:val="000000"/>
                <w:szCs w:val="21"/>
              </w:rPr>
            </w:pPr>
            <w:r>
              <w:rPr>
                <w:color w:val="000000"/>
                <w:szCs w:val="21"/>
              </w:rPr>
              <w:t>申请办理银行承兑汇票业务时，所需缴纳的保证银行承兑汇票到期承付的资金</w:t>
            </w:r>
          </w:p>
        </w:tc>
      </w:tr>
      <w:tr w:rsidR="000D3334" w:rsidTr="00F3634B">
        <w:trPr>
          <w:trHeight w:val="397"/>
          <w:jc w:val="center"/>
        </w:trPr>
        <w:tc>
          <w:tcPr>
            <w:tcW w:w="1667" w:type="pct"/>
            <w:vAlign w:val="center"/>
          </w:tcPr>
          <w:p w:rsidR="000D3334" w:rsidRDefault="000D3334" w:rsidP="00F3634B">
            <w:pPr>
              <w:widowControl/>
              <w:rPr>
                <w:kern w:val="0"/>
                <w:szCs w:val="21"/>
              </w:rPr>
            </w:pPr>
            <w:r>
              <w:rPr>
                <w:color w:val="000000"/>
                <w:szCs w:val="21"/>
              </w:rPr>
              <w:t xml:space="preserve">      </w:t>
            </w:r>
            <w:r>
              <w:rPr>
                <w:color w:val="000000"/>
                <w:szCs w:val="21"/>
              </w:rPr>
              <w:t>履约保函保证金</w:t>
            </w:r>
          </w:p>
        </w:tc>
        <w:tc>
          <w:tcPr>
            <w:tcW w:w="979" w:type="pct"/>
            <w:vAlign w:val="center"/>
          </w:tcPr>
          <w:p w:rsidR="000D3334" w:rsidRDefault="000D3334" w:rsidP="00F3634B">
            <w:pPr>
              <w:widowControl/>
              <w:ind w:firstLine="480"/>
              <w:jc w:val="right"/>
              <w:rPr>
                <w:b/>
                <w:kern w:val="0"/>
                <w:szCs w:val="21"/>
              </w:rPr>
            </w:pPr>
            <w:r>
              <w:rPr>
                <w:color w:val="000000"/>
                <w:szCs w:val="21"/>
              </w:rPr>
              <w:t xml:space="preserve"> 2,429.54 </w:t>
            </w:r>
          </w:p>
        </w:tc>
        <w:tc>
          <w:tcPr>
            <w:tcW w:w="2354" w:type="pct"/>
          </w:tcPr>
          <w:p w:rsidR="000D3334" w:rsidRDefault="000D3334" w:rsidP="00F3634B">
            <w:pPr>
              <w:widowControl/>
              <w:jc w:val="left"/>
              <w:rPr>
                <w:color w:val="000000"/>
                <w:szCs w:val="21"/>
              </w:rPr>
            </w:pPr>
            <w:r>
              <w:rPr>
                <w:color w:val="000000"/>
                <w:szCs w:val="21"/>
              </w:rPr>
              <w:t>银行开具</w:t>
            </w:r>
            <w:r>
              <w:rPr>
                <w:rFonts w:hint="eastAsia"/>
                <w:color w:val="000000"/>
                <w:szCs w:val="21"/>
              </w:rPr>
              <w:t>工程项目</w:t>
            </w:r>
            <w:r>
              <w:rPr>
                <w:color w:val="000000"/>
                <w:szCs w:val="21"/>
              </w:rPr>
              <w:t>履约保函时，要求缴纳的一定比例的资金担保</w:t>
            </w:r>
          </w:p>
        </w:tc>
      </w:tr>
      <w:tr w:rsidR="000D3334" w:rsidTr="00F3634B">
        <w:trPr>
          <w:trHeight w:val="397"/>
          <w:jc w:val="center"/>
        </w:trPr>
        <w:tc>
          <w:tcPr>
            <w:tcW w:w="1667" w:type="pct"/>
            <w:vAlign w:val="center"/>
          </w:tcPr>
          <w:p w:rsidR="000D3334" w:rsidRDefault="000D3334" w:rsidP="00F3634B">
            <w:pPr>
              <w:widowControl/>
              <w:rPr>
                <w:kern w:val="0"/>
                <w:szCs w:val="21"/>
              </w:rPr>
            </w:pPr>
            <w:r>
              <w:rPr>
                <w:color w:val="000000"/>
                <w:szCs w:val="21"/>
              </w:rPr>
              <w:t xml:space="preserve">      </w:t>
            </w:r>
            <w:r>
              <w:rPr>
                <w:color w:val="000000"/>
                <w:szCs w:val="21"/>
              </w:rPr>
              <w:t>农民工工资保证金</w:t>
            </w:r>
          </w:p>
        </w:tc>
        <w:tc>
          <w:tcPr>
            <w:tcW w:w="979" w:type="pct"/>
            <w:vAlign w:val="center"/>
          </w:tcPr>
          <w:p w:rsidR="000D3334" w:rsidRDefault="000D3334" w:rsidP="00F3634B">
            <w:pPr>
              <w:widowControl/>
              <w:ind w:firstLine="480"/>
              <w:jc w:val="right"/>
              <w:rPr>
                <w:color w:val="000000"/>
                <w:szCs w:val="21"/>
              </w:rPr>
            </w:pPr>
            <w:r>
              <w:rPr>
                <w:color w:val="000000"/>
                <w:szCs w:val="21"/>
              </w:rPr>
              <w:t xml:space="preserve">   150.00 </w:t>
            </w:r>
          </w:p>
        </w:tc>
        <w:tc>
          <w:tcPr>
            <w:tcW w:w="2354" w:type="pct"/>
          </w:tcPr>
          <w:p w:rsidR="000D3334" w:rsidRDefault="000D3334" w:rsidP="00F3634B">
            <w:pPr>
              <w:widowControl/>
              <w:jc w:val="left"/>
              <w:rPr>
                <w:color w:val="000000"/>
                <w:szCs w:val="21"/>
              </w:rPr>
            </w:pPr>
            <w:r>
              <w:rPr>
                <w:color w:val="000000"/>
                <w:szCs w:val="21"/>
              </w:rPr>
              <w:t>银行开具农民工工资支付保函时，要求缴纳的一定比例的资金担保</w:t>
            </w:r>
          </w:p>
        </w:tc>
      </w:tr>
      <w:tr w:rsidR="000D3334" w:rsidTr="00F3634B">
        <w:trPr>
          <w:trHeight w:val="397"/>
          <w:jc w:val="center"/>
        </w:trPr>
        <w:tc>
          <w:tcPr>
            <w:tcW w:w="1667" w:type="pct"/>
            <w:vAlign w:val="center"/>
          </w:tcPr>
          <w:p w:rsidR="000D3334" w:rsidRDefault="000D3334" w:rsidP="00F3634B">
            <w:pPr>
              <w:widowControl/>
              <w:rPr>
                <w:kern w:val="0"/>
                <w:szCs w:val="21"/>
              </w:rPr>
            </w:pPr>
            <w:r>
              <w:rPr>
                <w:color w:val="000000"/>
                <w:szCs w:val="21"/>
              </w:rPr>
              <w:t xml:space="preserve">      </w:t>
            </w:r>
            <w:r>
              <w:rPr>
                <w:color w:val="000000"/>
                <w:szCs w:val="21"/>
              </w:rPr>
              <w:t>农业复垦保证金</w:t>
            </w:r>
          </w:p>
        </w:tc>
        <w:tc>
          <w:tcPr>
            <w:tcW w:w="979" w:type="pct"/>
            <w:vAlign w:val="center"/>
          </w:tcPr>
          <w:p w:rsidR="000D3334" w:rsidRDefault="000D3334" w:rsidP="00F3634B">
            <w:pPr>
              <w:widowControl/>
              <w:ind w:firstLine="480"/>
              <w:jc w:val="right"/>
              <w:rPr>
                <w:b/>
                <w:kern w:val="0"/>
                <w:szCs w:val="21"/>
              </w:rPr>
            </w:pPr>
            <w:r>
              <w:rPr>
                <w:color w:val="000000"/>
                <w:szCs w:val="21"/>
              </w:rPr>
              <w:t xml:space="preserve"> 1,491.09 </w:t>
            </w:r>
          </w:p>
        </w:tc>
        <w:tc>
          <w:tcPr>
            <w:tcW w:w="2354" w:type="pct"/>
            <w:vAlign w:val="center"/>
          </w:tcPr>
          <w:p w:rsidR="000D3334" w:rsidRDefault="000D3334" w:rsidP="00F3634B">
            <w:pPr>
              <w:widowControl/>
              <w:rPr>
                <w:color w:val="000000"/>
                <w:szCs w:val="21"/>
              </w:rPr>
            </w:pPr>
            <w:r>
              <w:rPr>
                <w:rFonts w:hint="eastAsia"/>
                <w:color w:val="000000"/>
                <w:szCs w:val="21"/>
              </w:rPr>
              <w:t>项目开工前向银行专户缴纳的专项担保资金，用于确保履行土地复垦义务</w:t>
            </w:r>
          </w:p>
        </w:tc>
      </w:tr>
      <w:tr w:rsidR="000D3334" w:rsidTr="00F3634B">
        <w:trPr>
          <w:trHeight w:val="397"/>
          <w:jc w:val="center"/>
        </w:trPr>
        <w:tc>
          <w:tcPr>
            <w:tcW w:w="1667" w:type="pct"/>
            <w:vAlign w:val="center"/>
          </w:tcPr>
          <w:p w:rsidR="000D3334" w:rsidRDefault="000D3334" w:rsidP="00F3634B">
            <w:pPr>
              <w:widowControl/>
              <w:rPr>
                <w:color w:val="000000"/>
                <w:szCs w:val="21"/>
              </w:rPr>
            </w:pPr>
            <w:r>
              <w:rPr>
                <w:rFonts w:hint="eastAsia"/>
                <w:color w:val="000000"/>
                <w:szCs w:val="21"/>
              </w:rPr>
              <w:t>未决诉讼冻结资金</w:t>
            </w:r>
          </w:p>
        </w:tc>
        <w:tc>
          <w:tcPr>
            <w:tcW w:w="979" w:type="pct"/>
            <w:vAlign w:val="center"/>
          </w:tcPr>
          <w:p w:rsidR="000D3334" w:rsidRDefault="000D3334" w:rsidP="00F3634B">
            <w:pPr>
              <w:widowControl/>
              <w:ind w:firstLine="480"/>
              <w:jc w:val="right"/>
              <w:rPr>
                <w:color w:val="000000"/>
                <w:szCs w:val="21"/>
              </w:rPr>
            </w:pPr>
            <w:bookmarkStart w:id="17" w:name="_Hlk198749308"/>
            <w:r>
              <w:rPr>
                <w:color w:val="000000"/>
                <w:szCs w:val="21"/>
              </w:rPr>
              <w:t xml:space="preserve"> 2,370.89</w:t>
            </w:r>
            <w:bookmarkEnd w:id="17"/>
            <w:r>
              <w:rPr>
                <w:color w:val="000000"/>
                <w:szCs w:val="21"/>
              </w:rPr>
              <w:t xml:space="preserve"> </w:t>
            </w:r>
          </w:p>
        </w:tc>
        <w:tc>
          <w:tcPr>
            <w:tcW w:w="2354" w:type="pct"/>
            <w:vAlign w:val="center"/>
          </w:tcPr>
          <w:p w:rsidR="000D3334" w:rsidRDefault="000D3334" w:rsidP="00F3634B">
            <w:pPr>
              <w:widowControl/>
              <w:rPr>
                <w:color w:val="000000"/>
                <w:szCs w:val="21"/>
              </w:rPr>
            </w:pPr>
            <w:r>
              <w:rPr>
                <w:rFonts w:hint="eastAsia"/>
                <w:color w:val="000000"/>
                <w:szCs w:val="21"/>
              </w:rPr>
              <w:t>工程项目实施过程中，因合同纠纷，法院根据原告的申请，暂时冻结的资金</w:t>
            </w:r>
          </w:p>
        </w:tc>
      </w:tr>
      <w:tr w:rsidR="000D3334" w:rsidTr="00F3634B">
        <w:trPr>
          <w:trHeight w:val="397"/>
          <w:jc w:val="center"/>
        </w:trPr>
        <w:tc>
          <w:tcPr>
            <w:tcW w:w="1667" w:type="pct"/>
            <w:vAlign w:val="center"/>
          </w:tcPr>
          <w:p w:rsidR="000D3334" w:rsidRDefault="000D3334" w:rsidP="00F3634B">
            <w:pPr>
              <w:widowControl/>
              <w:jc w:val="center"/>
              <w:rPr>
                <w:b/>
                <w:bCs/>
                <w:szCs w:val="21"/>
              </w:rPr>
            </w:pPr>
            <w:r>
              <w:rPr>
                <w:b/>
                <w:bCs/>
                <w:szCs w:val="21"/>
              </w:rPr>
              <w:t>合计</w:t>
            </w:r>
          </w:p>
        </w:tc>
        <w:tc>
          <w:tcPr>
            <w:tcW w:w="979" w:type="pct"/>
            <w:vAlign w:val="center"/>
          </w:tcPr>
          <w:p w:rsidR="000D3334" w:rsidRDefault="000D3334" w:rsidP="00F3634B">
            <w:pPr>
              <w:widowControl/>
              <w:ind w:firstLine="480"/>
              <w:jc w:val="right"/>
              <w:rPr>
                <w:b/>
                <w:bCs/>
                <w:szCs w:val="21"/>
              </w:rPr>
            </w:pPr>
            <w:r>
              <w:rPr>
                <w:b/>
                <w:bCs/>
                <w:color w:val="000000"/>
                <w:szCs w:val="21"/>
              </w:rPr>
              <w:t xml:space="preserve"> 7,344.94 </w:t>
            </w:r>
          </w:p>
        </w:tc>
        <w:tc>
          <w:tcPr>
            <w:tcW w:w="2354" w:type="pct"/>
          </w:tcPr>
          <w:p w:rsidR="000D3334" w:rsidRDefault="000D3334" w:rsidP="00F3634B">
            <w:pPr>
              <w:widowControl/>
              <w:jc w:val="left"/>
              <w:rPr>
                <w:b/>
                <w:bCs/>
                <w:color w:val="000000"/>
                <w:szCs w:val="21"/>
              </w:rPr>
            </w:pPr>
          </w:p>
        </w:tc>
      </w:tr>
    </w:tbl>
    <w:p w:rsidR="000D3334" w:rsidRDefault="000D3334" w:rsidP="000D3334">
      <w:pPr>
        <w:spacing w:beforeLines="50" w:before="156" w:line="360" w:lineRule="auto"/>
        <w:ind w:firstLineChars="200" w:firstLine="480"/>
        <w:rPr>
          <w:sz w:val="24"/>
        </w:rPr>
      </w:pPr>
      <w:r>
        <w:rPr>
          <w:rFonts w:hint="eastAsia"/>
          <w:sz w:val="24"/>
        </w:rPr>
        <w:t>如上表所示，期末其他货币资金余额均为保证金存款，系公司业务开展过程中正常缴纳的银行承兑汇票保证金、履约保函保证金等，不存在其他潜在限制性安排；各保证金均存放</w:t>
      </w:r>
      <w:proofErr w:type="gramStart"/>
      <w:r>
        <w:rPr>
          <w:rFonts w:hint="eastAsia"/>
          <w:sz w:val="24"/>
        </w:rPr>
        <w:t>于交建股份</w:t>
      </w:r>
      <w:proofErr w:type="gramEnd"/>
      <w:r>
        <w:rPr>
          <w:rFonts w:hint="eastAsia"/>
          <w:sz w:val="24"/>
        </w:rPr>
        <w:t>及下属子公司的银行账户中，不存在与控股股东或其他关联方联合或共管账户，不存在被他方实际使用的情况。</w:t>
      </w:r>
    </w:p>
    <w:p w:rsidR="000D3334" w:rsidRDefault="000D3334" w:rsidP="000D3334">
      <w:pPr>
        <w:spacing w:beforeLines="50" w:before="156" w:line="360" w:lineRule="auto"/>
        <w:ind w:firstLineChars="200" w:firstLine="480"/>
        <w:rPr>
          <w:sz w:val="24"/>
        </w:rPr>
      </w:pPr>
      <w:r>
        <w:rPr>
          <w:rFonts w:hint="eastAsia"/>
          <w:sz w:val="24"/>
        </w:rPr>
        <w:t>期末未决诉讼冻结资金余额主要系工程项目实施过程中，因合同纠纷，法院根据原告的申请，暂时冻结的资金，不存在其他潜在限制性安排；相关资金存放</w:t>
      </w:r>
      <w:proofErr w:type="gramStart"/>
      <w:r>
        <w:rPr>
          <w:rFonts w:hint="eastAsia"/>
          <w:sz w:val="24"/>
        </w:rPr>
        <w:t>于交建股份</w:t>
      </w:r>
      <w:proofErr w:type="gramEnd"/>
      <w:r>
        <w:rPr>
          <w:rFonts w:hint="eastAsia"/>
          <w:sz w:val="24"/>
        </w:rPr>
        <w:t>及下属子公司的银行账户中，不存在与控股股东或其他关联方联合或共管账户，不存在被他方实际使用的情况。截至</w:t>
      </w:r>
      <w:r>
        <w:rPr>
          <w:rFonts w:hint="eastAsia"/>
          <w:sz w:val="24"/>
        </w:rPr>
        <w:t>2024</w:t>
      </w:r>
      <w:r>
        <w:rPr>
          <w:rFonts w:hint="eastAsia"/>
          <w:sz w:val="24"/>
        </w:rPr>
        <w:t>年末，针对各项未决诉讼，公司已按照工程进度确认相关成本和负债，并已按照相关要求和标准进行披露。</w:t>
      </w:r>
    </w:p>
    <w:p w:rsidR="000D3334" w:rsidRDefault="000D3334" w:rsidP="000D3334">
      <w:pPr>
        <w:spacing w:beforeLines="50" w:before="156" w:line="360" w:lineRule="auto"/>
        <w:ind w:firstLineChars="200" w:firstLine="482"/>
        <w:outlineLvl w:val="0"/>
        <w:rPr>
          <w:b/>
          <w:bCs/>
          <w:sz w:val="24"/>
        </w:rPr>
      </w:pPr>
      <w:r>
        <w:rPr>
          <w:rFonts w:hint="eastAsia"/>
          <w:b/>
          <w:bCs/>
          <w:sz w:val="24"/>
        </w:rPr>
        <w:t>三、年审会计师核查意见</w:t>
      </w:r>
    </w:p>
    <w:p w:rsidR="000D3334" w:rsidRDefault="000D3334" w:rsidP="000D3334">
      <w:pPr>
        <w:spacing w:beforeLines="50" w:before="156" w:line="360" w:lineRule="auto"/>
        <w:ind w:firstLineChars="200" w:firstLine="482"/>
        <w:outlineLvl w:val="1"/>
        <w:rPr>
          <w:b/>
          <w:bCs/>
          <w:sz w:val="24"/>
        </w:rPr>
      </w:pPr>
      <w:r>
        <w:rPr>
          <w:rFonts w:hint="eastAsia"/>
          <w:b/>
          <w:bCs/>
          <w:sz w:val="24"/>
        </w:rPr>
        <w:t>（一）核查程序</w:t>
      </w:r>
    </w:p>
    <w:p w:rsidR="000D3334" w:rsidRDefault="000D3334" w:rsidP="000D3334">
      <w:pPr>
        <w:spacing w:beforeLines="50" w:before="156" w:line="360" w:lineRule="auto"/>
        <w:ind w:firstLineChars="200" w:firstLine="480"/>
        <w:rPr>
          <w:sz w:val="24"/>
        </w:rPr>
      </w:pPr>
      <w:r>
        <w:rPr>
          <w:rFonts w:hint="eastAsia"/>
          <w:sz w:val="24"/>
        </w:rPr>
        <w:t>针对上述事项，年审会计师履行了以下核查程序：</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、获取公司货币资金明细表，检查货币资金期末余额构成情况；</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、获取公司长短期借款明细表，了解借款的主要目的以及相关余额情况，结合货币资金、借款余额的变动，分析其合理性；</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、获取公司期末货币资金受限明细清单，并结合银行对账单、</w:t>
      </w:r>
      <w:proofErr w:type="gramStart"/>
      <w:r>
        <w:rPr>
          <w:rFonts w:hint="eastAsia"/>
          <w:sz w:val="24"/>
        </w:rPr>
        <w:t>银行函证等</w:t>
      </w:r>
      <w:proofErr w:type="gramEnd"/>
      <w:r>
        <w:rPr>
          <w:rFonts w:hint="eastAsia"/>
          <w:sz w:val="24"/>
        </w:rPr>
        <w:t>程序验证其准确性、权利与义务。</w:t>
      </w:r>
    </w:p>
    <w:p w:rsidR="000D3334" w:rsidRDefault="000D3334" w:rsidP="000D3334">
      <w:pPr>
        <w:spacing w:beforeLines="50" w:before="156" w:line="360" w:lineRule="auto"/>
        <w:ind w:firstLineChars="200" w:firstLine="482"/>
        <w:outlineLvl w:val="1"/>
        <w:rPr>
          <w:b/>
          <w:bCs/>
          <w:sz w:val="24"/>
        </w:rPr>
      </w:pPr>
      <w:r>
        <w:rPr>
          <w:rFonts w:hint="eastAsia"/>
          <w:b/>
          <w:bCs/>
          <w:sz w:val="24"/>
        </w:rPr>
        <w:t>（二）核查意见</w:t>
      </w:r>
    </w:p>
    <w:p w:rsidR="000D3334" w:rsidRDefault="000D3334" w:rsidP="000D3334">
      <w:pPr>
        <w:spacing w:beforeLines="50" w:before="156" w:line="360" w:lineRule="auto"/>
        <w:ind w:firstLineChars="200" w:firstLine="480"/>
        <w:rPr>
          <w:sz w:val="24"/>
        </w:rPr>
      </w:pPr>
      <w:r>
        <w:rPr>
          <w:rFonts w:hint="eastAsia"/>
          <w:sz w:val="24"/>
        </w:rPr>
        <w:lastRenderedPageBreak/>
        <w:t>经核查，年审会计师认为：</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公司在持有较大规模货币资金的同时维持高额借款、承担较高利息费用，主要系所处行业对营运资金的需求较高，为满足项目建设资金周转的需要，导致期末借款余额较高，符合公司所处行业特点及自身发展需要，具备合理性；</w:t>
      </w:r>
    </w:p>
    <w:p w:rsidR="000D3334" w:rsidRDefault="000D3334" w:rsidP="000D3334">
      <w:pPr>
        <w:spacing w:beforeLines="50" w:before="156" w:line="360" w:lineRule="auto"/>
        <w:ind w:firstLineChars="200" w:firstLine="480"/>
        <w:rPr>
          <w:sz w:val="24"/>
        </w:rPr>
      </w:pPr>
      <w:r>
        <w:rPr>
          <w:rFonts w:hint="eastAsia"/>
          <w:sz w:val="24"/>
        </w:rPr>
        <w:t>2</w:t>
      </w:r>
      <w:r>
        <w:rPr>
          <w:rFonts w:hint="eastAsia"/>
          <w:sz w:val="24"/>
        </w:rPr>
        <w:t>、公司使用受限的货币资金余额</w:t>
      </w:r>
      <w:proofErr w:type="gramStart"/>
      <w:r>
        <w:rPr>
          <w:rFonts w:hint="eastAsia"/>
          <w:sz w:val="24"/>
        </w:rPr>
        <w:t>系业务</w:t>
      </w:r>
      <w:proofErr w:type="gramEnd"/>
      <w:r>
        <w:rPr>
          <w:rFonts w:hint="eastAsia"/>
          <w:sz w:val="24"/>
        </w:rPr>
        <w:t>开展过程中正常缴纳的银行承兑汇票保证金、履约保函保证金等各项保证金和未决诉讼冻结资金，相关资金存放</w:t>
      </w:r>
      <w:proofErr w:type="gramStart"/>
      <w:r>
        <w:rPr>
          <w:rFonts w:hint="eastAsia"/>
          <w:sz w:val="24"/>
        </w:rPr>
        <w:t>于交建股份</w:t>
      </w:r>
      <w:proofErr w:type="gramEnd"/>
      <w:r>
        <w:rPr>
          <w:rFonts w:hint="eastAsia"/>
          <w:sz w:val="24"/>
        </w:rPr>
        <w:t>及下属子公司的银行账户中，不存在其他潜在限制性安排、与控股股东或其他关联方联合或共管账户以及货币资金被他方实际使用的情况。</w:t>
      </w:r>
    </w:p>
    <w:p w:rsidR="000D3334" w:rsidRDefault="000D3334" w:rsidP="000D3334">
      <w:pPr>
        <w:spacing w:beforeLines="50" w:before="156" w:line="360" w:lineRule="auto"/>
        <w:ind w:firstLineChars="200" w:firstLine="480"/>
        <w:rPr>
          <w:sz w:val="24"/>
        </w:rPr>
      </w:pPr>
    </w:p>
    <w:p w:rsidR="000D3334" w:rsidRDefault="000D3334" w:rsidP="000D3334">
      <w:pPr>
        <w:spacing w:beforeLines="50" w:before="156" w:line="360" w:lineRule="auto"/>
        <w:ind w:firstLineChars="200" w:firstLine="482"/>
        <w:outlineLvl w:val="0"/>
        <w:rPr>
          <w:b/>
          <w:bCs/>
          <w:sz w:val="24"/>
        </w:rPr>
      </w:pPr>
      <w:r>
        <w:rPr>
          <w:rFonts w:hint="eastAsia"/>
          <w:b/>
          <w:bCs/>
          <w:sz w:val="24"/>
        </w:rPr>
        <w:t>问题</w:t>
      </w:r>
      <w:r>
        <w:rPr>
          <w:rFonts w:hint="eastAsia"/>
          <w:b/>
          <w:bCs/>
          <w:sz w:val="24"/>
        </w:rPr>
        <w:t>6</w:t>
      </w:r>
      <w:r>
        <w:rPr>
          <w:rFonts w:hint="eastAsia"/>
          <w:b/>
          <w:bCs/>
          <w:sz w:val="24"/>
        </w:rPr>
        <w:t>、关于经营活动现金流</w:t>
      </w:r>
    </w:p>
    <w:p w:rsidR="000D3334" w:rsidRDefault="000D3334" w:rsidP="000D3334">
      <w:pPr>
        <w:spacing w:beforeLines="50" w:before="156" w:line="360" w:lineRule="auto"/>
        <w:ind w:firstLineChars="200" w:firstLine="482"/>
        <w:rPr>
          <w:b/>
          <w:bCs/>
          <w:sz w:val="24"/>
        </w:rPr>
      </w:pPr>
      <w:r>
        <w:rPr>
          <w:rFonts w:hint="eastAsia"/>
          <w:b/>
          <w:bCs/>
          <w:sz w:val="24"/>
        </w:rPr>
        <w:t>2024</w:t>
      </w:r>
      <w:r>
        <w:rPr>
          <w:rFonts w:hint="eastAsia"/>
          <w:b/>
          <w:bCs/>
          <w:sz w:val="24"/>
        </w:rPr>
        <w:t>年，公司经营活动产生的现金流量净额为</w:t>
      </w:r>
      <w:r>
        <w:rPr>
          <w:rFonts w:hint="eastAsia"/>
          <w:b/>
          <w:bCs/>
          <w:sz w:val="24"/>
        </w:rPr>
        <w:t>-1.93</w:t>
      </w:r>
      <w:r>
        <w:rPr>
          <w:rFonts w:hint="eastAsia"/>
          <w:b/>
          <w:bCs/>
          <w:sz w:val="24"/>
        </w:rPr>
        <w:t>亿元，支付的其他与经营活动有关的现金流</w:t>
      </w:r>
      <w:r>
        <w:rPr>
          <w:rFonts w:hint="eastAsia"/>
          <w:b/>
          <w:bCs/>
          <w:sz w:val="24"/>
        </w:rPr>
        <w:t>1.37</w:t>
      </w:r>
      <w:r>
        <w:rPr>
          <w:rFonts w:hint="eastAsia"/>
          <w:b/>
          <w:bCs/>
          <w:sz w:val="24"/>
        </w:rPr>
        <w:t>亿元，其中往来款及其他为</w:t>
      </w:r>
      <w:r>
        <w:rPr>
          <w:rFonts w:hint="eastAsia"/>
          <w:b/>
          <w:bCs/>
          <w:sz w:val="24"/>
        </w:rPr>
        <w:t>9444.82</w:t>
      </w:r>
      <w:r>
        <w:rPr>
          <w:rFonts w:hint="eastAsia"/>
          <w:b/>
          <w:bCs/>
          <w:sz w:val="24"/>
        </w:rPr>
        <w:t>万元。请公司补充披露</w:t>
      </w:r>
      <w:r>
        <w:rPr>
          <w:rFonts w:hint="eastAsia"/>
          <w:b/>
          <w:bCs/>
          <w:sz w:val="24"/>
        </w:rPr>
        <w:t>:</w:t>
      </w:r>
      <w:r>
        <w:rPr>
          <w:rFonts w:hint="eastAsia"/>
          <w:b/>
          <w:bCs/>
          <w:sz w:val="24"/>
        </w:rPr>
        <w:t>（</w:t>
      </w:r>
      <w:r>
        <w:rPr>
          <w:rFonts w:hint="eastAsia"/>
          <w:b/>
          <w:bCs/>
          <w:sz w:val="24"/>
        </w:rPr>
        <w:t>1</w:t>
      </w:r>
      <w:r>
        <w:rPr>
          <w:rFonts w:hint="eastAsia"/>
          <w:b/>
          <w:bCs/>
          <w:sz w:val="24"/>
        </w:rPr>
        <w:t>）形成上述往来款的具体原因、明细情况、涉及事项、款项性质等；（</w:t>
      </w:r>
      <w:r>
        <w:rPr>
          <w:rFonts w:hint="eastAsia"/>
          <w:b/>
          <w:bCs/>
          <w:sz w:val="24"/>
        </w:rPr>
        <w:t>2</w:t>
      </w:r>
      <w:r>
        <w:rPr>
          <w:rFonts w:hint="eastAsia"/>
          <w:b/>
          <w:bCs/>
          <w:sz w:val="24"/>
        </w:rPr>
        <w:t>）自查是否存在对外提供财务资助、非经营性资金占用的情形，以及是否履行了相关审议程序及信息披露义务。请年审会计师发表意见。</w:t>
      </w:r>
    </w:p>
    <w:p w:rsidR="000D3334" w:rsidRDefault="000D3334" w:rsidP="000D3334">
      <w:pPr>
        <w:spacing w:beforeLines="50" w:before="156" w:line="360" w:lineRule="auto"/>
        <w:ind w:firstLineChars="200" w:firstLine="482"/>
        <w:outlineLvl w:val="0"/>
        <w:rPr>
          <w:b/>
          <w:bCs/>
          <w:sz w:val="24"/>
        </w:rPr>
      </w:pPr>
      <w:r>
        <w:rPr>
          <w:b/>
          <w:bCs/>
          <w:sz w:val="24"/>
        </w:rPr>
        <w:t>回复</w:t>
      </w:r>
      <w:r>
        <w:rPr>
          <w:rFonts w:hint="eastAsia"/>
          <w:b/>
          <w:bCs/>
          <w:sz w:val="24"/>
        </w:rPr>
        <w:t>：</w:t>
      </w:r>
    </w:p>
    <w:p w:rsidR="000D3334" w:rsidRDefault="000D3334" w:rsidP="000D3334">
      <w:pPr>
        <w:spacing w:beforeLines="50" w:before="156" w:line="360" w:lineRule="auto"/>
        <w:ind w:firstLineChars="200" w:firstLine="482"/>
        <w:outlineLvl w:val="0"/>
        <w:rPr>
          <w:b/>
          <w:bCs/>
          <w:sz w:val="24"/>
        </w:rPr>
      </w:pPr>
      <w:r>
        <w:rPr>
          <w:b/>
          <w:bCs/>
          <w:sz w:val="24"/>
        </w:rPr>
        <w:t>一、</w:t>
      </w:r>
      <w:r>
        <w:rPr>
          <w:rFonts w:hint="eastAsia"/>
          <w:b/>
          <w:bCs/>
          <w:sz w:val="24"/>
        </w:rPr>
        <w:t>形成上述往来款的具体原因、明细情况、涉及事项、款项性质等</w:t>
      </w:r>
    </w:p>
    <w:p w:rsidR="000D3334" w:rsidRDefault="000D3334" w:rsidP="000D3334">
      <w:pPr>
        <w:spacing w:beforeLines="50" w:before="156" w:line="360" w:lineRule="auto"/>
        <w:ind w:firstLineChars="200" w:firstLine="480"/>
        <w:rPr>
          <w:sz w:val="24"/>
        </w:rPr>
      </w:pPr>
      <w:r>
        <w:rPr>
          <w:rFonts w:hint="eastAsia"/>
          <w:sz w:val="24"/>
        </w:rPr>
        <w:t>2024</w:t>
      </w:r>
      <w:r>
        <w:rPr>
          <w:rFonts w:hint="eastAsia"/>
          <w:sz w:val="24"/>
        </w:rPr>
        <w:t>年，公司支付的其他与经营活动有关的现金流</w:t>
      </w:r>
      <w:r>
        <w:rPr>
          <w:rFonts w:hint="eastAsia"/>
          <w:sz w:val="24"/>
        </w:rPr>
        <w:t>1.37</w:t>
      </w:r>
      <w:r>
        <w:rPr>
          <w:rFonts w:hint="eastAsia"/>
          <w:sz w:val="24"/>
        </w:rPr>
        <w:t>亿元，其中往来款及其他为</w:t>
      </w:r>
      <w:r>
        <w:rPr>
          <w:rFonts w:hint="eastAsia"/>
          <w:sz w:val="24"/>
        </w:rPr>
        <w:t>9,444.82</w:t>
      </w:r>
      <w:r>
        <w:rPr>
          <w:rFonts w:hint="eastAsia"/>
          <w:sz w:val="24"/>
        </w:rPr>
        <w:t>万元，明细如下：</w:t>
      </w:r>
    </w:p>
    <w:p w:rsidR="000D3334" w:rsidRDefault="000D3334" w:rsidP="000D3334">
      <w:pPr>
        <w:spacing w:beforeLines="50" w:before="156"/>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7"/>
        <w:gridCol w:w="1817"/>
        <w:gridCol w:w="4888"/>
      </w:tblGrid>
      <w:tr w:rsidR="000D3334" w:rsidTr="00F3634B">
        <w:trPr>
          <w:trHeight w:val="397"/>
          <w:tblHeader/>
        </w:trPr>
        <w:tc>
          <w:tcPr>
            <w:tcW w:w="1066"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项目</w:t>
            </w:r>
          </w:p>
        </w:tc>
        <w:tc>
          <w:tcPr>
            <w:tcW w:w="1066"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金额</w:t>
            </w:r>
          </w:p>
        </w:tc>
        <w:tc>
          <w:tcPr>
            <w:tcW w:w="2868" w:type="pct"/>
            <w:shd w:val="clear" w:color="auto" w:fill="D9D9D9" w:themeFill="background1" w:themeFillShade="D9"/>
            <w:vAlign w:val="center"/>
          </w:tcPr>
          <w:p w:rsidR="000D3334" w:rsidRDefault="000D3334" w:rsidP="00F3634B">
            <w:pPr>
              <w:adjustRightInd w:val="0"/>
              <w:jc w:val="center"/>
              <w:rPr>
                <w:b/>
                <w:bCs/>
                <w:szCs w:val="21"/>
              </w:rPr>
            </w:pPr>
            <w:r>
              <w:rPr>
                <w:rFonts w:hint="eastAsia"/>
                <w:b/>
                <w:bCs/>
                <w:szCs w:val="21"/>
              </w:rPr>
              <w:t>形成原因</w:t>
            </w:r>
          </w:p>
        </w:tc>
      </w:tr>
      <w:tr w:rsidR="000D3334" w:rsidTr="00F3634B">
        <w:trPr>
          <w:trHeight w:val="397"/>
        </w:trPr>
        <w:tc>
          <w:tcPr>
            <w:tcW w:w="1066" w:type="pct"/>
            <w:vAlign w:val="center"/>
          </w:tcPr>
          <w:p w:rsidR="000D3334" w:rsidRDefault="000D3334" w:rsidP="00F3634B">
            <w:pPr>
              <w:adjustRightInd w:val="0"/>
              <w:rPr>
                <w:szCs w:val="21"/>
              </w:rPr>
            </w:pPr>
            <w:r>
              <w:rPr>
                <w:color w:val="000000"/>
                <w:szCs w:val="21"/>
              </w:rPr>
              <w:t>研发费用</w:t>
            </w:r>
          </w:p>
        </w:tc>
        <w:tc>
          <w:tcPr>
            <w:tcW w:w="1066" w:type="pct"/>
            <w:vAlign w:val="center"/>
          </w:tcPr>
          <w:p w:rsidR="000D3334" w:rsidRDefault="000D3334" w:rsidP="00F3634B">
            <w:pPr>
              <w:adjustRightInd w:val="0"/>
              <w:jc w:val="right"/>
              <w:rPr>
                <w:b/>
                <w:bCs/>
                <w:szCs w:val="21"/>
              </w:rPr>
            </w:pPr>
            <w:r>
              <w:rPr>
                <w:color w:val="000000"/>
                <w:szCs w:val="21"/>
              </w:rPr>
              <w:t xml:space="preserve">631.78 </w:t>
            </w:r>
          </w:p>
        </w:tc>
        <w:tc>
          <w:tcPr>
            <w:tcW w:w="2868" w:type="pct"/>
            <w:vAlign w:val="center"/>
          </w:tcPr>
          <w:p w:rsidR="000D3334" w:rsidRDefault="000D3334" w:rsidP="00F3634B">
            <w:pPr>
              <w:adjustRightInd w:val="0"/>
              <w:rPr>
                <w:color w:val="000000"/>
                <w:szCs w:val="21"/>
              </w:rPr>
            </w:pPr>
            <w:r>
              <w:rPr>
                <w:rFonts w:hint="eastAsia"/>
                <w:color w:val="000000"/>
                <w:szCs w:val="21"/>
              </w:rPr>
              <w:t>研发活动有关的材料费、人员工资等支付的现金</w:t>
            </w:r>
          </w:p>
        </w:tc>
      </w:tr>
      <w:tr w:rsidR="000D3334" w:rsidTr="00F3634B">
        <w:trPr>
          <w:trHeight w:val="397"/>
        </w:trPr>
        <w:tc>
          <w:tcPr>
            <w:tcW w:w="1066" w:type="pct"/>
            <w:vAlign w:val="center"/>
          </w:tcPr>
          <w:p w:rsidR="000D3334" w:rsidRDefault="000D3334" w:rsidP="00F3634B">
            <w:pPr>
              <w:adjustRightInd w:val="0"/>
              <w:rPr>
                <w:szCs w:val="21"/>
              </w:rPr>
            </w:pPr>
            <w:r>
              <w:rPr>
                <w:color w:val="000000"/>
                <w:szCs w:val="21"/>
              </w:rPr>
              <w:t>营业外支出</w:t>
            </w:r>
          </w:p>
        </w:tc>
        <w:tc>
          <w:tcPr>
            <w:tcW w:w="1066" w:type="pct"/>
            <w:vAlign w:val="center"/>
          </w:tcPr>
          <w:p w:rsidR="000D3334" w:rsidRDefault="000D3334" w:rsidP="00F3634B">
            <w:pPr>
              <w:adjustRightInd w:val="0"/>
              <w:jc w:val="right"/>
              <w:rPr>
                <w:b/>
                <w:bCs/>
                <w:szCs w:val="21"/>
              </w:rPr>
            </w:pPr>
            <w:r>
              <w:rPr>
                <w:color w:val="000000"/>
                <w:szCs w:val="21"/>
              </w:rPr>
              <w:t xml:space="preserve">477.52 </w:t>
            </w:r>
          </w:p>
        </w:tc>
        <w:tc>
          <w:tcPr>
            <w:tcW w:w="2868" w:type="pct"/>
            <w:vAlign w:val="center"/>
          </w:tcPr>
          <w:p w:rsidR="000D3334" w:rsidRDefault="000D3334" w:rsidP="00F3634B">
            <w:pPr>
              <w:adjustRightInd w:val="0"/>
              <w:rPr>
                <w:color w:val="000000"/>
                <w:szCs w:val="21"/>
              </w:rPr>
            </w:pPr>
            <w:r>
              <w:rPr>
                <w:rFonts w:hint="eastAsia"/>
                <w:color w:val="000000"/>
                <w:szCs w:val="21"/>
              </w:rPr>
              <w:t>与日常经营活动无直接关系的各项支出支付的现金</w:t>
            </w:r>
          </w:p>
        </w:tc>
      </w:tr>
      <w:tr w:rsidR="000D3334" w:rsidTr="00F3634B">
        <w:trPr>
          <w:trHeight w:val="397"/>
        </w:trPr>
        <w:tc>
          <w:tcPr>
            <w:tcW w:w="1066" w:type="pct"/>
            <w:vAlign w:val="center"/>
          </w:tcPr>
          <w:p w:rsidR="000D3334" w:rsidRDefault="000D3334" w:rsidP="00F3634B">
            <w:pPr>
              <w:adjustRightInd w:val="0"/>
              <w:rPr>
                <w:szCs w:val="21"/>
              </w:rPr>
            </w:pPr>
            <w:r>
              <w:rPr>
                <w:color w:val="000000"/>
                <w:szCs w:val="21"/>
              </w:rPr>
              <w:t>往来款</w:t>
            </w:r>
          </w:p>
        </w:tc>
        <w:tc>
          <w:tcPr>
            <w:tcW w:w="1066" w:type="pct"/>
            <w:vAlign w:val="center"/>
          </w:tcPr>
          <w:p w:rsidR="000D3334" w:rsidRDefault="000D3334" w:rsidP="00F3634B">
            <w:pPr>
              <w:adjustRightInd w:val="0"/>
              <w:jc w:val="right"/>
              <w:rPr>
                <w:b/>
                <w:bCs/>
                <w:szCs w:val="21"/>
              </w:rPr>
            </w:pPr>
            <w:r>
              <w:rPr>
                <w:color w:val="000000"/>
                <w:szCs w:val="21"/>
              </w:rPr>
              <w:t xml:space="preserve">8,335.52 </w:t>
            </w:r>
          </w:p>
        </w:tc>
        <w:tc>
          <w:tcPr>
            <w:tcW w:w="2868" w:type="pct"/>
            <w:vAlign w:val="center"/>
          </w:tcPr>
          <w:p w:rsidR="000D3334" w:rsidRDefault="000D3334" w:rsidP="00F3634B">
            <w:pPr>
              <w:adjustRightInd w:val="0"/>
              <w:rPr>
                <w:color w:val="000000"/>
                <w:szCs w:val="21"/>
              </w:rPr>
            </w:pPr>
            <w:r>
              <w:rPr>
                <w:rFonts w:hint="eastAsia"/>
                <w:color w:val="000000"/>
                <w:szCs w:val="21"/>
              </w:rPr>
              <w:t>返还供应商履约保证金等支付的现金</w:t>
            </w:r>
          </w:p>
        </w:tc>
      </w:tr>
      <w:tr w:rsidR="000D3334" w:rsidTr="00F3634B">
        <w:trPr>
          <w:trHeight w:val="397"/>
        </w:trPr>
        <w:tc>
          <w:tcPr>
            <w:tcW w:w="1066" w:type="pct"/>
            <w:vAlign w:val="center"/>
          </w:tcPr>
          <w:p w:rsidR="000D3334" w:rsidRDefault="000D3334" w:rsidP="00F3634B">
            <w:pPr>
              <w:adjustRightInd w:val="0"/>
              <w:jc w:val="center"/>
              <w:rPr>
                <w:b/>
                <w:bCs/>
                <w:szCs w:val="21"/>
              </w:rPr>
            </w:pPr>
            <w:r>
              <w:rPr>
                <w:b/>
                <w:bCs/>
                <w:szCs w:val="21"/>
              </w:rPr>
              <w:t>合计</w:t>
            </w:r>
          </w:p>
        </w:tc>
        <w:tc>
          <w:tcPr>
            <w:tcW w:w="1066" w:type="pct"/>
            <w:vAlign w:val="center"/>
          </w:tcPr>
          <w:p w:rsidR="000D3334" w:rsidRDefault="000D3334" w:rsidP="00F3634B">
            <w:pPr>
              <w:adjustRightInd w:val="0"/>
              <w:jc w:val="right"/>
              <w:rPr>
                <w:b/>
                <w:bCs/>
                <w:szCs w:val="21"/>
              </w:rPr>
            </w:pPr>
            <w:r>
              <w:rPr>
                <w:b/>
                <w:bCs/>
                <w:color w:val="000000"/>
                <w:szCs w:val="21"/>
              </w:rPr>
              <w:t xml:space="preserve">9,444.82 </w:t>
            </w:r>
          </w:p>
        </w:tc>
        <w:tc>
          <w:tcPr>
            <w:tcW w:w="2868" w:type="pct"/>
          </w:tcPr>
          <w:p w:rsidR="000D3334" w:rsidRDefault="000D3334" w:rsidP="00F3634B">
            <w:pPr>
              <w:adjustRightInd w:val="0"/>
              <w:jc w:val="right"/>
              <w:rPr>
                <w:color w:val="000000"/>
                <w:szCs w:val="21"/>
              </w:rPr>
            </w:pPr>
          </w:p>
        </w:tc>
      </w:tr>
    </w:tbl>
    <w:p w:rsidR="000D3334" w:rsidRDefault="000D3334" w:rsidP="000D3334">
      <w:pPr>
        <w:spacing w:beforeLines="50" w:before="156" w:line="360" w:lineRule="auto"/>
        <w:ind w:firstLineChars="200" w:firstLine="480"/>
        <w:rPr>
          <w:sz w:val="24"/>
        </w:rPr>
      </w:pPr>
      <w:r>
        <w:rPr>
          <w:rFonts w:hint="eastAsia"/>
          <w:sz w:val="24"/>
        </w:rPr>
        <w:t>明细中，往来款金额构成如下：</w:t>
      </w:r>
    </w:p>
    <w:p w:rsidR="000D3334" w:rsidRDefault="000D3334" w:rsidP="000D3334">
      <w:pPr>
        <w:spacing w:beforeLines="50" w:before="156"/>
        <w:ind w:firstLineChars="200" w:firstLine="420"/>
        <w:jc w:val="right"/>
        <w:rPr>
          <w:bCs/>
          <w:szCs w:val="21"/>
        </w:rPr>
      </w:pPr>
      <w:r>
        <w:rPr>
          <w:rFonts w:hint="eastAsia"/>
          <w:bCs/>
          <w:szCs w:val="21"/>
        </w:rPr>
        <w:t>单位：万元</w:t>
      </w:r>
    </w:p>
    <w:tbl>
      <w:tblPr>
        <w:tblStyle w:val="a9"/>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0"/>
        <w:gridCol w:w="1855"/>
        <w:gridCol w:w="1854"/>
        <w:gridCol w:w="1853"/>
      </w:tblGrid>
      <w:tr w:rsidR="000D3334" w:rsidTr="00F3634B">
        <w:trPr>
          <w:trHeight w:val="397"/>
          <w:tblHeader/>
        </w:trPr>
        <w:tc>
          <w:tcPr>
            <w:tcW w:w="1736"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lastRenderedPageBreak/>
              <w:t>往来单位</w:t>
            </w:r>
          </w:p>
        </w:tc>
        <w:tc>
          <w:tcPr>
            <w:tcW w:w="1088"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项目名称</w:t>
            </w:r>
          </w:p>
        </w:tc>
        <w:tc>
          <w:tcPr>
            <w:tcW w:w="1088"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款项性质</w:t>
            </w:r>
          </w:p>
        </w:tc>
        <w:tc>
          <w:tcPr>
            <w:tcW w:w="1087" w:type="pct"/>
            <w:shd w:val="clear" w:color="auto" w:fill="D9D9D9" w:themeFill="background1" w:themeFillShade="D9"/>
            <w:vAlign w:val="center"/>
          </w:tcPr>
          <w:p w:rsidR="000D3334" w:rsidRDefault="000D3334" w:rsidP="00F3634B">
            <w:pPr>
              <w:adjustRightInd w:val="0"/>
              <w:jc w:val="center"/>
              <w:rPr>
                <w:b/>
                <w:bCs/>
                <w:szCs w:val="21"/>
              </w:rPr>
            </w:pPr>
            <w:r>
              <w:rPr>
                <w:b/>
                <w:bCs/>
                <w:szCs w:val="21"/>
              </w:rPr>
              <w:t>金额</w:t>
            </w:r>
          </w:p>
        </w:tc>
      </w:tr>
      <w:tr w:rsidR="000D3334" w:rsidTr="00F3634B">
        <w:trPr>
          <w:trHeight w:val="397"/>
        </w:trPr>
        <w:tc>
          <w:tcPr>
            <w:tcW w:w="1736" w:type="pct"/>
            <w:vAlign w:val="center"/>
          </w:tcPr>
          <w:p w:rsidR="000D3334" w:rsidRDefault="000D3334" w:rsidP="00F3634B">
            <w:pPr>
              <w:adjustRightInd w:val="0"/>
              <w:rPr>
                <w:szCs w:val="21"/>
              </w:rPr>
            </w:pPr>
            <w:r>
              <w:rPr>
                <w:szCs w:val="21"/>
              </w:rPr>
              <w:t>合肥宝路建筑工程有限公司</w:t>
            </w:r>
          </w:p>
        </w:tc>
        <w:tc>
          <w:tcPr>
            <w:tcW w:w="1088" w:type="pct"/>
            <w:vAlign w:val="center"/>
          </w:tcPr>
          <w:p w:rsidR="000D3334" w:rsidRDefault="000D3334" w:rsidP="00F3634B">
            <w:pPr>
              <w:adjustRightInd w:val="0"/>
              <w:jc w:val="center"/>
              <w:rPr>
                <w:szCs w:val="21"/>
              </w:rPr>
            </w:pPr>
            <w:r>
              <w:rPr>
                <w:szCs w:val="21"/>
              </w:rPr>
              <w:t>大连路</w:t>
            </w:r>
            <w:r>
              <w:rPr>
                <w:rFonts w:hint="eastAsia"/>
                <w:szCs w:val="21"/>
              </w:rPr>
              <w:t>等</w:t>
            </w:r>
          </w:p>
        </w:tc>
        <w:tc>
          <w:tcPr>
            <w:tcW w:w="1088" w:type="pct"/>
            <w:vAlign w:val="center"/>
          </w:tcPr>
          <w:p w:rsidR="000D3334" w:rsidRDefault="000D3334" w:rsidP="00F3634B">
            <w:pPr>
              <w:adjustRightInd w:val="0"/>
              <w:jc w:val="center"/>
              <w:rPr>
                <w:szCs w:val="21"/>
              </w:rPr>
            </w:pPr>
            <w:r>
              <w:rPr>
                <w:szCs w:val="21"/>
              </w:rPr>
              <w:t>履约保证金</w:t>
            </w:r>
          </w:p>
        </w:tc>
        <w:tc>
          <w:tcPr>
            <w:tcW w:w="1087" w:type="pct"/>
            <w:vAlign w:val="center"/>
          </w:tcPr>
          <w:p w:rsidR="000D3334" w:rsidRDefault="000D3334" w:rsidP="00F3634B">
            <w:pPr>
              <w:adjustRightInd w:val="0"/>
              <w:jc w:val="right"/>
              <w:rPr>
                <w:b/>
                <w:bCs/>
                <w:szCs w:val="21"/>
              </w:rPr>
            </w:pPr>
            <w:r w:rsidRPr="00013B73">
              <w:rPr>
                <w:szCs w:val="21"/>
              </w:rPr>
              <w:t xml:space="preserve">3,186.00 </w:t>
            </w:r>
            <w:r>
              <w:rPr>
                <w:szCs w:val="21"/>
              </w:rPr>
              <w:t xml:space="preserve"> </w:t>
            </w:r>
          </w:p>
        </w:tc>
      </w:tr>
      <w:tr w:rsidR="000D3334" w:rsidTr="00F3634B">
        <w:trPr>
          <w:trHeight w:val="397"/>
        </w:trPr>
        <w:tc>
          <w:tcPr>
            <w:tcW w:w="1736" w:type="pct"/>
            <w:vAlign w:val="center"/>
          </w:tcPr>
          <w:p w:rsidR="000D3334" w:rsidRDefault="000D3334" w:rsidP="00F3634B">
            <w:pPr>
              <w:adjustRightInd w:val="0"/>
              <w:rPr>
                <w:szCs w:val="21"/>
              </w:rPr>
            </w:pPr>
            <w:r>
              <w:rPr>
                <w:szCs w:val="21"/>
              </w:rPr>
              <w:t>安徽喜成建设工程有限公司</w:t>
            </w:r>
          </w:p>
        </w:tc>
        <w:tc>
          <w:tcPr>
            <w:tcW w:w="1088" w:type="pct"/>
            <w:vAlign w:val="center"/>
          </w:tcPr>
          <w:p w:rsidR="000D3334" w:rsidRDefault="000D3334" w:rsidP="00F3634B">
            <w:pPr>
              <w:adjustRightInd w:val="0"/>
              <w:jc w:val="center"/>
              <w:rPr>
                <w:szCs w:val="21"/>
              </w:rPr>
            </w:pPr>
            <w:r>
              <w:rPr>
                <w:szCs w:val="21"/>
              </w:rPr>
              <w:t>宿松路</w:t>
            </w:r>
          </w:p>
        </w:tc>
        <w:tc>
          <w:tcPr>
            <w:tcW w:w="1088" w:type="pct"/>
            <w:vAlign w:val="center"/>
          </w:tcPr>
          <w:p w:rsidR="000D3334" w:rsidRDefault="000D3334" w:rsidP="00F3634B">
            <w:pPr>
              <w:adjustRightInd w:val="0"/>
              <w:jc w:val="center"/>
              <w:rPr>
                <w:szCs w:val="21"/>
              </w:rPr>
            </w:pPr>
            <w:r>
              <w:rPr>
                <w:szCs w:val="21"/>
              </w:rPr>
              <w:t>履约保证金</w:t>
            </w:r>
          </w:p>
        </w:tc>
        <w:tc>
          <w:tcPr>
            <w:tcW w:w="1087" w:type="pct"/>
            <w:vAlign w:val="center"/>
          </w:tcPr>
          <w:p w:rsidR="000D3334" w:rsidRPr="00013B73" w:rsidRDefault="000D3334" w:rsidP="00F3634B">
            <w:pPr>
              <w:adjustRightInd w:val="0"/>
              <w:jc w:val="right"/>
              <w:rPr>
                <w:szCs w:val="21"/>
              </w:rPr>
            </w:pPr>
            <w:r>
              <w:rPr>
                <w:szCs w:val="21"/>
              </w:rPr>
              <w:t xml:space="preserve"> 2,000.00 </w:t>
            </w:r>
          </w:p>
        </w:tc>
      </w:tr>
      <w:tr w:rsidR="000D3334" w:rsidTr="00F3634B">
        <w:trPr>
          <w:trHeight w:val="397"/>
        </w:trPr>
        <w:tc>
          <w:tcPr>
            <w:tcW w:w="1736" w:type="pct"/>
            <w:vAlign w:val="center"/>
          </w:tcPr>
          <w:p w:rsidR="000D3334" w:rsidRDefault="000D3334" w:rsidP="00F3634B">
            <w:pPr>
              <w:adjustRightInd w:val="0"/>
              <w:rPr>
                <w:szCs w:val="21"/>
              </w:rPr>
            </w:pPr>
            <w:r>
              <w:rPr>
                <w:szCs w:val="21"/>
              </w:rPr>
              <w:t>安徽力方建设工程有限公司</w:t>
            </w:r>
          </w:p>
        </w:tc>
        <w:tc>
          <w:tcPr>
            <w:tcW w:w="1088" w:type="pct"/>
            <w:vAlign w:val="center"/>
          </w:tcPr>
          <w:p w:rsidR="000D3334" w:rsidRDefault="000D3334" w:rsidP="00F3634B">
            <w:pPr>
              <w:adjustRightInd w:val="0"/>
              <w:jc w:val="center"/>
              <w:rPr>
                <w:szCs w:val="21"/>
              </w:rPr>
            </w:pPr>
            <w:r>
              <w:rPr>
                <w:szCs w:val="21"/>
              </w:rPr>
              <w:t>界首</w:t>
            </w:r>
            <w:r>
              <w:rPr>
                <w:szCs w:val="21"/>
              </w:rPr>
              <w:t>PPP</w:t>
            </w:r>
            <w:r>
              <w:rPr>
                <w:szCs w:val="21"/>
              </w:rPr>
              <w:t>项目</w:t>
            </w:r>
          </w:p>
        </w:tc>
        <w:tc>
          <w:tcPr>
            <w:tcW w:w="1088" w:type="pct"/>
            <w:vAlign w:val="center"/>
          </w:tcPr>
          <w:p w:rsidR="000D3334" w:rsidRDefault="000D3334" w:rsidP="00F3634B">
            <w:pPr>
              <w:adjustRightInd w:val="0"/>
              <w:jc w:val="center"/>
              <w:rPr>
                <w:szCs w:val="21"/>
              </w:rPr>
            </w:pPr>
            <w:r>
              <w:rPr>
                <w:szCs w:val="21"/>
              </w:rPr>
              <w:t>履约保证金</w:t>
            </w:r>
          </w:p>
        </w:tc>
        <w:tc>
          <w:tcPr>
            <w:tcW w:w="1087" w:type="pct"/>
            <w:vAlign w:val="center"/>
          </w:tcPr>
          <w:p w:rsidR="000D3334" w:rsidRDefault="000D3334" w:rsidP="00F3634B">
            <w:pPr>
              <w:adjustRightInd w:val="0"/>
              <w:jc w:val="right"/>
              <w:rPr>
                <w:b/>
                <w:bCs/>
                <w:szCs w:val="21"/>
              </w:rPr>
            </w:pPr>
            <w:r>
              <w:rPr>
                <w:szCs w:val="21"/>
              </w:rPr>
              <w:t xml:space="preserve"> 900.00 </w:t>
            </w:r>
          </w:p>
        </w:tc>
      </w:tr>
      <w:tr w:rsidR="000D3334" w:rsidTr="00F3634B">
        <w:trPr>
          <w:trHeight w:val="397"/>
        </w:trPr>
        <w:tc>
          <w:tcPr>
            <w:tcW w:w="1736" w:type="pct"/>
            <w:vAlign w:val="center"/>
          </w:tcPr>
          <w:p w:rsidR="000D3334" w:rsidRDefault="000D3334" w:rsidP="00F3634B">
            <w:pPr>
              <w:adjustRightInd w:val="0"/>
              <w:rPr>
                <w:szCs w:val="21"/>
              </w:rPr>
            </w:pPr>
            <w:r>
              <w:rPr>
                <w:szCs w:val="21"/>
              </w:rPr>
              <w:t>安徽得顺建设工程有限公司</w:t>
            </w:r>
          </w:p>
        </w:tc>
        <w:tc>
          <w:tcPr>
            <w:tcW w:w="1088" w:type="pct"/>
            <w:vAlign w:val="center"/>
          </w:tcPr>
          <w:p w:rsidR="000D3334" w:rsidRDefault="000D3334" w:rsidP="00F3634B">
            <w:pPr>
              <w:adjustRightInd w:val="0"/>
              <w:jc w:val="center"/>
              <w:rPr>
                <w:szCs w:val="21"/>
              </w:rPr>
            </w:pPr>
            <w:r>
              <w:rPr>
                <w:szCs w:val="21"/>
              </w:rPr>
              <w:t>阜南</w:t>
            </w:r>
            <w:r>
              <w:rPr>
                <w:szCs w:val="21"/>
              </w:rPr>
              <w:t>EPC</w:t>
            </w:r>
            <w:r>
              <w:rPr>
                <w:szCs w:val="21"/>
              </w:rPr>
              <w:t>项目</w:t>
            </w:r>
          </w:p>
        </w:tc>
        <w:tc>
          <w:tcPr>
            <w:tcW w:w="1088" w:type="pct"/>
            <w:vAlign w:val="center"/>
          </w:tcPr>
          <w:p w:rsidR="000D3334" w:rsidRDefault="000D3334" w:rsidP="00F3634B">
            <w:pPr>
              <w:adjustRightInd w:val="0"/>
              <w:jc w:val="center"/>
              <w:rPr>
                <w:szCs w:val="21"/>
              </w:rPr>
            </w:pPr>
            <w:r>
              <w:rPr>
                <w:szCs w:val="21"/>
              </w:rPr>
              <w:t>履约保证金</w:t>
            </w:r>
          </w:p>
        </w:tc>
        <w:tc>
          <w:tcPr>
            <w:tcW w:w="1087" w:type="pct"/>
            <w:vAlign w:val="center"/>
          </w:tcPr>
          <w:p w:rsidR="000D3334" w:rsidRDefault="000D3334" w:rsidP="00F3634B">
            <w:pPr>
              <w:adjustRightInd w:val="0"/>
              <w:jc w:val="right"/>
              <w:rPr>
                <w:b/>
                <w:bCs/>
                <w:szCs w:val="21"/>
              </w:rPr>
            </w:pPr>
            <w:r>
              <w:rPr>
                <w:szCs w:val="21"/>
              </w:rPr>
              <w:t xml:space="preserve"> 500.00 </w:t>
            </w:r>
          </w:p>
        </w:tc>
      </w:tr>
      <w:tr w:rsidR="000D3334" w:rsidTr="00F3634B">
        <w:trPr>
          <w:trHeight w:val="397"/>
        </w:trPr>
        <w:tc>
          <w:tcPr>
            <w:tcW w:w="1736" w:type="pct"/>
            <w:vAlign w:val="center"/>
          </w:tcPr>
          <w:p w:rsidR="000D3334" w:rsidRDefault="000D3334" w:rsidP="00F3634B">
            <w:pPr>
              <w:adjustRightInd w:val="0"/>
              <w:rPr>
                <w:szCs w:val="21"/>
              </w:rPr>
            </w:pPr>
            <w:r>
              <w:rPr>
                <w:szCs w:val="21"/>
              </w:rPr>
              <w:t>其他</w:t>
            </w:r>
          </w:p>
        </w:tc>
        <w:tc>
          <w:tcPr>
            <w:tcW w:w="1088" w:type="pct"/>
            <w:vAlign w:val="center"/>
          </w:tcPr>
          <w:p w:rsidR="000D3334" w:rsidRDefault="000D3334" w:rsidP="00F3634B">
            <w:pPr>
              <w:adjustRightInd w:val="0"/>
              <w:jc w:val="center"/>
              <w:rPr>
                <w:szCs w:val="21"/>
              </w:rPr>
            </w:pPr>
            <w:r>
              <w:rPr>
                <w:szCs w:val="21"/>
              </w:rPr>
              <w:t>各项目汇总</w:t>
            </w:r>
          </w:p>
        </w:tc>
        <w:tc>
          <w:tcPr>
            <w:tcW w:w="1088" w:type="pct"/>
            <w:vAlign w:val="center"/>
          </w:tcPr>
          <w:p w:rsidR="000D3334" w:rsidRDefault="000D3334" w:rsidP="00F3634B">
            <w:pPr>
              <w:adjustRightInd w:val="0"/>
              <w:jc w:val="center"/>
              <w:rPr>
                <w:szCs w:val="21"/>
              </w:rPr>
            </w:pPr>
            <w:r>
              <w:rPr>
                <w:szCs w:val="21"/>
              </w:rPr>
              <w:t>履约保证金等</w:t>
            </w:r>
          </w:p>
        </w:tc>
        <w:tc>
          <w:tcPr>
            <w:tcW w:w="1087" w:type="pct"/>
            <w:vAlign w:val="center"/>
          </w:tcPr>
          <w:p w:rsidR="000D3334" w:rsidRDefault="000D3334" w:rsidP="00F3634B">
            <w:pPr>
              <w:adjustRightInd w:val="0"/>
              <w:jc w:val="right"/>
              <w:rPr>
                <w:szCs w:val="21"/>
              </w:rPr>
            </w:pPr>
            <w:r w:rsidRPr="00013B73">
              <w:rPr>
                <w:szCs w:val="21"/>
              </w:rPr>
              <w:t>1,749.52</w:t>
            </w:r>
          </w:p>
        </w:tc>
      </w:tr>
      <w:tr w:rsidR="000D3334" w:rsidTr="00F3634B">
        <w:trPr>
          <w:trHeight w:val="397"/>
        </w:trPr>
        <w:tc>
          <w:tcPr>
            <w:tcW w:w="1736" w:type="pct"/>
            <w:vAlign w:val="center"/>
          </w:tcPr>
          <w:p w:rsidR="000D3334" w:rsidRDefault="000D3334" w:rsidP="00F3634B">
            <w:pPr>
              <w:adjustRightInd w:val="0"/>
              <w:jc w:val="center"/>
              <w:rPr>
                <w:b/>
                <w:bCs/>
                <w:szCs w:val="21"/>
              </w:rPr>
            </w:pPr>
            <w:r>
              <w:rPr>
                <w:b/>
                <w:bCs/>
                <w:szCs w:val="21"/>
              </w:rPr>
              <w:t>合计</w:t>
            </w:r>
          </w:p>
        </w:tc>
        <w:tc>
          <w:tcPr>
            <w:tcW w:w="1088" w:type="pct"/>
            <w:vAlign w:val="center"/>
          </w:tcPr>
          <w:p w:rsidR="000D3334" w:rsidRDefault="000D3334" w:rsidP="00F3634B">
            <w:pPr>
              <w:adjustRightInd w:val="0"/>
              <w:jc w:val="center"/>
              <w:rPr>
                <w:b/>
                <w:bCs/>
                <w:szCs w:val="21"/>
              </w:rPr>
            </w:pPr>
          </w:p>
        </w:tc>
        <w:tc>
          <w:tcPr>
            <w:tcW w:w="1088" w:type="pct"/>
            <w:vAlign w:val="center"/>
          </w:tcPr>
          <w:p w:rsidR="000D3334" w:rsidRDefault="000D3334" w:rsidP="00F3634B">
            <w:pPr>
              <w:adjustRightInd w:val="0"/>
              <w:jc w:val="center"/>
              <w:rPr>
                <w:b/>
                <w:bCs/>
                <w:szCs w:val="21"/>
              </w:rPr>
            </w:pPr>
          </w:p>
        </w:tc>
        <w:tc>
          <w:tcPr>
            <w:tcW w:w="1087" w:type="pct"/>
            <w:vAlign w:val="center"/>
          </w:tcPr>
          <w:p w:rsidR="000D3334" w:rsidRDefault="000D3334" w:rsidP="00F3634B">
            <w:pPr>
              <w:adjustRightInd w:val="0"/>
              <w:jc w:val="right"/>
              <w:rPr>
                <w:b/>
                <w:bCs/>
                <w:szCs w:val="21"/>
              </w:rPr>
            </w:pPr>
            <w:r>
              <w:rPr>
                <w:b/>
                <w:bCs/>
                <w:szCs w:val="21"/>
              </w:rPr>
              <w:t>8,335.52</w:t>
            </w:r>
          </w:p>
        </w:tc>
      </w:tr>
    </w:tbl>
    <w:p w:rsidR="000D3334" w:rsidRDefault="000D3334" w:rsidP="000D3334">
      <w:pPr>
        <w:spacing w:beforeLines="50" w:before="156" w:line="360" w:lineRule="auto"/>
        <w:ind w:firstLineChars="200" w:firstLine="480"/>
        <w:rPr>
          <w:sz w:val="24"/>
        </w:rPr>
      </w:pPr>
      <w:r>
        <w:rPr>
          <w:rFonts w:hint="eastAsia"/>
          <w:sz w:val="24"/>
        </w:rPr>
        <w:t>如上表所示，</w:t>
      </w:r>
      <w:r>
        <w:rPr>
          <w:rFonts w:hint="eastAsia"/>
          <w:sz w:val="24"/>
        </w:rPr>
        <w:t>2024</w:t>
      </w:r>
      <w:r>
        <w:rPr>
          <w:rFonts w:hint="eastAsia"/>
          <w:sz w:val="24"/>
        </w:rPr>
        <w:t>年支付的其他与经营活动有关的现金流</w:t>
      </w:r>
      <w:r>
        <w:rPr>
          <w:rFonts w:hint="eastAsia"/>
          <w:sz w:val="24"/>
        </w:rPr>
        <w:t>-</w:t>
      </w:r>
      <w:r>
        <w:rPr>
          <w:rFonts w:hint="eastAsia"/>
          <w:sz w:val="24"/>
        </w:rPr>
        <w:t>往来款及其他中，主要为各工程项目返还供应商履约保证金支付的现金。形成往来款的具体原因系：公司主营业务为公路、市政基础设施建设业务，在将建设工程中的专项工程或劳务作业分包给具有相应资质的分包供应商时，为保证项目顺利实施，向供应商收取的履约保证金，收取比例通常为分包合同价的</w:t>
      </w:r>
      <w:r>
        <w:rPr>
          <w:rFonts w:hint="eastAsia"/>
          <w:sz w:val="24"/>
        </w:rPr>
        <w:t>5%-10%</w:t>
      </w:r>
      <w:r>
        <w:rPr>
          <w:rFonts w:hint="eastAsia"/>
          <w:sz w:val="24"/>
        </w:rPr>
        <w:t>，返还条件通常为：（</w:t>
      </w:r>
      <w:r>
        <w:rPr>
          <w:rFonts w:hint="eastAsia"/>
          <w:sz w:val="24"/>
        </w:rPr>
        <w:t>1</w:t>
      </w:r>
      <w:r>
        <w:rPr>
          <w:rFonts w:hint="eastAsia"/>
          <w:sz w:val="24"/>
        </w:rPr>
        <w:t>）项目完成竣工验收或审计定案后，全额退还给乙方（无息）；（</w:t>
      </w:r>
      <w:r>
        <w:rPr>
          <w:rFonts w:hint="eastAsia"/>
          <w:sz w:val="24"/>
        </w:rPr>
        <w:t>2</w:t>
      </w:r>
      <w:r>
        <w:rPr>
          <w:rFonts w:hint="eastAsia"/>
          <w:sz w:val="24"/>
        </w:rPr>
        <w:t>）按照履约进度，设备人员进场后返还</w:t>
      </w:r>
      <w:r>
        <w:rPr>
          <w:rFonts w:hint="eastAsia"/>
          <w:sz w:val="24"/>
        </w:rPr>
        <w:t>50%</w:t>
      </w:r>
      <w:r>
        <w:rPr>
          <w:rFonts w:hint="eastAsia"/>
          <w:sz w:val="24"/>
        </w:rPr>
        <w:t>，工程进展顺利且应付未付的质保金与履约保证金相等时，返还剩余</w:t>
      </w:r>
      <w:r>
        <w:rPr>
          <w:rFonts w:hint="eastAsia"/>
          <w:sz w:val="24"/>
        </w:rPr>
        <w:t>50%</w:t>
      </w:r>
      <w:r>
        <w:rPr>
          <w:rFonts w:hint="eastAsia"/>
          <w:sz w:val="24"/>
        </w:rPr>
        <w:t>的履约保证金。</w:t>
      </w:r>
    </w:p>
    <w:p w:rsidR="000D3334" w:rsidRDefault="000D3334" w:rsidP="000D3334">
      <w:pPr>
        <w:spacing w:beforeLines="50" w:before="156" w:line="360" w:lineRule="auto"/>
        <w:ind w:firstLineChars="200" w:firstLine="480"/>
        <w:rPr>
          <w:sz w:val="24"/>
        </w:rPr>
      </w:pPr>
      <w:r>
        <w:rPr>
          <w:rFonts w:hint="eastAsia"/>
          <w:sz w:val="24"/>
        </w:rPr>
        <w:t>本年向供应商返还的履约保证金均为已达到合同约定返还条件的款项，存在部分施工项目合同额较大，如大连路、宿松路等，返还的履约保证金金额相对较大，故整体反映为支付的其他与经营活动有关的现金流。</w:t>
      </w:r>
    </w:p>
    <w:p w:rsidR="000D3334" w:rsidRDefault="000D3334" w:rsidP="000D3334">
      <w:pPr>
        <w:spacing w:beforeLines="50" w:before="156" w:line="360" w:lineRule="auto"/>
        <w:ind w:firstLineChars="200" w:firstLine="482"/>
        <w:outlineLvl w:val="0"/>
        <w:rPr>
          <w:b/>
          <w:bCs/>
          <w:sz w:val="24"/>
        </w:rPr>
      </w:pPr>
      <w:r>
        <w:rPr>
          <w:rFonts w:hint="eastAsia"/>
          <w:b/>
          <w:bCs/>
          <w:sz w:val="24"/>
        </w:rPr>
        <w:t>二、自查是否存在对外提供财务资助、非经营性资金占用的情形，以及是否履行了相关审议程序及信息披露义务</w:t>
      </w:r>
    </w:p>
    <w:p w:rsidR="000D3334" w:rsidRDefault="000D3334" w:rsidP="000D3334">
      <w:pPr>
        <w:spacing w:beforeLines="50" w:before="156" w:line="360" w:lineRule="auto"/>
        <w:ind w:firstLineChars="200" w:firstLine="480"/>
        <w:rPr>
          <w:sz w:val="24"/>
        </w:rPr>
      </w:pPr>
      <w:r>
        <w:rPr>
          <w:rFonts w:hint="eastAsia"/>
          <w:sz w:val="24"/>
        </w:rPr>
        <w:t>经自查，公司不存在对外提供财务资助、非经营性资金占用的情形，公司不存在需要履行相关审议程序及信息披露义务的该类事项。</w:t>
      </w:r>
    </w:p>
    <w:p w:rsidR="000D3334" w:rsidRDefault="000D3334" w:rsidP="000D3334">
      <w:pPr>
        <w:spacing w:beforeLines="50" w:before="156" w:line="360" w:lineRule="auto"/>
        <w:ind w:firstLineChars="200" w:firstLine="482"/>
        <w:outlineLvl w:val="0"/>
        <w:rPr>
          <w:b/>
          <w:bCs/>
          <w:sz w:val="24"/>
        </w:rPr>
      </w:pPr>
      <w:r>
        <w:rPr>
          <w:rFonts w:hint="eastAsia"/>
          <w:b/>
          <w:bCs/>
          <w:sz w:val="24"/>
        </w:rPr>
        <w:t>三、年审会计师核查意见</w:t>
      </w:r>
    </w:p>
    <w:p w:rsidR="000D3334" w:rsidRDefault="000D3334" w:rsidP="000D3334">
      <w:pPr>
        <w:spacing w:beforeLines="50" w:before="156" w:line="360" w:lineRule="auto"/>
        <w:ind w:firstLineChars="200" w:firstLine="482"/>
        <w:outlineLvl w:val="1"/>
        <w:rPr>
          <w:b/>
          <w:bCs/>
          <w:sz w:val="24"/>
        </w:rPr>
      </w:pPr>
      <w:r>
        <w:rPr>
          <w:rFonts w:hint="eastAsia"/>
          <w:b/>
          <w:bCs/>
          <w:sz w:val="24"/>
        </w:rPr>
        <w:t>（一）核查程序</w:t>
      </w:r>
    </w:p>
    <w:p w:rsidR="000D3334" w:rsidRDefault="000D3334" w:rsidP="000D3334">
      <w:pPr>
        <w:spacing w:beforeLines="50" w:before="156" w:line="360" w:lineRule="auto"/>
        <w:ind w:firstLineChars="200" w:firstLine="480"/>
        <w:rPr>
          <w:sz w:val="24"/>
        </w:rPr>
      </w:pPr>
      <w:r>
        <w:rPr>
          <w:sz w:val="24"/>
        </w:rPr>
        <w:t>针对上述事项，</w:t>
      </w:r>
      <w:r>
        <w:rPr>
          <w:rFonts w:hint="eastAsia"/>
          <w:sz w:val="24"/>
        </w:rPr>
        <w:t>年审会计师</w:t>
      </w:r>
      <w:r>
        <w:rPr>
          <w:sz w:val="24"/>
        </w:rPr>
        <w:t>履行了以下核查程序：</w:t>
      </w:r>
    </w:p>
    <w:p w:rsidR="000D3334" w:rsidRDefault="000D3334" w:rsidP="000D3334">
      <w:pPr>
        <w:spacing w:beforeLines="50" w:before="156" w:line="360" w:lineRule="auto"/>
        <w:ind w:firstLineChars="200" w:firstLine="480"/>
        <w:rPr>
          <w:sz w:val="24"/>
        </w:rPr>
      </w:pPr>
      <w:r>
        <w:rPr>
          <w:rFonts w:hint="eastAsia"/>
          <w:sz w:val="24"/>
        </w:rPr>
        <w:t>1</w:t>
      </w:r>
      <w:r>
        <w:rPr>
          <w:rFonts w:hint="eastAsia"/>
          <w:sz w:val="24"/>
        </w:rPr>
        <w:t>、获取其他往来科目明细表，核查往来款的具体原因、明细情况、涉及事项、款项性质等；</w:t>
      </w:r>
    </w:p>
    <w:p w:rsidR="000D3334" w:rsidRDefault="000D3334" w:rsidP="000D3334">
      <w:pPr>
        <w:spacing w:beforeLines="50" w:before="156" w:line="360" w:lineRule="auto"/>
        <w:ind w:firstLineChars="200" w:firstLine="480"/>
        <w:rPr>
          <w:sz w:val="24"/>
        </w:rPr>
      </w:pPr>
      <w:r>
        <w:rPr>
          <w:rFonts w:hint="eastAsia"/>
          <w:sz w:val="24"/>
        </w:rPr>
        <w:lastRenderedPageBreak/>
        <w:t>2</w:t>
      </w:r>
      <w:r>
        <w:rPr>
          <w:rFonts w:hint="eastAsia"/>
          <w:sz w:val="24"/>
        </w:rPr>
        <w:t>、获取公司《已开立银行账户清单》及银行对账单，核对银行对账单大额发生额与公司有关账面记录的是否一致，并双向测试，抽查相关支持性文件；</w:t>
      </w:r>
    </w:p>
    <w:p w:rsidR="000D3334" w:rsidRDefault="000D3334" w:rsidP="000D3334">
      <w:pPr>
        <w:spacing w:beforeLines="50" w:before="156" w:line="360" w:lineRule="auto"/>
        <w:ind w:firstLineChars="200" w:firstLine="480"/>
        <w:rPr>
          <w:sz w:val="24"/>
        </w:rPr>
      </w:pPr>
      <w:r>
        <w:rPr>
          <w:rFonts w:hint="eastAsia"/>
          <w:sz w:val="24"/>
        </w:rPr>
        <w:t>3</w:t>
      </w:r>
      <w:r>
        <w:rPr>
          <w:rFonts w:hint="eastAsia"/>
          <w:sz w:val="24"/>
        </w:rPr>
        <w:t>、选取重要的其他往来款，</w:t>
      </w:r>
      <w:proofErr w:type="gramStart"/>
      <w:r>
        <w:rPr>
          <w:rFonts w:hint="eastAsia"/>
          <w:sz w:val="24"/>
        </w:rPr>
        <w:t>执行函证程序</w:t>
      </w:r>
      <w:proofErr w:type="gramEnd"/>
      <w:r>
        <w:rPr>
          <w:rFonts w:hint="eastAsia"/>
          <w:sz w:val="24"/>
        </w:rPr>
        <w:t>，编制其他往来</w:t>
      </w:r>
      <w:proofErr w:type="gramStart"/>
      <w:r>
        <w:rPr>
          <w:rFonts w:hint="eastAsia"/>
          <w:sz w:val="24"/>
        </w:rPr>
        <w:t>款函证结果</w:t>
      </w:r>
      <w:proofErr w:type="gramEnd"/>
      <w:r>
        <w:rPr>
          <w:rFonts w:hint="eastAsia"/>
          <w:sz w:val="24"/>
        </w:rPr>
        <w:t>汇总表，检查回函情况，对于未回函情况，实施替代审计程序，以获取相关、可靠的审计证据；</w:t>
      </w:r>
    </w:p>
    <w:p w:rsidR="000D3334" w:rsidRDefault="000D3334" w:rsidP="000D3334">
      <w:pPr>
        <w:spacing w:beforeLines="50" w:before="156" w:line="360" w:lineRule="auto"/>
        <w:ind w:firstLineChars="200" w:firstLine="480"/>
        <w:rPr>
          <w:sz w:val="24"/>
        </w:rPr>
      </w:pPr>
      <w:r>
        <w:rPr>
          <w:rFonts w:hint="eastAsia"/>
          <w:sz w:val="24"/>
        </w:rPr>
        <w:t>4</w:t>
      </w:r>
      <w:r>
        <w:rPr>
          <w:rFonts w:hint="eastAsia"/>
          <w:sz w:val="24"/>
        </w:rPr>
        <w:t>、检查公司管理层提供的关联方关系及关联交易清单，查阅公司与关联方往来明细账，检查合同或协议、银行收付款凭证等资料，核查与关联方往来款项的性质、交易发生的背景及商业合理性；</w:t>
      </w:r>
    </w:p>
    <w:p w:rsidR="000D3334" w:rsidRDefault="00B04897" w:rsidP="000D3334">
      <w:pPr>
        <w:spacing w:beforeLines="50" w:before="156" w:line="360" w:lineRule="auto"/>
        <w:ind w:firstLineChars="200" w:firstLine="480"/>
        <w:rPr>
          <w:sz w:val="24"/>
        </w:rPr>
      </w:pPr>
      <w:r>
        <w:rPr>
          <w:rFonts w:hint="eastAsia"/>
          <w:sz w:val="24"/>
        </w:rPr>
        <w:t>5</w:t>
      </w:r>
      <w:r w:rsidR="000D3334">
        <w:rPr>
          <w:rFonts w:hint="eastAsia"/>
          <w:sz w:val="24"/>
        </w:rPr>
        <w:t>、检查资金收付是否履行相关审议程序；相关关联交易是否履行披露义务。</w:t>
      </w:r>
    </w:p>
    <w:p w:rsidR="000D3334" w:rsidRDefault="000D3334" w:rsidP="000D3334">
      <w:pPr>
        <w:spacing w:beforeLines="50" w:before="156" w:line="360" w:lineRule="auto"/>
        <w:ind w:firstLineChars="200" w:firstLine="482"/>
        <w:outlineLvl w:val="1"/>
        <w:rPr>
          <w:b/>
          <w:bCs/>
          <w:sz w:val="24"/>
        </w:rPr>
      </w:pPr>
      <w:r>
        <w:rPr>
          <w:rFonts w:hint="eastAsia"/>
          <w:b/>
          <w:bCs/>
          <w:sz w:val="24"/>
        </w:rPr>
        <w:t>（二）核查意见</w:t>
      </w:r>
    </w:p>
    <w:p w:rsidR="000D3334" w:rsidRDefault="000D3334" w:rsidP="000D3334">
      <w:pPr>
        <w:spacing w:beforeLines="50" w:before="156" w:line="360" w:lineRule="auto"/>
        <w:ind w:firstLineChars="200" w:firstLine="480"/>
        <w:rPr>
          <w:sz w:val="24"/>
        </w:rPr>
      </w:pPr>
      <w:r>
        <w:rPr>
          <w:rFonts w:hint="eastAsia"/>
          <w:sz w:val="24"/>
        </w:rPr>
        <w:t>经核查，年审会计师认为：</w:t>
      </w:r>
    </w:p>
    <w:p w:rsidR="000D3334" w:rsidRDefault="000D3334" w:rsidP="000D3334">
      <w:pPr>
        <w:spacing w:beforeLines="50" w:before="156" w:line="360" w:lineRule="auto"/>
        <w:ind w:firstLineChars="200" w:firstLine="480"/>
        <w:rPr>
          <w:sz w:val="24"/>
        </w:rPr>
      </w:pPr>
      <w:r>
        <w:rPr>
          <w:rFonts w:hint="eastAsia"/>
          <w:sz w:val="24"/>
        </w:rPr>
        <w:t>公司支付的其他与经营活动有关的现金流中往来</w:t>
      </w:r>
      <w:proofErr w:type="gramStart"/>
      <w:r>
        <w:rPr>
          <w:rFonts w:hint="eastAsia"/>
          <w:sz w:val="24"/>
        </w:rPr>
        <w:t>款形成</w:t>
      </w:r>
      <w:proofErr w:type="gramEnd"/>
      <w:r>
        <w:rPr>
          <w:rFonts w:hint="eastAsia"/>
          <w:sz w:val="24"/>
        </w:rPr>
        <w:t>的具体原因、明细情况、涉及事项、款项性质等未见异常；公司不存在对外提供财务资助、非经营性资金占用的情形，</w:t>
      </w:r>
      <w:r w:rsidRPr="00A427DB">
        <w:rPr>
          <w:rFonts w:hint="eastAsia"/>
          <w:sz w:val="24"/>
        </w:rPr>
        <w:t>不存在需要履行相关审议程序及信息披露义务的该类事项。</w:t>
      </w:r>
    </w:p>
    <w:p w:rsidR="000D3334" w:rsidRPr="00B86D49" w:rsidRDefault="000D3334" w:rsidP="000D3334"/>
    <w:p w:rsidR="0089362F" w:rsidRPr="000D3334" w:rsidRDefault="0089362F"/>
    <w:p w:rsidR="0089362F" w:rsidRDefault="0089362F" w:rsidP="0089362F">
      <w:pPr>
        <w:spacing w:beforeLines="50" w:before="156" w:afterLines="50" w:after="156" w:line="360" w:lineRule="auto"/>
        <w:ind w:firstLineChars="200" w:firstLine="480"/>
        <w:rPr>
          <w:rFonts w:eastAsiaTheme="minorEastAsia"/>
          <w:color w:val="000000"/>
          <w:sz w:val="24"/>
        </w:rPr>
      </w:pPr>
      <w:r>
        <w:rPr>
          <w:rFonts w:eastAsiaTheme="minorEastAsia"/>
          <w:color w:val="000000"/>
          <w:sz w:val="24"/>
        </w:rPr>
        <w:t>特此公告。</w:t>
      </w:r>
    </w:p>
    <w:p w:rsidR="0089362F" w:rsidRDefault="0089362F" w:rsidP="0089362F">
      <w:pPr>
        <w:widowControl/>
        <w:snapToGrid w:val="0"/>
        <w:spacing w:before="50" w:after="50" w:line="360" w:lineRule="auto"/>
        <w:ind w:right="960"/>
        <w:rPr>
          <w:rFonts w:eastAsiaTheme="minorEastAsia"/>
          <w:kern w:val="0"/>
          <w:sz w:val="24"/>
        </w:rPr>
      </w:pPr>
    </w:p>
    <w:p w:rsidR="0089362F" w:rsidRDefault="0089362F" w:rsidP="0089362F">
      <w:pPr>
        <w:widowControl/>
        <w:snapToGrid w:val="0"/>
        <w:spacing w:before="50" w:after="50" w:line="360" w:lineRule="auto"/>
        <w:ind w:firstLineChars="200" w:firstLine="480"/>
        <w:jc w:val="right"/>
        <w:rPr>
          <w:rFonts w:eastAsiaTheme="minorEastAsia"/>
          <w:kern w:val="0"/>
          <w:sz w:val="24"/>
        </w:rPr>
      </w:pPr>
    </w:p>
    <w:p w:rsidR="0089362F" w:rsidRDefault="0089362F" w:rsidP="0089362F">
      <w:pPr>
        <w:widowControl/>
        <w:snapToGrid w:val="0"/>
        <w:spacing w:beforeLines="50" w:before="156" w:afterLines="50" w:after="156" w:line="360" w:lineRule="auto"/>
        <w:ind w:firstLineChars="200" w:firstLine="480"/>
        <w:jc w:val="right"/>
        <w:rPr>
          <w:rFonts w:eastAsiaTheme="minorEastAsia"/>
          <w:kern w:val="0"/>
          <w:sz w:val="24"/>
        </w:rPr>
      </w:pPr>
      <w:r>
        <w:rPr>
          <w:rFonts w:eastAsiaTheme="minorEastAsia"/>
          <w:kern w:val="0"/>
          <w:sz w:val="24"/>
        </w:rPr>
        <w:t>安徽省交通建设股份有限公司董事会</w:t>
      </w:r>
    </w:p>
    <w:p w:rsidR="0089362F" w:rsidRDefault="0089362F" w:rsidP="0089362F">
      <w:pPr>
        <w:widowControl/>
        <w:snapToGrid w:val="0"/>
        <w:spacing w:beforeLines="50" w:before="156" w:afterLines="50" w:after="156" w:line="360" w:lineRule="auto"/>
        <w:ind w:right="480" w:firstLineChars="200" w:firstLine="480"/>
        <w:jc w:val="right"/>
        <w:rPr>
          <w:rFonts w:eastAsiaTheme="minorEastAsia"/>
          <w:color w:val="000000"/>
          <w:sz w:val="24"/>
        </w:rPr>
      </w:pPr>
      <w:r>
        <w:rPr>
          <w:rFonts w:eastAsiaTheme="minorEastAsia"/>
          <w:kern w:val="0"/>
          <w:sz w:val="24"/>
        </w:rPr>
        <w:t>                 </w:t>
      </w:r>
      <w:r>
        <w:rPr>
          <w:rFonts w:eastAsiaTheme="minorEastAsia"/>
          <w:color w:val="000000"/>
          <w:sz w:val="24"/>
        </w:rPr>
        <w:t>  202</w:t>
      </w:r>
      <w:r>
        <w:rPr>
          <w:rFonts w:eastAsiaTheme="minorEastAsia" w:hint="eastAsia"/>
          <w:color w:val="000000"/>
          <w:sz w:val="24"/>
        </w:rPr>
        <w:t>5</w:t>
      </w:r>
      <w:r>
        <w:rPr>
          <w:rFonts w:eastAsiaTheme="minorEastAsia"/>
          <w:color w:val="000000"/>
          <w:sz w:val="24"/>
        </w:rPr>
        <w:t>年</w:t>
      </w:r>
      <w:r w:rsidR="000D3334">
        <w:rPr>
          <w:rFonts w:eastAsiaTheme="minorEastAsia" w:hint="eastAsia"/>
          <w:color w:val="000000"/>
          <w:sz w:val="24"/>
        </w:rPr>
        <w:t>6</w:t>
      </w:r>
      <w:r>
        <w:rPr>
          <w:rFonts w:eastAsiaTheme="minorEastAsia"/>
          <w:color w:val="000000"/>
          <w:sz w:val="24"/>
        </w:rPr>
        <w:t>月</w:t>
      </w:r>
      <w:r w:rsidR="000D3334">
        <w:rPr>
          <w:rFonts w:eastAsiaTheme="minorEastAsia" w:hint="eastAsia"/>
          <w:color w:val="000000"/>
          <w:sz w:val="24"/>
        </w:rPr>
        <w:t>7</w:t>
      </w:r>
      <w:r>
        <w:rPr>
          <w:rFonts w:eastAsiaTheme="minorEastAsia"/>
          <w:color w:val="000000"/>
          <w:sz w:val="24"/>
        </w:rPr>
        <w:t>日</w:t>
      </w:r>
    </w:p>
    <w:p w:rsidR="0089362F" w:rsidRPr="00787F9F" w:rsidRDefault="0089362F"/>
    <w:sectPr w:rsidR="0089362F" w:rsidRPr="00787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B4" w:rsidRDefault="00483FB4" w:rsidP="00787F9F">
      <w:r>
        <w:separator/>
      </w:r>
    </w:p>
  </w:endnote>
  <w:endnote w:type="continuationSeparator" w:id="0">
    <w:p w:rsidR="00483FB4" w:rsidRDefault="00483FB4" w:rsidP="0078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487703"/>
    </w:sdtPr>
    <w:sdtEndPr/>
    <w:sdtContent>
      <w:p w:rsidR="00F3634B" w:rsidRDefault="00F3634B" w:rsidP="00F3634B">
        <w:pPr>
          <w:pStyle w:val="a4"/>
          <w:jc w:val="center"/>
        </w:pPr>
        <w:r>
          <w:fldChar w:fldCharType="begin"/>
        </w:r>
        <w:r>
          <w:instrText>PAGE   \* MERGEFORMAT</w:instrText>
        </w:r>
        <w:r>
          <w:fldChar w:fldCharType="separate"/>
        </w:r>
        <w:r w:rsidR="00FE5ADC" w:rsidRPr="00FE5ADC">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927150"/>
    </w:sdtPr>
    <w:sdtEndPr/>
    <w:sdtContent>
      <w:p w:rsidR="00F3634B" w:rsidRDefault="00F3634B">
        <w:pPr>
          <w:pStyle w:val="a4"/>
          <w:jc w:val="center"/>
        </w:pPr>
        <w:r>
          <w:fldChar w:fldCharType="begin"/>
        </w:r>
        <w:r>
          <w:instrText>PAGE   \* MERGEFORMAT</w:instrText>
        </w:r>
        <w:r>
          <w:fldChar w:fldCharType="separate"/>
        </w:r>
        <w:r w:rsidR="00FE5ADC" w:rsidRPr="00FE5ADC">
          <w:rPr>
            <w:noProof/>
            <w:lang w:val="zh-CN"/>
          </w:rPr>
          <w:t>32</w:t>
        </w:r>
        <w:r>
          <w:fldChar w:fldCharType="end"/>
        </w:r>
      </w:p>
    </w:sdtContent>
  </w:sdt>
  <w:p w:rsidR="00F3634B" w:rsidRDefault="00F363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B4" w:rsidRDefault="00483FB4" w:rsidP="00787F9F">
      <w:r>
        <w:separator/>
      </w:r>
    </w:p>
  </w:footnote>
  <w:footnote w:type="continuationSeparator" w:id="0">
    <w:p w:rsidR="00483FB4" w:rsidRDefault="00483FB4" w:rsidP="00787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4B" w:rsidRDefault="00F3634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34B" w:rsidRDefault="00F3634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AFACC"/>
    <w:multiLevelType w:val="singleLevel"/>
    <w:tmpl w:val="80BAFACC"/>
    <w:lvl w:ilvl="0">
      <w:start w:val="2"/>
      <w:numFmt w:val="chineseCounting"/>
      <w:suff w:val="nothing"/>
      <w:lvlText w:val="（%1）"/>
      <w:lvlJc w:val="left"/>
      <w:rPr>
        <w:rFonts w:hint="eastAsia"/>
      </w:rPr>
    </w:lvl>
  </w:abstractNum>
  <w:abstractNum w:abstractNumId="1">
    <w:nsid w:val="A6ADF2BA"/>
    <w:multiLevelType w:val="singleLevel"/>
    <w:tmpl w:val="A6ADF2BA"/>
    <w:lvl w:ilvl="0">
      <w:start w:val="3"/>
      <w:numFmt w:val="chineseCounting"/>
      <w:suff w:val="nothing"/>
      <w:lvlText w:val="%1、"/>
      <w:lvlJc w:val="left"/>
      <w:rPr>
        <w:rFonts w:hint="eastAsia"/>
      </w:rPr>
    </w:lvl>
  </w:abstractNum>
  <w:abstractNum w:abstractNumId="2">
    <w:nsid w:val="B2BDE7DE"/>
    <w:multiLevelType w:val="singleLevel"/>
    <w:tmpl w:val="B2BDE7DE"/>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25"/>
    <w:rsid w:val="00043E7B"/>
    <w:rsid w:val="00045E2D"/>
    <w:rsid w:val="00054C87"/>
    <w:rsid w:val="000663FC"/>
    <w:rsid w:val="00082A13"/>
    <w:rsid w:val="00084828"/>
    <w:rsid w:val="000A524A"/>
    <w:rsid w:val="000C5F25"/>
    <w:rsid w:val="000D3334"/>
    <w:rsid w:val="000E243C"/>
    <w:rsid w:val="00121A69"/>
    <w:rsid w:val="0013643C"/>
    <w:rsid w:val="00184D34"/>
    <w:rsid w:val="001C4F50"/>
    <w:rsid w:val="001E219A"/>
    <w:rsid w:val="001F2976"/>
    <w:rsid w:val="001F633B"/>
    <w:rsid w:val="00203D42"/>
    <w:rsid w:val="00245451"/>
    <w:rsid w:val="00256FC0"/>
    <w:rsid w:val="00267C44"/>
    <w:rsid w:val="002771B7"/>
    <w:rsid w:val="002A6D10"/>
    <w:rsid w:val="002B21FB"/>
    <w:rsid w:val="002B76A1"/>
    <w:rsid w:val="002C7AC4"/>
    <w:rsid w:val="002F6A09"/>
    <w:rsid w:val="00305CF4"/>
    <w:rsid w:val="00317847"/>
    <w:rsid w:val="00332EDD"/>
    <w:rsid w:val="00337A6C"/>
    <w:rsid w:val="00351D77"/>
    <w:rsid w:val="00372D88"/>
    <w:rsid w:val="00394ABF"/>
    <w:rsid w:val="003A35E0"/>
    <w:rsid w:val="003B7579"/>
    <w:rsid w:val="003C29B9"/>
    <w:rsid w:val="003D6BA3"/>
    <w:rsid w:val="003F7367"/>
    <w:rsid w:val="003F756C"/>
    <w:rsid w:val="00412BDF"/>
    <w:rsid w:val="00425C42"/>
    <w:rsid w:val="00446C49"/>
    <w:rsid w:val="00447469"/>
    <w:rsid w:val="00454D06"/>
    <w:rsid w:val="00456A40"/>
    <w:rsid w:val="00461B02"/>
    <w:rsid w:val="00483FB4"/>
    <w:rsid w:val="00486964"/>
    <w:rsid w:val="00490816"/>
    <w:rsid w:val="004A729C"/>
    <w:rsid w:val="004C193B"/>
    <w:rsid w:val="004D19AF"/>
    <w:rsid w:val="004D4094"/>
    <w:rsid w:val="004D770C"/>
    <w:rsid w:val="004E4657"/>
    <w:rsid w:val="00510CA0"/>
    <w:rsid w:val="0051388B"/>
    <w:rsid w:val="00527137"/>
    <w:rsid w:val="00545266"/>
    <w:rsid w:val="0055713A"/>
    <w:rsid w:val="00557B9C"/>
    <w:rsid w:val="0056131D"/>
    <w:rsid w:val="0058583B"/>
    <w:rsid w:val="005A46AC"/>
    <w:rsid w:val="005E1D65"/>
    <w:rsid w:val="00613889"/>
    <w:rsid w:val="00645DF0"/>
    <w:rsid w:val="0067283B"/>
    <w:rsid w:val="006A0346"/>
    <w:rsid w:val="006A536E"/>
    <w:rsid w:val="006D3DE8"/>
    <w:rsid w:val="006E141C"/>
    <w:rsid w:val="00722E71"/>
    <w:rsid w:val="00730300"/>
    <w:rsid w:val="0073331F"/>
    <w:rsid w:val="00734698"/>
    <w:rsid w:val="0074796D"/>
    <w:rsid w:val="007803E5"/>
    <w:rsid w:val="00782B59"/>
    <w:rsid w:val="007876DE"/>
    <w:rsid w:val="00787F9F"/>
    <w:rsid w:val="007976C2"/>
    <w:rsid w:val="007A3B32"/>
    <w:rsid w:val="007A3F21"/>
    <w:rsid w:val="007B01EF"/>
    <w:rsid w:val="007E415A"/>
    <w:rsid w:val="007F617E"/>
    <w:rsid w:val="007F6C7E"/>
    <w:rsid w:val="008074AC"/>
    <w:rsid w:val="00815807"/>
    <w:rsid w:val="00825662"/>
    <w:rsid w:val="00865586"/>
    <w:rsid w:val="0087494B"/>
    <w:rsid w:val="00875D9C"/>
    <w:rsid w:val="00885079"/>
    <w:rsid w:val="008867E9"/>
    <w:rsid w:val="00892C3A"/>
    <w:rsid w:val="0089362F"/>
    <w:rsid w:val="008952D7"/>
    <w:rsid w:val="008A49CB"/>
    <w:rsid w:val="00920F84"/>
    <w:rsid w:val="00921F7B"/>
    <w:rsid w:val="00946F43"/>
    <w:rsid w:val="00962F0F"/>
    <w:rsid w:val="009677FC"/>
    <w:rsid w:val="00980715"/>
    <w:rsid w:val="009949F9"/>
    <w:rsid w:val="009E0B39"/>
    <w:rsid w:val="00A31AB6"/>
    <w:rsid w:val="00A441A1"/>
    <w:rsid w:val="00A5091A"/>
    <w:rsid w:val="00A6360A"/>
    <w:rsid w:val="00A67031"/>
    <w:rsid w:val="00A74916"/>
    <w:rsid w:val="00A74BAC"/>
    <w:rsid w:val="00AB6AA2"/>
    <w:rsid w:val="00AC3C81"/>
    <w:rsid w:val="00AE3B2B"/>
    <w:rsid w:val="00B04897"/>
    <w:rsid w:val="00B34360"/>
    <w:rsid w:val="00B54352"/>
    <w:rsid w:val="00B648F7"/>
    <w:rsid w:val="00B66101"/>
    <w:rsid w:val="00B7416B"/>
    <w:rsid w:val="00B80497"/>
    <w:rsid w:val="00B87912"/>
    <w:rsid w:val="00B963C3"/>
    <w:rsid w:val="00BB466E"/>
    <w:rsid w:val="00BB5A23"/>
    <w:rsid w:val="00BC2DB6"/>
    <w:rsid w:val="00BD52DB"/>
    <w:rsid w:val="00BE102B"/>
    <w:rsid w:val="00BE5549"/>
    <w:rsid w:val="00BE5B87"/>
    <w:rsid w:val="00BF5B34"/>
    <w:rsid w:val="00C0444C"/>
    <w:rsid w:val="00C11CFB"/>
    <w:rsid w:val="00C45F3C"/>
    <w:rsid w:val="00C818C7"/>
    <w:rsid w:val="00C921A4"/>
    <w:rsid w:val="00C95569"/>
    <w:rsid w:val="00CA64E2"/>
    <w:rsid w:val="00CB701E"/>
    <w:rsid w:val="00CC64E6"/>
    <w:rsid w:val="00CE36AF"/>
    <w:rsid w:val="00CF77AB"/>
    <w:rsid w:val="00D17F02"/>
    <w:rsid w:val="00D27CB1"/>
    <w:rsid w:val="00D42C21"/>
    <w:rsid w:val="00D56531"/>
    <w:rsid w:val="00D6361D"/>
    <w:rsid w:val="00DD6505"/>
    <w:rsid w:val="00DE6857"/>
    <w:rsid w:val="00E11D22"/>
    <w:rsid w:val="00E20B20"/>
    <w:rsid w:val="00E21400"/>
    <w:rsid w:val="00E447FB"/>
    <w:rsid w:val="00E56D66"/>
    <w:rsid w:val="00E63817"/>
    <w:rsid w:val="00E66158"/>
    <w:rsid w:val="00E81298"/>
    <w:rsid w:val="00E85DF5"/>
    <w:rsid w:val="00EB44AD"/>
    <w:rsid w:val="00EB7F74"/>
    <w:rsid w:val="00ED3503"/>
    <w:rsid w:val="00EE14F7"/>
    <w:rsid w:val="00EE2DF6"/>
    <w:rsid w:val="00F2251F"/>
    <w:rsid w:val="00F3634B"/>
    <w:rsid w:val="00F47C72"/>
    <w:rsid w:val="00F70E88"/>
    <w:rsid w:val="00F751D0"/>
    <w:rsid w:val="00F76810"/>
    <w:rsid w:val="00FC45E6"/>
    <w:rsid w:val="00FC4F9E"/>
    <w:rsid w:val="00FE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9F"/>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0D33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D3334"/>
    <w:rPr>
      <w:rFonts w:ascii="Times New Roman" w:eastAsia="宋体" w:hAnsi="Times New Roman" w:cs="Times New Roman"/>
      <w:b/>
      <w:bCs/>
      <w:kern w:val="44"/>
      <w:sz w:val="44"/>
      <w:szCs w:val="44"/>
    </w:rPr>
  </w:style>
  <w:style w:type="paragraph" w:styleId="a3">
    <w:name w:val="header"/>
    <w:basedOn w:val="a"/>
    <w:link w:val="Char"/>
    <w:uiPriority w:val="99"/>
    <w:unhideWhenUsed/>
    <w:qFormat/>
    <w:rsid w:val="00787F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87F9F"/>
    <w:rPr>
      <w:sz w:val="18"/>
      <w:szCs w:val="18"/>
    </w:rPr>
  </w:style>
  <w:style w:type="paragraph" w:styleId="a4">
    <w:name w:val="footer"/>
    <w:basedOn w:val="a"/>
    <w:link w:val="Char0"/>
    <w:uiPriority w:val="99"/>
    <w:unhideWhenUsed/>
    <w:qFormat/>
    <w:rsid w:val="00787F9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87F9F"/>
    <w:rPr>
      <w:sz w:val="18"/>
      <w:szCs w:val="18"/>
    </w:rPr>
  </w:style>
  <w:style w:type="character" w:customStyle="1" w:styleId="da">
    <w:name w:val="da"/>
    <w:basedOn w:val="a0"/>
    <w:qFormat/>
    <w:rsid w:val="00787F9F"/>
  </w:style>
  <w:style w:type="paragraph" w:styleId="a5">
    <w:name w:val="Document Map"/>
    <w:basedOn w:val="a"/>
    <w:link w:val="Char1"/>
    <w:uiPriority w:val="99"/>
    <w:qFormat/>
    <w:rsid w:val="000D3334"/>
    <w:rPr>
      <w:rFonts w:ascii="宋体"/>
      <w:sz w:val="18"/>
      <w:szCs w:val="18"/>
    </w:rPr>
  </w:style>
  <w:style w:type="character" w:customStyle="1" w:styleId="Char1">
    <w:name w:val="文档结构图 Char"/>
    <w:basedOn w:val="a0"/>
    <w:link w:val="a5"/>
    <w:uiPriority w:val="99"/>
    <w:qFormat/>
    <w:rsid w:val="000D3334"/>
    <w:rPr>
      <w:rFonts w:ascii="宋体" w:eastAsia="宋体" w:hAnsi="Times New Roman" w:cs="Times New Roman"/>
      <w:sz w:val="18"/>
      <w:szCs w:val="18"/>
    </w:rPr>
  </w:style>
  <w:style w:type="paragraph" w:styleId="a6">
    <w:name w:val="annotation text"/>
    <w:basedOn w:val="a"/>
    <w:link w:val="Char2"/>
    <w:uiPriority w:val="99"/>
    <w:unhideWhenUsed/>
    <w:qFormat/>
    <w:rsid w:val="000D3334"/>
    <w:pPr>
      <w:jc w:val="left"/>
    </w:pPr>
    <w:rPr>
      <w:rFonts w:asciiTheme="minorHAnsi" w:eastAsiaTheme="minorEastAsia" w:hAnsiTheme="minorHAnsi" w:cstheme="minorBidi"/>
      <w:szCs w:val="22"/>
    </w:rPr>
  </w:style>
  <w:style w:type="character" w:customStyle="1" w:styleId="Char2">
    <w:name w:val="批注文字 Char"/>
    <w:basedOn w:val="a0"/>
    <w:link w:val="a6"/>
    <w:uiPriority w:val="99"/>
    <w:qFormat/>
    <w:rsid w:val="000D3334"/>
  </w:style>
  <w:style w:type="paragraph" w:styleId="a7">
    <w:name w:val="Balloon Text"/>
    <w:basedOn w:val="a"/>
    <w:link w:val="Char3"/>
    <w:uiPriority w:val="99"/>
    <w:semiHidden/>
    <w:unhideWhenUsed/>
    <w:qFormat/>
    <w:rsid w:val="000D3334"/>
    <w:rPr>
      <w:sz w:val="18"/>
      <w:szCs w:val="18"/>
    </w:rPr>
  </w:style>
  <w:style w:type="character" w:customStyle="1" w:styleId="Char3">
    <w:name w:val="批注框文本 Char"/>
    <w:basedOn w:val="a0"/>
    <w:link w:val="a7"/>
    <w:uiPriority w:val="99"/>
    <w:semiHidden/>
    <w:qFormat/>
    <w:rsid w:val="000D3334"/>
    <w:rPr>
      <w:rFonts w:ascii="Times New Roman" w:eastAsia="宋体" w:hAnsi="Times New Roman" w:cs="Times New Roman"/>
      <w:sz w:val="18"/>
      <w:szCs w:val="18"/>
    </w:rPr>
  </w:style>
  <w:style w:type="character" w:customStyle="1" w:styleId="Char4">
    <w:name w:val="批注主题 Char"/>
    <w:basedOn w:val="Char2"/>
    <w:link w:val="a8"/>
    <w:uiPriority w:val="99"/>
    <w:semiHidden/>
    <w:qFormat/>
    <w:rsid w:val="000D3334"/>
    <w:rPr>
      <w:rFonts w:ascii="Times New Roman" w:eastAsia="宋体" w:hAnsi="Times New Roman" w:cs="Times New Roman"/>
      <w:b/>
      <w:bCs/>
      <w:szCs w:val="20"/>
    </w:rPr>
  </w:style>
  <w:style w:type="paragraph" w:styleId="a8">
    <w:name w:val="annotation subject"/>
    <w:basedOn w:val="a6"/>
    <w:next w:val="a6"/>
    <w:link w:val="Char4"/>
    <w:uiPriority w:val="99"/>
    <w:semiHidden/>
    <w:unhideWhenUsed/>
    <w:qFormat/>
    <w:rsid w:val="000D3334"/>
    <w:rPr>
      <w:rFonts w:ascii="Times New Roman" w:eastAsia="宋体" w:hAnsi="Times New Roman" w:cs="Times New Roman"/>
      <w:b/>
      <w:bCs/>
      <w:szCs w:val="20"/>
    </w:rPr>
  </w:style>
  <w:style w:type="table" w:styleId="a9">
    <w:name w:val="Table Grid"/>
    <w:basedOn w:val="a1"/>
    <w:autoRedefine/>
    <w:qFormat/>
    <w:rsid w:val="000D33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uiPriority w:val="39"/>
    <w:unhideWhenUsed/>
    <w:qFormat/>
    <w:rsid w:val="000D3334"/>
    <w:pPr>
      <w:ind w:leftChars="400" w:left="840"/>
    </w:pPr>
  </w:style>
  <w:style w:type="paragraph" w:styleId="10">
    <w:name w:val="toc 1"/>
    <w:basedOn w:val="a"/>
    <w:next w:val="a"/>
    <w:autoRedefine/>
    <w:uiPriority w:val="39"/>
    <w:unhideWhenUsed/>
    <w:qFormat/>
    <w:rsid w:val="000D3334"/>
  </w:style>
  <w:style w:type="paragraph" w:styleId="2">
    <w:name w:val="toc 2"/>
    <w:basedOn w:val="a"/>
    <w:next w:val="a"/>
    <w:autoRedefine/>
    <w:uiPriority w:val="39"/>
    <w:unhideWhenUsed/>
    <w:qFormat/>
    <w:rsid w:val="000D3334"/>
    <w:pPr>
      <w:ind w:leftChars="200" w:left="420"/>
    </w:pPr>
  </w:style>
  <w:style w:type="character" w:styleId="aa">
    <w:name w:val="page number"/>
    <w:basedOn w:val="a0"/>
    <w:autoRedefine/>
    <w:qFormat/>
    <w:rsid w:val="000D3334"/>
  </w:style>
  <w:style w:type="character" w:styleId="ab">
    <w:name w:val="Hyperlink"/>
    <w:autoRedefine/>
    <w:uiPriority w:val="99"/>
    <w:unhideWhenUsed/>
    <w:qFormat/>
    <w:rsid w:val="000D3334"/>
    <w:rPr>
      <w:color w:val="0000FF"/>
      <w:u w:val="single"/>
    </w:rPr>
  </w:style>
  <w:style w:type="paragraph" w:customStyle="1" w:styleId="Default">
    <w:name w:val="Default"/>
    <w:autoRedefine/>
    <w:qFormat/>
    <w:rsid w:val="000D3334"/>
    <w:pPr>
      <w:widowControl w:val="0"/>
      <w:autoSpaceDE w:val="0"/>
      <w:autoSpaceDN w:val="0"/>
      <w:adjustRightInd w:val="0"/>
    </w:pPr>
    <w:rPr>
      <w:rFonts w:ascii="宋体" w:eastAsia="宋体" w:hAnsi="宋体" w:cs="宋体"/>
      <w:color w:val="000000"/>
      <w:kern w:val="0"/>
      <w:sz w:val="24"/>
      <w:szCs w:val="24"/>
    </w:rPr>
  </w:style>
  <w:style w:type="paragraph" w:styleId="ac">
    <w:name w:val="List Paragraph"/>
    <w:basedOn w:val="a"/>
    <w:autoRedefine/>
    <w:uiPriority w:val="34"/>
    <w:qFormat/>
    <w:rsid w:val="000D3334"/>
    <w:pPr>
      <w:ind w:firstLineChars="200" w:firstLine="420"/>
    </w:pPr>
    <w:rPr>
      <w:rFonts w:ascii="Calibri" w:hAnsi="Calibri"/>
      <w:szCs w:val="22"/>
    </w:rPr>
  </w:style>
  <w:style w:type="paragraph" w:customStyle="1" w:styleId="001">
    <w:name w:val="001一级标题"/>
    <w:basedOn w:val="a"/>
    <w:autoRedefine/>
    <w:qFormat/>
    <w:rsid w:val="000D3334"/>
    <w:pPr>
      <w:keepNext/>
      <w:keepLines/>
      <w:pageBreakBefore/>
      <w:adjustRightInd w:val="0"/>
      <w:snapToGrid w:val="0"/>
      <w:spacing w:beforeLines="50" w:before="50" w:afterLines="50" w:after="50" w:line="360" w:lineRule="auto"/>
      <w:outlineLvl w:val="0"/>
    </w:pPr>
    <w:rPr>
      <w:rFonts w:eastAsia="黑体"/>
      <w:b/>
      <w:bCs/>
      <w:sz w:val="30"/>
      <w:szCs w:val="28"/>
      <w:lang w:val="zh-CN"/>
    </w:rPr>
  </w:style>
  <w:style w:type="paragraph" w:customStyle="1" w:styleId="TOC1">
    <w:name w:val="TOC 标题1"/>
    <w:basedOn w:val="1"/>
    <w:next w:val="a"/>
    <w:autoRedefine/>
    <w:uiPriority w:val="39"/>
    <w:unhideWhenUsed/>
    <w:qFormat/>
    <w:rsid w:val="000D333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11">
    <w:name w:val="font11"/>
    <w:basedOn w:val="a0"/>
    <w:autoRedefine/>
    <w:qFormat/>
    <w:rsid w:val="000D3334"/>
    <w:rPr>
      <w:rFonts w:ascii="宋体" w:eastAsia="宋体" w:hAnsi="宋体" w:cs="宋体" w:hint="eastAsia"/>
      <w:b/>
      <w:bCs/>
      <w:color w:val="000000"/>
      <w:sz w:val="21"/>
      <w:szCs w:val="21"/>
      <w:u w:val="none"/>
    </w:rPr>
  </w:style>
  <w:style w:type="paragraph" w:customStyle="1" w:styleId="11">
    <w:name w:val="修订1"/>
    <w:hidden/>
    <w:uiPriority w:val="99"/>
    <w:unhideWhenUsed/>
    <w:qFormat/>
    <w:rsid w:val="000D3334"/>
    <w:rPr>
      <w:rFonts w:ascii="Times New Roman" w:eastAsia="宋体" w:hAnsi="Times New Roman" w:cs="Times New Roman"/>
      <w:szCs w:val="24"/>
    </w:rPr>
  </w:style>
  <w:style w:type="paragraph" w:customStyle="1" w:styleId="20">
    <w:name w:val="修订2"/>
    <w:hidden/>
    <w:uiPriority w:val="99"/>
    <w:unhideWhenUsed/>
    <w:qFormat/>
    <w:rsid w:val="000D3334"/>
    <w:rPr>
      <w:rFonts w:ascii="Times New Roman" w:eastAsia="宋体" w:hAnsi="Times New Roman" w:cs="Times New Roman"/>
      <w:szCs w:val="24"/>
    </w:rPr>
  </w:style>
  <w:style w:type="character" w:customStyle="1" w:styleId="font31">
    <w:name w:val="font31"/>
    <w:basedOn w:val="a0"/>
    <w:rsid w:val="000D3334"/>
    <w:rPr>
      <w:rFonts w:ascii="宋体" w:eastAsia="宋体" w:hAnsi="宋体" w:cs="宋体" w:hint="eastAsia"/>
      <w:color w:val="000000"/>
      <w:sz w:val="20"/>
      <w:szCs w:val="20"/>
      <w:u w:val="none"/>
    </w:rPr>
  </w:style>
  <w:style w:type="character" w:customStyle="1" w:styleId="font51">
    <w:name w:val="font51"/>
    <w:basedOn w:val="a0"/>
    <w:qFormat/>
    <w:rsid w:val="000D3334"/>
    <w:rPr>
      <w:rFonts w:ascii="Times New Roman" w:hAnsi="Times New Roman" w:cs="Times New Roman" w:hint="default"/>
      <w:color w:val="000000"/>
      <w:sz w:val="20"/>
      <w:szCs w:val="20"/>
      <w:u w:val="none"/>
    </w:rPr>
  </w:style>
  <w:style w:type="paragraph" w:styleId="ad">
    <w:name w:val="Revision"/>
    <w:hidden/>
    <w:uiPriority w:val="99"/>
    <w:unhideWhenUsed/>
    <w:rsid w:val="000D3334"/>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9F"/>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0D33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D3334"/>
    <w:rPr>
      <w:rFonts w:ascii="Times New Roman" w:eastAsia="宋体" w:hAnsi="Times New Roman" w:cs="Times New Roman"/>
      <w:b/>
      <w:bCs/>
      <w:kern w:val="44"/>
      <w:sz w:val="44"/>
      <w:szCs w:val="44"/>
    </w:rPr>
  </w:style>
  <w:style w:type="paragraph" w:styleId="a3">
    <w:name w:val="header"/>
    <w:basedOn w:val="a"/>
    <w:link w:val="Char"/>
    <w:uiPriority w:val="99"/>
    <w:unhideWhenUsed/>
    <w:qFormat/>
    <w:rsid w:val="00787F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87F9F"/>
    <w:rPr>
      <w:sz w:val="18"/>
      <w:szCs w:val="18"/>
    </w:rPr>
  </w:style>
  <w:style w:type="paragraph" w:styleId="a4">
    <w:name w:val="footer"/>
    <w:basedOn w:val="a"/>
    <w:link w:val="Char0"/>
    <w:uiPriority w:val="99"/>
    <w:unhideWhenUsed/>
    <w:qFormat/>
    <w:rsid w:val="00787F9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87F9F"/>
    <w:rPr>
      <w:sz w:val="18"/>
      <w:szCs w:val="18"/>
    </w:rPr>
  </w:style>
  <w:style w:type="character" w:customStyle="1" w:styleId="da">
    <w:name w:val="da"/>
    <w:basedOn w:val="a0"/>
    <w:qFormat/>
    <w:rsid w:val="00787F9F"/>
  </w:style>
  <w:style w:type="paragraph" w:styleId="a5">
    <w:name w:val="Document Map"/>
    <w:basedOn w:val="a"/>
    <w:link w:val="Char1"/>
    <w:uiPriority w:val="99"/>
    <w:qFormat/>
    <w:rsid w:val="000D3334"/>
    <w:rPr>
      <w:rFonts w:ascii="宋体"/>
      <w:sz w:val="18"/>
      <w:szCs w:val="18"/>
    </w:rPr>
  </w:style>
  <w:style w:type="character" w:customStyle="1" w:styleId="Char1">
    <w:name w:val="文档结构图 Char"/>
    <w:basedOn w:val="a0"/>
    <w:link w:val="a5"/>
    <w:uiPriority w:val="99"/>
    <w:qFormat/>
    <w:rsid w:val="000D3334"/>
    <w:rPr>
      <w:rFonts w:ascii="宋体" w:eastAsia="宋体" w:hAnsi="Times New Roman" w:cs="Times New Roman"/>
      <w:sz w:val="18"/>
      <w:szCs w:val="18"/>
    </w:rPr>
  </w:style>
  <w:style w:type="paragraph" w:styleId="a6">
    <w:name w:val="annotation text"/>
    <w:basedOn w:val="a"/>
    <w:link w:val="Char2"/>
    <w:uiPriority w:val="99"/>
    <w:unhideWhenUsed/>
    <w:qFormat/>
    <w:rsid w:val="000D3334"/>
    <w:pPr>
      <w:jc w:val="left"/>
    </w:pPr>
    <w:rPr>
      <w:rFonts w:asciiTheme="minorHAnsi" w:eastAsiaTheme="minorEastAsia" w:hAnsiTheme="minorHAnsi" w:cstheme="minorBidi"/>
      <w:szCs w:val="22"/>
    </w:rPr>
  </w:style>
  <w:style w:type="character" w:customStyle="1" w:styleId="Char2">
    <w:name w:val="批注文字 Char"/>
    <w:basedOn w:val="a0"/>
    <w:link w:val="a6"/>
    <w:uiPriority w:val="99"/>
    <w:qFormat/>
    <w:rsid w:val="000D3334"/>
  </w:style>
  <w:style w:type="paragraph" w:styleId="a7">
    <w:name w:val="Balloon Text"/>
    <w:basedOn w:val="a"/>
    <w:link w:val="Char3"/>
    <w:uiPriority w:val="99"/>
    <w:semiHidden/>
    <w:unhideWhenUsed/>
    <w:qFormat/>
    <w:rsid w:val="000D3334"/>
    <w:rPr>
      <w:sz w:val="18"/>
      <w:szCs w:val="18"/>
    </w:rPr>
  </w:style>
  <w:style w:type="character" w:customStyle="1" w:styleId="Char3">
    <w:name w:val="批注框文本 Char"/>
    <w:basedOn w:val="a0"/>
    <w:link w:val="a7"/>
    <w:uiPriority w:val="99"/>
    <w:semiHidden/>
    <w:qFormat/>
    <w:rsid w:val="000D3334"/>
    <w:rPr>
      <w:rFonts w:ascii="Times New Roman" w:eastAsia="宋体" w:hAnsi="Times New Roman" w:cs="Times New Roman"/>
      <w:sz w:val="18"/>
      <w:szCs w:val="18"/>
    </w:rPr>
  </w:style>
  <w:style w:type="character" w:customStyle="1" w:styleId="Char4">
    <w:name w:val="批注主题 Char"/>
    <w:basedOn w:val="Char2"/>
    <w:link w:val="a8"/>
    <w:uiPriority w:val="99"/>
    <w:semiHidden/>
    <w:qFormat/>
    <w:rsid w:val="000D3334"/>
    <w:rPr>
      <w:rFonts w:ascii="Times New Roman" w:eastAsia="宋体" w:hAnsi="Times New Roman" w:cs="Times New Roman"/>
      <w:b/>
      <w:bCs/>
      <w:szCs w:val="20"/>
    </w:rPr>
  </w:style>
  <w:style w:type="paragraph" w:styleId="a8">
    <w:name w:val="annotation subject"/>
    <w:basedOn w:val="a6"/>
    <w:next w:val="a6"/>
    <w:link w:val="Char4"/>
    <w:uiPriority w:val="99"/>
    <w:semiHidden/>
    <w:unhideWhenUsed/>
    <w:qFormat/>
    <w:rsid w:val="000D3334"/>
    <w:rPr>
      <w:rFonts w:ascii="Times New Roman" w:eastAsia="宋体" w:hAnsi="Times New Roman" w:cs="Times New Roman"/>
      <w:b/>
      <w:bCs/>
      <w:szCs w:val="20"/>
    </w:rPr>
  </w:style>
  <w:style w:type="table" w:styleId="a9">
    <w:name w:val="Table Grid"/>
    <w:basedOn w:val="a1"/>
    <w:autoRedefine/>
    <w:qFormat/>
    <w:rsid w:val="000D33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uiPriority w:val="39"/>
    <w:unhideWhenUsed/>
    <w:qFormat/>
    <w:rsid w:val="000D3334"/>
    <w:pPr>
      <w:ind w:leftChars="400" w:left="840"/>
    </w:pPr>
  </w:style>
  <w:style w:type="paragraph" w:styleId="10">
    <w:name w:val="toc 1"/>
    <w:basedOn w:val="a"/>
    <w:next w:val="a"/>
    <w:autoRedefine/>
    <w:uiPriority w:val="39"/>
    <w:unhideWhenUsed/>
    <w:qFormat/>
    <w:rsid w:val="000D3334"/>
  </w:style>
  <w:style w:type="paragraph" w:styleId="2">
    <w:name w:val="toc 2"/>
    <w:basedOn w:val="a"/>
    <w:next w:val="a"/>
    <w:autoRedefine/>
    <w:uiPriority w:val="39"/>
    <w:unhideWhenUsed/>
    <w:qFormat/>
    <w:rsid w:val="000D3334"/>
    <w:pPr>
      <w:ind w:leftChars="200" w:left="420"/>
    </w:pPr>
  </w:style>
  <w:style w:type="character" w:styleId="aa">
    <w:name w:val="page number"/>
    <w:basedOn w:val="a0"/>
    <w:autoRedefine/>
    <w:qFormat/>
    <w:rsid w:val="000D3334"/>
  </w:style>
  <w:style w:type="character" w:styleId="ab">
    <w:name w:val="Hyperlink"/>
    <w:autoRedefine/>
    <w:uiPriority w:val="99"/>
    <w:unhideWhenUsed/>
    <w:qFormat/>
    <w:rsid w:val="000D3334"/>
    <w:rPr>
      <w:color w:val="0000FF"/>
      <w:u w:val="single"/>
    </w:rPr>
  </w:style>
  <w:style w:type="paragraph" w:customStyle="1" w:styleId="Default">
    <w:name w:val="Default"/>
    <w:autoRedefine/>
    <w:qFormat/>
    <w:rsid w:val="000D3334"/>
    <w:pPr>
      <w:widowControl w:val="0"/>
      <w:autoSpaceDE w:val="0"/>
      <w:autoSpaceDN w:val="0"/>
      <w:adjustRightInd w:val="0"/>
    </w:pPr>
    <w:rPr>
      <w:rFonts w:ascii="宋体" w:eastAsia="宋体" w:hAnsi="宋体" w:cs="宋体"/>
      <w:color w:val="000000"/>
      <w:kern w:val="0"/>
      <w:sz w:val="24"/>
      <w:szCs w:val="24"/>
    </w:rPr>
  </w:style>
  <w:style w:type="paragraph" w:styleId="ac">
    <w:name w:val="List Paragraph"/>
    <w:basedOn w:val="a"/>
    <w:autoRedefine/>
    <w:uiPriority w:val="34"/>
    <w:qFormat/>
    <w:rsid w:val="000D3334"/>
    <w:pPr>
      <w:ind w:firstLineChars="200" w:firstLine="420"/>
    </w:pPr>
    <w:rPr>
      <w:rFonts w:ascii="Calibri" w:hAnsi="Calibri"/>
      <w:szCs w:val="22"/>
    </w:rPr>
  </w:style>
  <w:style w:type="paragraph" w:customStyle="1" w:styleId="001">
    <w:name w:val="001一级标题"/>
    <w:basedOn w:val="a"/>
    <w:autoRedefine/>
    <w:qFormat/>
    <w:rsid w:val="000D3334"/>
    <w:pPr>
      <w:keepNext/>
      <w:keepLines/>
      <w:pageBreakBefore/>
      <w:adjustRightInd w:val="0"/>
      <w:snapToGrid w:val="0"/>
      <w:spacing w:beforeLines="50" w:before="50" w:afterLines="50" w:after="50" w:line="360" w:lineRule="auto"/>
      <w:outlineLvl w:val="0"/>
    </w:pPr>
    <w:rPr>
      <w:rFonts w:eastAsia="黑体"/>
      <w:b/>
      <w:bCs/>
      <w:sz w:val="30"/>
      <w:szCs w:val="28"/>
      <w:lang w:val="zh-CN"/>
    </w:rPr>
  </w:style>
  <w:style w:type="paragraph" w:customStyle="1" w:styleId="TOC1">
    <w:name w:val="TOC 标题1"/>
    <w:basedOn w:val="1"/>
    <w:next w:val="a"/>
    <w:autoRedefine/>
    <w:uiPriority w:val="39"/>
    <w:unhideWhenUsed/>
    <w:qFormat/>
    <w:rsid w:val="000D333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11">
    <w:name w:val="font11"/>
    <w:basedOn w:val="a0"/>
    <w:autoRedefine/>
    <w:qFormat/>
    <w:rsid w:val="000D3334"/>
    <w:rPr>
      <w:rFonts w:ascii="宋体" w:eastAsia="宋体" w:hAnsi="宋体" w:cs="宋体" w:hint="eastAsia"/>
      <w:b/>
      <w:bCs/>
      <w:color w:val="000000"/>
      <w:sz w:val="21"/>
      <w:szCs w:val="21"/>
      <w:u w:val="none"/>
    </w:rPr>
  </w:style>
  <w:style w:type="paragraph" w:customStyle="1" w:styleId="11">
    <w:name w:val="修订1"/>
    <w:hidden/>
    <w:uiPriority w:val="99"/>
    <w:unhideWhenUsed/>
    <w:qFormat/>
    <w:rsid w:val="000D3334"/>
    <w:rPr>
      <w:rFonts w:ascii="Times New Roman" w:eastAsia="宋体" w:hAnsi="Times New Roman" w:cs="Times New Roman"/>
      <w:szCs w:val="24"/>
    </w:rPr>
  </w:style>
  <w:style w:type="paragraph" w:customStyle="1" w:styleId="20">
    <w:name w:val="修订2"/>
    <w:hidden/>
    <w:uiPriority w:val="99"/>
    <w:unhideWhenUsed/>
    <w:qFormat/>
    <w:rsid w:val="000D3334"/>
    <w:rPr>
      <w:rFonts w:ascii="Times New Roman" w:eastAsia="宋体" w:hAnsi="Times New Roman" w:cs="Times New Roman"/>
      <w:szCs w:val="24"/>
    </w:rPr>
  </w:style>
  <w:style w:type="character" w:customStyle="1" w:styleId="font31">
    <w:name w:val="font31"/>
    <w:basedOn w:val="a0"/>
    <w:rsid w:val="000D3334"/>
    <w:rPr>
      <w:rFonts w:ascii="宋体" w:eastAsia="宋体" w:hAnsi="宋体" w:cs="宋体" w:hint="eastAsia"/>
      <w:color w:val="000000"/>
      <w:sz w:val="20"/>
      <w:szCs w:val="20"/>
      <w:u w:val="none"/>
    </w:rPr>
  </w:style>
  <w:style w:type="character" w:customStyle="1" w:styleId="font51">
    <w:name w:val="font51"/>
    <w:basedOn w:val="a0"/>
    <w:qFormat/>
    <w:rsid w:val="000D3334"/>
    <w:rPr>
      <w:rFonts w:ascii="Times New Roman" w:hAnsi="Times New Roman" w:cs="Times New Roman" w:hint="default"/>
      <w:color w:val="000000"/>
      <w:sz w:val="20"/>
      <w:szCs w:val="20"/>
      <w:u w:val="none"/>
    </w:rPr>
  </w:style>
  <w:style w:type="paragraph" w:styleId="ad">
    <w:name w:val="Revision"/>
    <w:hidden/>
    <w:uiPriority w:val="99"/>
    <w:unhideWhenUsed/>
    <w:rsid w:val="000D333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32</Pages>
  <Words>3922</Words>
  <Characters>22362</Characters>
  <Application>Microsoft Office Word</Application>
  <DocSecurity>0</DocSecurity>
  <Lines>186</Lines>
  <Paragraphs>52</Paragraphs>
  <ScaleCrop>false</ScaleCrop>
  <Company/>
  <LinksUpToDate>false</LinksUpToDate>
  <CharactersWithSpaces>26232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林玲</dc:creator>
  <cp:keywords/>
  <dc:description/>
  <cp:lastModifiedBy>林玲</cp:lastModifiedBy>
  <cp:revision>11</cp:revision>
  <cp:lastPrinted>2025-06-06T08:08:00Z</cp:lastPrinted>
  <dcterms:created xsi:type="dcterms:W3CDTF">2025-05-28T03:08:00Z</dcterms:created>
  <dcterms:modified xsi:type="dcterms:W3CDTF">2025-06-06T08:09:00Z</dcterms:modified>
</cp:coreProperties>
</file>