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11272" w14:textId="3430FE63" w:rsidR="00E52D07" w:rsidRDefault="00ED68BF">
      <w:pPr>
        <w:adjustRightInd w:val="0"/>
        <w:snapToGrid w:val="0"/>
        <w:spacing w:afterLines="50" w:after="156" w:line="360" w:lineRule="auto"/>
        <w:jc w:val="left"/>
        <w:rPr>
          <w:rFonts w:ascii="宋体" w:eastAsia="宋体" w:hAnsi="宋体"/>
          <w:b/>
          <w:sz w:val="24"/>
          <w:szCs w:val="24"/>
        </w:rPr>
      </w:pPr>
      <w:r>
        <w:rPr>
          <w:rFonts w:ascii="宋体" w:eastAsia="宋体" w:hAnsi="宋体"/>
          <w:sz w:val="24"/>
          <w:szCs w:val="24"/>
        </w:rPr>
        <w:t>证券代码</w:t>
      </w:r>
      <w:r>
        <w:rPr>
          <w:rFonts w:ascii="宋体" w:eastAsia="宋体" w:hAnsi="宋体"/>
          <w:spacing w:val="-8"/>
          <w:sz w:val="24"/>
          <w:szCs w:val="24"/>
        </w:rPr>
        <w:t>：603</w:t>
      </w:r>
      <w:r>
        <w:rPr>
          <w:rFonts w:ascii="宋体" w:eastAsia="宋体" w:hAnsi="宋体" w:hint="eastAsia"/>
          <w:spacing w:val="-8"/>
          <w:sz w:val="24"/>
          <w:szCs w:val="24"/>
        </w:rPr>
        <w:t>8</w:t>
      </w:r>
      <w:r>
        <w:rPr>
          <w:rFonts w:ascii="宋体" w:eastAsia="宋体" w:hAnsi="宋体"/>
          <w:spacing w:val="-8"/>
          <w:sz w:val="24"/>
          <w:szCs w:val="24"/>
        </w:rPr>
        <w:t>15</w:t>
      </w:r>
      <w:r>
        <w:rPr>
          <w:rFonts w:ascii="宋体" w:eastAsia="宋体" w:hAnsi="宋体"/>
          <w:spacing w:val="-8"/>
          <w:sz w:val="24"/>
          <w:szCs w:val="24"/>
        </w:rPr>
        <w:tab/>
      </w:r>
      <w:r>
        <w:rPr>
          <w:rFonts w:ascii="宋体" w:eastAsia="宋体" w:hAnsi="宋体" w:hint="eastAsia"/>
          <w:spacing w:val="-8"/>
          <w:sz w:val="24"/>
          <w:szCs w:val="24"/>
        </w:rPr>
        <w:t xml:space="preserve">        </w:t>
      </w:r>
      <w:r>
        <w:rPr>
          <w:rFonts w:ascii="宋体" w:eastAsia="宋体" w:hAnsi="宋体"/>
          <w:sz w:val="24"/>
          <w:szCs w:val="24"/>
        </w:rPr>
        <w:t>证券简称</w:t>
      </w:r>
      <w:r>
        <w:rPr>
          <w:rFonts w:ascii="宋体" w:eastAsia="宋体" w:hAnsi="宋体"/>
          <w:spacing w:val="-51"/>
          <w:sz w:val="24"/>
          <w:szCs w:val="24"/>
        </w:rPr>
        <w:t>：</w:t>
      </w:r>
      <w:proofErr w:type="gramStart"/>
      <w:r>
        <w:rPr>
          <w:rFonts w:ascii="宋体" w:eastAsia="宋体" w:hAnsi="宋体" w:hint="eastAsia"/>
          <w:sz w:val="24"/>
          <w:szCs w:val="24"/>
        </w:rPr>
        <w:t>交建</w:t>
      </w:r>
      <w:r>
        <w:rPr>
          <w:rFonts w:ascii="宋体" w:eastAsia="宋体" w:hAnsi="宋体"/>
          <w:sz w:val="24"/>
          <w:szCs w:val="24"/>
        </w:rPr>
        <w:t>股份</w:t>
      </w:r>
      <w:proofErr w:type="gramEnd"/>
      <w:r>
        <w:rPr>
          <w:rFonts w:ascii="宋体" w:eastAsia="宋体" w:hAnsi="宋体"/>
          <w:sz w:val="24"/>
          <w:szCs w:val="24"/>
        </w:rPr>
        <w:tab/>
      </w:r>
      <w:r>
        <w:rPr>
          <w:rFonts w:ascii="宋体" w:eastAsia="宋体" w:hAnsi="宋体" w:hint="eastAsia"/>
          <w:sz w:val="24"/>
          <w:szCs w:val="24"/>
        </w:rPr>
        <w:t xml:space="preserve">          </w:t>
      </w:r>
      <w:r>
        <w:rPr>
          <w:rFonts w:ascii="宋体" w:eastAsia="宋体" w:hAnsi="宋体"/>
          <w:sz w:val="24"/>
          <w:szCs w:val="24"/>
        </w:rPr>
        <w:t>公告编号</w:t>
      </w:r>
      <w:r>
        <w:rPr>
          <w:rFonts w:ascii="宋体" w:eastAsia="宋体" w:hAnsi="宋体"/>
          <w:spacing w:val="-51"/>
          <w:sz w:val="24"/>
          <w:szCs w:val="24"/>
        </w:rPr>
        <w:t>：</w:t>
      </w:r>
      <w:r>
        <w:rPr>
          <w:rFonts w:ascii="宋体" w:eastAsia="宋体" w:hAnsi="宋体" w:hint="eastAsia"/>
          <w:sz w:val="24"/>
          <w:szCs w:val="24"/>
        </w:rPr>
        <w:t>2025</w:t>
      </w:r>
      <w:r>
        <w:rPr>
          <w:rFonts w:ascii="宋体" w:eastAsia="宋体" w:hAnsi="宋体"/>
          <w:sz w:val="24"/>
          <w:szCs w:val="24"/>
        </w:rPr>
        <w:t>-</w:t>
      </w:r>
      <w:r w:rsidR="00F6224A">
        <w:rPr>
          <w:rFonts w:ascii="宋体" w:eastAsia="宋体" w:hAnsi="宋体"/>
          <w:sz w:val="24"/>
          <w:szCs w:val="24"/>
        </w:rPr>
        <w:t>0</w:t>
      </w:r>
      <w:r>
        <w:rPr>
          <w:rFonts w:ascii="宋体" w:eastAsia="宋体" w:hAnsi="宋体" w:hint="eastAsia"/>
          <w:sz w:val="24"/>
          <w:szCs w:val="24"/>
        </w:rPr>
        <w:t>15</w:t>
      </w:r>
    </w:p>
    <w:p w14:paraId="5D8D579C" w14:textId="77777777" w:rsidR="00E52D07" w:rsidRDefault="00ED68BF">
      <w:pPr>
        <w:snapToGrid w:val="0"/>
        <w:spacing w:before="100" w:beforeAutospacing="1" w:after="100" w:afterAutospacing="1" w:line="520" w:lineRule="exact"/>
        <w:jc w:val="center"/>
        <w:rPr>
          <w:rFonts w:ascii="黑体" w:eastAsia="黑体" w:hAnsi="黑体"/>
          <w:b/>
          <w:bCs/>
          <w:sz w:val="36"/>
          <w:szCs w:val="36"/>
        </w:rPr>
      </w:pPr>
      <w:r>
        <w:rPr>
          <w:rFonts w:ascii="黑体" w:eastAsia="黑体" w:hAnsi="黑体" w:hint="eastAsia"/>
          <w:b/>
          <w:bCs/>
          <w:sz w:val="36"/>
          <w:szCs w:val="36"/>
        </w:rPr>
        <w:t>安徽省交通建设股份有限公司</w:t>
      </w:r>
    </w:p>
    <w:p w14:paraId="1266DE5B" w14:textId="77777777" w:rsidR="00E52D07" w:rsidRDefault="00ED68BF">
      <w:pPr>
        <w:spacing w:after="100" w:afterAutospacing="1" w:line="520" w:lineRule="exact"/>
        <w:jc w:val="center"/>
        <w:rPr>
          <w:rFonts w:ascii="宋体" w:eastAsia="宋体" w:hAnsi="宋体"/>
          <w:sz w:val="24"/>
          <w:szCs w:val="24"/>
        </w:rPr>
      </w:pPr>
      <w:r>
        <w:rPr>
          <w:rFonts w:ascii="黑体" w:eastAsia="黑体" w:hAnsi="黑体" w:hint="eastAsia"/>
          <w:b/>
          <w:bCs/>
          <w:sz w:val="36"/>
          <w:szCs w:val="36"/>
        </w:rPr>
        <w:t>关于公司涉及诉讼进展的公告</w:t>
      </w:r>
    </w:p>
    <w:p w14:paraId="6465B6D3" w14:textId="77777777" w:rsidR="00E52D07" w:rsidRDefault="00ED68BF">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Pr>
          <w:rFonts w:ascii="宋体" w:eastAsia="宋体" w:hAnsi="宋体" w:hint="eastAsia"/>
          <w:sz w:val="24"/>
          <w:szCs w:val="24"/>
        </w:rPr>
        <w:t>本公司董事会及全体董事保证本公告内容不存在任何虚假记载、误导性陈述或者重大遗漏，并对其内容的真实性、准确性和完整性承担法律责任。</w:t>
      </w:r>
    </w:p>
    <w:p w14:paraId="2DBD7305" w14:textId="77777777" w:rsidR="00E52D07" w:rsidRDefault="00ED68BF">
      <w:pPr>
        <w:pStyle w:val="a"/>
        <w:rPr>
          <w:rFonts w:ascii="宋体" w:eastAsia="宋体" w:hAnsi="宋体"/>
          <w:sz w:val="24"/>
          <w:szCs w:val="24"/>
          <w:shd w:val="clear" w:color="auto" w:fill="FFFFFF"/>
        </w:rPr>
      </w:pPr>
      <w:r>
        <w:rPr>
          <w:rFonts w:ascii="宋体" w:eastAsia="宋体" w:hAnsi="宋体"/>
          <w:sz w:val="24"/>
          <w:szCs w:val="24"/>
          <w:shd w:val="clear" w:color="auto" w:fill="FFFFFF"/>
        </w:rPr>
        <w:t>案件所处的诉讼（仲裁）阶段</w:t>
      </w:r>
      <w:r>
        <w:rPr>
          <w:rFonts w:ascii="宋体" w:eastAsia="宋体" w:hAnsi="宋体" w:hint="eastAsia"/>
          <w:sz w:val="24"/>
          <w:szCs w:val="24"/>
          <w:shd w:val="clear" w:color="auto" w:fill="FFFFFF"/>
        </w:rPr>
        <w:t>：一审判决</w:t>
      </w:r>
    </w:p>
    <w:p w14:paraId="57F26094" w14:textId="77777777" w:rsidR="00E52D07" w:rsidRDefault="00ED68BF">
      <w:pPr>
        <w:pStyle w:val="a"/>
        <w:rPr>
          <w:rFonts w:ascii="宋体" w:eastAsia="宋体" w:hAnsi="宋体"/>
          <w:sz w:val="24"/>
          <w:szCs w:val="24"/>
          <w:shd w:val="clear" w:color="auto" w:fill="FFFFFF"/>
        </w:rPr>
      </w:pPr>
      <w:r>
        <w:rPr>
          <w:rFonts w:ascii="宋体" w:eastAsia="宋体" w:hAnsi="宋体" w:hint="eastAsia"/>
          <w:sz w:val="24"/>
          <w:szCs w:val="24"/>
          <w:shd w:val="clear" w:color="auto" w:fill="FFFFFF"/>
        </w:rPr>
        <w:t>上</w:t>
      </w:r>
      <w:r>
        <w:rPr>
          <w:rFonts w:ascii="宋体" w:eastAsia="宋体" w:hAnsi="宋体"/>
          <w:sz w:val="24"/>
          <w:szCs w:val="24"/>
          <w:shd w:val="clear" w:color="auto" w:fill="FFFFFF"/>
        </w:rPr>
        <w:t>市公司所处的当事人地位</w:t>
      </w:r>
      <w:r>
        <w:rPr>
          <w:rFonts w:ascii="宋体" w:eastAsia="宋体" w:hAnsi="宋体" w:hint="eastAsia"/>
          <w:sz w:val="24"/>
          <w:szCs w:val="24"/>
          <w:shd w:val="clear" w:color="auto" w:fill="FFFFFF"/>
        </w:rPr>
        <w:t>：上市公司为原告</w:t>
      </w:r>
    </w:p>
    <w:p w14:paraId="086FFED6" w14:textId="36928BE9" w:rsidR="00E52D07" w:rsidRDefault="00ED68BF">
      <w:pPr>
        <w:pStyle w:val="a"/>
        <w:rPr>
          <w:rFonts w:ascii="宋体" w:eastAsia="宋体" w:hAnsi="宋体"/>
          <w:sz w:val="24"/>
          <w:szCs w:val="24"/>
          <w:shd w:val="clear" w:color="auto" w:fill="FFFFFF"/>
        </w:rPr>
      </w:pPr>
      <w:r>
        <w:rPr>
          <w:rFonts w:ascii="宋体" w:eastAsia="宋体" w:hAnsi="宋体"/>
          <w:sz w:val="24"/>
          <w:szCs w:val="24"/>
          <w:shd w:val="clear" w:color="auto" w:fill="FFFFFF"/>
        </w:rPr>
        <w:t>涉案的金额：</w:t>
      </w:r>
      <w:r>
        <w:rPr>
          <w:rFonts w:ascii="Times New Roman" w:eastAsia="宋体" w:hAnsi="Times New Roman" w:cs="Times New Roman" w:hint="eastAsia"/>
          <w:color w:val="303133"/>
          <w:sz w:val="24"/>
          <w:szCs w:val="24"/>
          <w:shd w:val="clear" w:color="auto" w:fill="FFFFFF"/>
        </w:rPr>
        <w:t>44,569,474.1</w:t>
      </w:r>
      <w:r w:rsidR="00F6224A">
        <w:rPr>
          <w:rFonts w:ascii="Times New Roman" w:eastAsia="宋体" w:hAnsi="Times New Roman" w:cs="Times New Roman"/>
          <w:color w:val="303133"/>
          <w:sz w:val="24"/>
          <w:szCs w:val="24"/>
          <w:shd w:val="clear" w:color="auto" w:fill="FFFFFF"/>
        </w:rPr>
        <w:t>0</w:t>
      </w:r>
      <w:r>
        <w:rPr>
          <w:rFonts w:ascii="Times New Roman" w:eastAsia="宋体" w:hAnsi="Times New Roman" w:cs="Times New Roman" w:hint="eastAsia"/>
          <w:color w:val="303133"/>
          <w:sz w:val="24"/>
          <w:szCs w:val="24"/>
          <w:shd w:val="clear" w:color="auto" w:fill="FFFFFF"/>
        </w:rPr>
        <w:t>元</w:t>
      </w:r>
    </w:p>
    <w:p w14:paraId="09726B59" w14:textId="77777777" w:rsidR="00E52D07" w:rsidRDefault="00ED68BF">
      <w:pPr>
        <w:pStyle w:val="a"/>
        <w:rPr>
          <w:rFonts w:ascii="宋体" w:eastAsia="宋体" w:hAnsi="宋体"/>
          <w:sz w:val="24"/>
          <w:szCs w:val="24"/>
          <w:shd w:val="clear" w:color="auto" w:fill="FFFFFF"/>
        </w:rPr>
      </w:pPr>
      <w:r>
        <w:rPr>
          <w:rFonts w:ascii="宋体" w:eastAsia="宋体" w:hAnsi="宋体"/>
          <w:sz w:val="24"/>
          <w:szCs w:val="24"/>
          <w:shd w:val="clear" w:color="auto" w:fill="FFFFFF"/>
        </w:rPr>
        <w:t>是否会对上市公司损益产生负面影响：</w:t>
      </w:r>
      <w:r>
        <w:rPr>
          <w:rFonts w:ascii="宋体" w:eastAsia="宋体" w:hAnsi="宋体" w:hint="eastAsia"/>
          <w:sz w:val="24"/>
          <w:szCs w:val="24"/>
          <w:shd w:val="clear" w:color="auto" w:fill="FFFFFF"/>
        </w:rPr>
        <w:t>本次诉讼判决为一审判决，目前</w:t>
      </w:r>
      <w:r>
        <w:rPr>
          <w:rFonts w:ascii="宋体" w:eastAsia="宋体" w:hAnsi="宋体"/>
          <w:sz w:val="24"/>
          <w:szCs w:val="24"/>
        </w:rPr>
        <w:t>处于上诉期内</w:t>
      </w:r>
      <w:r>
        <w:rPr>
          <w:rFonts w:ascii="宋体" w:eastAsia="宋体" w:hAnsi="宋体" w:hint="eastAsia"/>
          <w:sz w:val="24"/>
          <w:szCs w:val="24"/>
        </w:rPr>
        <w:t>，</w:t>
      </w:r>
      <w:r>
        <w:rPr>
          <w:rFonts w:ascii="宋体" w:eastAsia="宋体" w:hAnsi="宋体" w:hint="eastAsia"/>
          <w:sz w:val="24"/>
          <w:szCs w:val="24"/>
          <w:shd w:val="clear" w:color="auto" w:fill="FFFFFF"/>
        </w:rPr>
        <w:t>尚未生效，因此无法判断本次诉讼判决结果对公司</w:t>
      </w:r>
      <w:r>
        <w:rPr>
          <w:rFonts w:ascii="宋体" w:eastAsia="宋体" w:hAnsi="宋体" w:hint="eastAsia"/>
          <w:sz w:val="24"/>
          <w:szCs w:val="24"/>
        </w:rPr>
        <w:t>本期或期后利润</w:t>
      </w:r>
      <w:r>
        <w:rPr>
          <w:rFonts w:ascii="宋体" w:eastAsia="宋体" w:hAnsi="宋体" w:hint="eastAsia"/>
          <w:sz w:val="24"/>
          <w:szCs w:val="24"/>
          <w:shd w:val="clear" w:color="auto" w:fill="FFFFFF"/>
        </w:rPr>
        <w:t>的影响</w:t>
      </w:r>
      <w:r>
        <w:rPr>
          <w:rFonts w:ascii="宋体" w:eastAsia="宋体" w:hAnsi="宋体"/>
          <w:sz w:val="24"/>
          <w:szCs w:val="24"/>
          <w:shd w:val="clear" w:color="auto" w:fill="FFFFFF"/>
        </w:rPr>
        <w:t>。</w:t>
      </w:r>
      <w:r>
        <w:rPr>
          <w:rFonts w:ascii="宋体" w:eastAsia="宋体" w:hAnsi="宋体" w:hint="eastAsia"/>
          <w:sz w:val="24"/>
          <w:szCs w:val="24"/>
          <w:shd w:val="clear" w:color="auto" w:fill="FFFFFF"/>
        </w:rPr>
        <w:t>公司将持续关注相关案件进展情况，及时履行信息披露义务，请广大投资者注意投资风险。</w:t>
      </w:r>
    </w:p>
    <w:p w14:paraId="4C6F1FC5" w14:textId="77777777" w:rsidR="00E52D07" w:rsidRDefault="00ED68BF">
      <w:pPr>
        <w:spacing w:line="360" w:lineRule="auto"/>
        <w:ind w:firstLineChars="200" w:firstLine="482"/>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一、诉讼案件情况</w:t>
      </w:r>
    </w:p>
    <w:p w14:paraId="317AB02A" w14:textId="77777777" w:rsidR="00E52D07" w:rsidRDefault="00ED68B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（一）案件信息</w:t>
      </w:r>
    </w:p>
    <w:p w14:paraId="70694F92" w14:textId="77777777" w:rsidR="00E52D07" w:rsidRDefault="00ED68B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color w:val="303133"/>
          <w:sz w:val="24"/>
          <w:szCs w:val="24"/>
          <w:shd w:val="clear" w:color="auto" w:fill="FFFFFF"/>
        </w:rPr>
        <w:t>1</w:t>
      </w:r>
      <w:r>
        <w:rPr>
          <w:rFonts w:ascii="Times New Roman" w:eastAsia="宋体" w:hAnsi="Times New Roman" w:cs="Times New Roman"/>
          <w:color w:val="303133"/>
          <w:sz w:val="24"/>
          <w:szCs w:val="24"/>
          <w:shd w:val="clear" w:color="auto" w:fill="FFFFFF"/>
        </w:rPr>
        <w:t>、</w:t>
      </w:r>
      <w:r>
        <w:rPr>
          <w:rFonts w:ascii="Times New Roman" w:eastAsia="宋体" w:hAnsi="Times New Roman" w:cs="Times New Roman"/>
          <w:b/>
          <w:bCs/>
          <w:color w:val="303133"/>
          <w:sz w:val="24"/>
          <w:szCs w:val="24"/>
          <w:shd w:val="clear" w:color="auto" w:fill="FFFFFF"/>
        </w:rPr>
        <w:t>受理时间：</w:t>
      </w:r>
      <w:r>
        <w:rPr>
          <w:rFonts w:ascii="Times New Roman" w:eastAsia="宋体" w:hAnsi="Times New Roman" w:cs="Times New Roman" w:hint="eastAsia"/>
          <w:color w:val="303133"/>
          <w:sz w:val="24"/>
          <w:szCs w:val="24"/>
          <w:shd w:val="clear" w:color="auto" w:fill="FFFFFF"/>
        </w:rPr>
        <w:t>2024</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1</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2</w:t>
      </w:r>
      <w:r>
        <w:rPr>
          <w:rFonts w:ascii="Times New Roman" w:eastAsia="宋体" w:hAnsi="Times New Roman" w:cs="Times New Roman" w:hint="eastAsia"/>
          <w:color w:val="303133"/>
          <w:sz w:val="24"/>
          <w:szCs w:val="24"/>
          <w:shd w:val="clear" w:color="auto" w:fill="FFFFFF"/>
        </w:rPr>
        <w:t>日</w:t>
      </w:r>
    </w:p>
    <w:p w14:paraId="0305B555" w14:textId="77777777" w:rsidR="00E52D07" w:rsidRDefault="00ED68B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color w:val="303133"/>
          <w:sz w:val="24"/>
          <w:szCs w:val="24"/>
          <w:shd w:val="clear" w:color="auto" w:fill="FFFFFF"/>
        </w:rPr>
        <w:t>2</w:t>
      </w:r>
      <w:r>
        <w:rPr>
          <w:rFonts w:ascii="Times New Roman" w:eastAsia="宋体" w:hAnsi="Times New Roman" w:cs="Times New Roman"/>
          <w:color w:val="303133"/>
          <w:sz w:val="24"/>
          <w:szCs w:val="24"/>
          <w:shd w:val="clear" w:color="auto" w:fill="FFFFFF"/>
        </w:rPr>
        <w:t>、</w:t>
      </w:r>
      <w:r>
        <w:rPr>
          <w:rFonts w:ascii="Times New Roman" w:eastAsia="宋体" w:hAnsi="Times New Roman" w:cs="Times New Roman"/>
          <w:b/>
          <w:bCs/>
          <w:color w:val="303133"/>
          <w:sz w:val="24"/>
          <w:szCs w:val="24"/>
          <w:shd w:val="clear" w:color="auto" w:fill="FFFFFF"/>
        </w:rPr>
        <w:t>诉讼机构：</w:t>
      </w:r>
      <w:r>
        <w:rPr>
          <w:rFonts w:ascii="Times New Roman" w:eastAsia="宋体" w:hAnsi="Times New Roman" w:cs="Times New Roman"/>
          <w:bCs/>
          <w:color w:val="303133"/>
          <w:sz w:val="24"/>
          <w:szCs w:val="24"/>
          <w:shd w:val="clear" w:color="auto" w:fill="FFFFFF"/>
        </w:rPr>
        <w:t>安徽省</w:t>
      </w:r>
      <w:r>
        <w:rPr>
          <w:rFonts w:ascii="Times New Roman" w:eastAsia="宋体" w:hAnsi="Times New Roman" w:cs="Times New Roman" w:hint="eastAsia"/>
          <w:color w:val="303133"/>
          <w:sz w:val="24"/>
          <w:szCs w:val="24"/>
          <w:shd w:val="clear" w:color="auto" w:fill="FFFFFF"/>
        </w:rPr>
        <w:t>蚌埠市</w:t>
      </w:r>
      <w:proofErr w:type="gramStart"/>
      <w:r>
        <w:rPr>
          <w:rFonts w:ascii="Times New Roman" w:eastAsia="宋体" w:hAnsi="Times New Roman" w:cs="Times New Roman" w:hint="eastAsia"/>
          <w:color w:val="303133"/>
          <w:sz w:val="24"/>
          <w:szCs w:val="24"/>
          <w:shd w:val="clear" w:color="auto" w:fill="FFFFFF"/>
        </w:rPr>
        <w:t>蚌</w:t>
      </w:r>
      <w:proofErr w:type="gramEnd"/>
      <w:r>
        <w:rPr>
          <w:rFonts w:ascii="Times New Roman" w:eastAsia="宋体" w:hAnsi="Times New Roman" w:cs="Times New Roman" w:hint="eastAsia"/>
          <w:color w:val="303133"/>
          <w:sz w:val="24"/>
          <w:szCs w:val="24"/>
          <w:shd w:val="clear" w:color="auto" w:fill="FFFFFF"/>
        </w:rPr>
        <w:t>山区人民法院</w:t>
      </w:r>
    </w:p>
    <w:p w14:paraId="145B409B" w14:textId="77777777" w:rsidR="00E52D07" w:rsidRDefault="00ED68B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color w:val="303133"/>
          <w:sz w:val="24"/>
          <w:szCs w:val="24"/>
          <w:shd w:val="clear" w:color="auto" w:fill="FFFFFF"/>
        </w:rPr>
        <w:t>3</w:t>
      </w:r>
      <w:r>
        <w:rPr>
          <w:rFonts w:ascii="Times New Roman" w:eastAsia="宋体" w:hAnsi="Times New Roman" w:cs="Times New Roman"/>
          <w:color w:val="303133"/>
          <w:sz w:val="24"/>
          <w:szCs w:val="24"/>
          <w:shd w:val="clear" w:color="auto" w:fill="FFFFFF"/>
        </w:rPr>
        <w:t>、</w:t>
      </w:r>
      <w:r>
        <w:rPr>
          <w:rFonts w:ascii="Times New Roman" w:eastAsia="宋体" w:hAnsi="Times New Roman" w:cs="Times New Roman"/>
          <w:b/>
          <w:bCs/>
          <w:color w:val="303133"/>
          <w:sz w:val="24"/>
          <w:szCs w:val="24"/>
          <w:shd w:val="clear" w:color="auto" w:fill="FFFFFF"/>
        </w:rPr>
        <w:t>诉讼各方当事人</w:t>
      </w:r>
    </w:p>
    <w:p w14:paraId="48D10EA9" w14:textId="77777777" w:rsidR="00E52D07" w:rsidRDefault="00ED68B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原告：安徽省交通建设股份有限公司</w:t>
      </w:r>
    </w:p>
    <w:p w14:paraId="172C47E2" w14:textId="77777777" w:rsidR="00E52D07" w:rsidRDefault="00ED68B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被告：蚌埠市临港基建投资发展有限公司</w:t>
      </w:r>
    </w:p>
    <w:p w14:paraId="6418781E" w14:textId="77777777" w:rsidR="00E52D07" w:rsidRDefault="00ED68B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第三人：湖南湘柏建设工程有限公司</w:t>
      </w:r>
    </w:p>
    <w:p w14:paraId="22716A29" w14:textId="77777777" w:rsidR="00E52D07" w:rsidRDefault="00ED68B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 xml:space="preserve">        </w:t>
      </w:r>
      <w:r>
        <w:rPr>
          <w:rFonts w:ascii="Times New Roman" w:eastAsia="宋体" w:hAnsi="Times New Roman" w:cs="Times New Roman" w:hint="eastAsia"/>
          <w:color w:val="303133"/>
          <w:sz w:val="24"/>
          <w:szCs w:val="24"/>
          <w:shd w:val="clear" w:color="auto" w:fill="FFFFFF"/>
        </w:rPr>
        <w:t>泰富建设工程（蚌埠）有限公司管理人</w:t>
      </w:r>
    </w:p>
    <w:p w14:paraId="14B39365" w14:textId="77777777" w:rsidR="00E52D07" w:rsidRDefault="00ED68B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（二）案件情况</w:t>
      </w:r>
    </w:p>
    <w:p w14:paraId="2FAC60D4" w14:textId="64BA643E" w:rsidR="00E52D07" w:rsidRDefault="00ED68B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2017</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2</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25</w:t>
      </w:r>
      <w:r>
        <w:rPr>
          <w:rFonts w:ascii="Times New Roman" w:eastAsia="宋体" w:hAnsi="Times New Roman" w:cs="Times New Roman" w:hint="eastAsia"/>
          <w:color w:val="303133"/>
          <w:sz w:val="24"/>
          <w:szCs w:val="24"/>
          <w:shd w:val="clear" w:color="auto" w:fill="FFFFFF"/>
        </w:rPr>
        <w:t>日及</w:t>
      </w:r>
      <w:r>
        <w:rPr>
          <w:rFonts w:ascii="Times New Roman" w:eastAsia="宋体" w:hAnsi="Times New Roman" w:cs="Times New Roman" w:hint="eastAsia"/>
          <w:color w:val="303133"/>
          <w:sz w:val="24"/>
          <w:szCs w:val="24"/>
          <w:shd w:val="clear" w:color="auto" w:fill="FFFFFF"/>
        </w:rPr>
        <w:t>2019</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3</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4</w:t>
      </w:r>
      <w:r>
        <w:rPr>
          <w:rFonts w:ascii="Times New Roman" w:eastAsia="宋体" w:hAnsi="Times New Roman" w:cs="Times New Roman" w:hint="eastAsia"/>
          <w:color w:val="303133"/>
          <w:sz w:val="24"/>
          <w:szCs w:val="24"/>
          <w:shd w:val="clear" w:color="auto" w:fill="FFFFFF"/>
        </w:rPr>
        <w:t>日，被告与湖南湘柏建设工程有限公司（以下简称</w:t>
      </w:r>
      <w:r w:rsidR="00F6224A">
        <w:rPr>
          <w:rFonts w:ascii="Times New Roman" w:eastAsia="宋体" w:hAnsi="Times New Roman" w:cs="Times New Roman" w:hint="eastAsia"/>
          <w:color w:val="303133"/>
          <w:sz w:val="24"/>
          <w:szCs w:val="24"/>
          <w:shd w:val="clear" w:color="auto" w:fill="FFFFFF"/>
        </w:rPr>
        <w:t>“</w:t>
      </w:r>
      <w:r>
        <w:rPr>
          <w:rFonts w:ascii="Times New Roman" w:eastAsia="宋体" w:hAnsi="Times New Roman" w:cs="Times New Roman" w:hint="eastAsia"/>
          <w:color w:val="303133"/>
          <w:sz w:val="24"/>
          <w:szCs w:val="24"/>
          <w:shd w:val="clear" w:color="auto" w:fill="FFFFFF"/>
        </w:rPr>
        <w:t>湘柏公司</w:t>
      </w:r>
      <w:r w:rsidR="00F6224A">
        <w:rPr>
          <w:rFonts w:ascii="Times New Roman" w:eastAsia="宋体" w:hAnsi="Times New Roman" w:cs="Times New Roman" w:hint="eastAsia"/>
          <w:color w:val="303133"/>
          <w:sz w:val="24"/>
          <w:szCs w:val="24"/>
          <w:shd w:val="clear" w:color="auto" w:fill="FFFFFF"/>
        </w:rPr>
        <w:t>”</w:t>
      </w:r>
      <w:r>
        <w:rPr>
          <w:rFonts w:ascii="Times New Roman" w:eastAsia="宋体" w:hAnsi="Times New Roman" w:cs="Times New Roman" w:hint="eastAsia"/>
          <w:color w:val="303133"/>
          <w:sz w:val="24"/>
          <w:szCs w:val="24"/>
          <w:shd w:val="clear" w:color="auto" w:fill="FFFFFF"/>
        </w:rPr>
        <w:t>）先后签订《蚌埠经开区临港产业园市政基础设施配套及地下综合管廊</w:t>
      </w:r>
      <w:r>
        <w:rPr>
          <w:rFonts w:ascii="Times New Roman" w:eastAsia="宋体" w:hAnsi="Times New Roman" w:cs="Times New Roman" w:hint="eastAsia"/>
          <w:color w:val="303133"/>
          <w:sz w:val="24"/>
          <w:szCs w:val="24"/>
          <w:shd w:val="clear" w:color="auto" w:fill="FFFFFF"/>
        </w:rPr>
        <w:t xml:space="preserve"> EPC</w:t>
      </w:r>
      <w:r>
        <w:rPr>
          <w:rFonts w:ascii="Times New Roman" w:eastAsia="宋体" w:hAnsi="Times New Roman" w:cs="Times New Roman" w:hint="eastAsia"/>
          <w:color w:val="303133"/>
          <w:sz w:val="24"/>
          <w:szCs w:val="24"/>
          <w:shd w:val="clear" w:color="auto" w:fill="FFFFFF"/>
        </w:rPr>
        <w:t>项目总承包合同》等三份合同，约定</w:t>
      </w:r>
      <w:proofErr w:type="gramStart"/>
      <w:r>
        <w:rPr>
          <w:rFonts w:ascii="Times New Roman" w:eastAsia="宋体" w:hAnsi="Times New Roman" w:cs="Times New Roman" w:hint="eastAsia"/>
          <w:color w:val="303133"/>
          <w:sz w:val="24"/>
          <w:szCs w:val="24"/>
          <w:shd w:val="clear" w:color="auto" w:fill="FFFFFF"/>
        </w:rPr>
        <w:t>由湘柏公司</w:t>
      </w:r>
      <w:proofErr w:type="gramEnd"/>
      <w:r>
        <w:rPr>
          <w:rFonts w:ascii="Times New Roman" w:eastAsia="宋体" w:hAnsi="Times New Roman" w:cs="Times New Roman" w:hint="eastAsia"/>
          <w:color w:val="303133"/>
          <w:sz w:val="24"/>
          <w:szCs w:val="24"/>
          <w:shd w:val="clear" w:color="auto" w:fill="FFFFFF"/>
        </w:rPr>
        <w:t>作为总承包单位承包施工。上述合同签订后，</w:t>
      </w:r>
      <w:r>
        <w:rPr>
          <w:rFonts w:ascii="Times New Roman" w:eastAsia="宋体" w:hAnsi="Times New Roman" w:cs="Times New Roman" w:hint="eastAsia"/>
          <w:color w:val="303133"/>
          <w:sz w:val="24"/>
          <w:szCs w:val="24"/>
          <w:shd w:val="clear" w:color="auto" w:fill="FFFFFF"/>
        </w:rPr>
        <w:t>2017</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9</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13</w:t>
      </w:r>
      <w:r>
        <w:rPr>
          <w:rFonts w:ascii="Times New Roman" w:eastAsia="宋体" w:hAnsi="Times New Roman" w:cs="Times New Roman" w:hint="eastAsia"/>
          <w:color w:val="303133"/>
          <w:sz w:val="24"/>
          <w:szCs w:val="24"/>
          <w:shd w:val="clear" w:color="auto" w:fill="FFFFFF"/>
        </w:rPr>
        <w:t>日及</w:t>
      </w:r>
      <w:r>
        <w:rPr>
          <w:rFonts w:ascii="Times New Roman" w:eastAsia="宋体" w:hAnsi="Times New Roman" w:cs="Times New Roman" w:hint="eastAsia"/>
          <w:color w:val="303133"/>
          <w:sz w:val="24"/>
          <w:szCs w:val="24"/>
          <w:shd w:val="clear" w:color="auto" w:fill="FFFFFF"/>
        </w:rPr>
        <w:t>2019</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5</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19</w:t>
      </w:r>
      <w:r>
        <w:rPr>
          <w:rFonts w:ascii="Times New Roman" w:eastAsia="宋体" w:hAnsi="Times New Roman" w:cs="Times New Roman" w:hint="eastAsia"/>
          <w:color w:val="303133"/>
          <w:sz w:val="24"/>
          <w:szCs w:val="24"/>
          <w:shd w:val="clear" w:color="auto" w:fill="FFFFFF"/>
        </w:rPr>
        <w:t>日，原告</w:t>
      </w:r>
      <w:proofErr w:type="gramStart"/>
      <w:r>
        <w:rPr>
          <w:rFonts w:ascii="Times New Roman" w:eastAsia="宋体" w:hAnsi="Times New Roman" w:cs="Times New Roman" w:hint="eastAsia"/>
          <w:color w:val="303133"/>
          <w:sz w:val="24"/>
          <w:szCs w:val="24"/>
          <w:shd w:val="clear" w:color="auto" w:fill="FFFFFF"/>
        </w:rPr>
        <w:t>与湘柏公司</w:t>
      </w:r>
      <w:proofErr w:type="gramEnd"/>
      <w:r>
        <w:rPr>
          <w:rFonts w:ascii="Times New Roman" w:eastAsia="宋体" w:hAnsi="Times New Roman" w:cs="Times New Roman" w:hint="eastAsia"/>
          <w:color w:val="303133"/>
          <w:sz w:val="24"/>
          <w:szCs w:val="24"/>
          <w:shd w:val="clear" w:color="auto" w:fill="FFFFFF"/>
        </w:rPr>
        <w:t>签订两份专业分包合同，约定由公司施工蚌埠经开</w:t>
      </w:r>
      <w:proofErr w:type="gramStart"/>
      <w:r>
        <w:rPr>
          <w:rFonts w:ascii="Times New Roman" w:eastAsia="宋体" w:hAnsi="Times New Roman" w:cs="Times New Roman" w:hint="eastAsia"/>
          <w:color w:val="303133"/>
          <w:sz w:val="24"/>
          <w:szCs w:val="24"/>
          <w:shd w:val="clear" w:color="auto" w:fill="FFFFFF"/>
        </w:rPr>
        <w:t>区长淮卫城镇</w:t>
      </w:r>
      <w:proofErr w:type="gramEnd"/>
      <w:r>
        <w:rPr>
          <w:rFonts w:ascii="Times New Roman" w:eastAsia="宋体" w:hAnsi="Times New Roman" w:cs="Times New Roman" w:hint="eastAsia"/>
          <w:color w:val="303133"/>
          <w:sz w:val="24"/>
          <w:szCs w:val="24"/>
          <w:shd w:val="clear" w:color="auto" w:fill="FFFFFF"/>
        </w:rPr>
        <w:t>化</w:t>
      </w:r>
      <w:r>
        <w:rPr>
          <w:rFonts w:ascii="Times New Roman" w:eastAsia="宋体" w:hAnsi="Times New Roman" w:cs="Times New Roman" w:hint="eastAsia"/>
          <w:color w:val="303133"/>
          <w:sz w:val="24"/>
          <w:szCs w:val="24"/>
          <w:shd w:val="clear" w:color="auto" w:fill="FFFFFF"/>
        </w:rPr>
        <w:lastRenderedPageBreak/>
        <w:t>一期（</w:t>
      </w:r>
      <w:r>
        <w:rPr>
          <w:rFonts w:ascii="Times New Roman" w:eastAsia="宋体" w:hAnsi="Times New Roman" w:cs="Times New Roman" w:hint="eastAsia"/>
          <w:color w:val="303133"/>
          <w:sz w:val="24"/>
          <w:szCs w:val="24"/>
          <w:shd w:val="clear" w:color="auto" w:fill="FFFFFF"/>
        </w:rPr>
        <w:t>EPC</w:t>
      </w:r>
      <w:r>
        <w:rPr>
          <w:rFonts w:ascii="Times New Roman" w:eastAsia="宋体" w:hAnsi="Times New Roman" w:cs="Times New Roman" w:hint="eastAsia"/>
          <w:color w:val="303133"/>
          <w:sz w:val="24"/>
          <w:szCs w:val="24"/>
          <w:shd w:val="clear" w:color="auto" w:fill="FFFFFF"/>
        </w:rPr>
        <w:t>）建设项目中司马庄路与综合管廊工程。</w:t>
      </w:r>
    </w:p>
    <w:p w14:paraId="3B3B6759" w14:textId="3E4D4A34" w:rsidR="00E52D07" w:rsidRDefault="00ED68B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合同履行过程中，因被告、</w:t>
      </w:r>
      <w:proofErr w:type="gramStart"/>
      <w:r>
        <w:rPr>
          <w:rFonts w:ascii="Times New Roman" w:eastAsia="宋体" w:hAnsi="Times New Roman" w:cs="Times New Roman" w:hint="eastAsia"/>
          <w:color w:val="303133"/>
          <w:sz w:val="24"/>
          <w:szCs w:val="24"/>
          <w:shd w:val="clear" w:color="auto" w:fill="FFFFFF"/>
        </w:rPr>
        <w:t>湘柏公司</w:t>
      </w:r>
      <w:proofErr w:type="gramEnd"/>
      <w:r>
        <w:rPr>
          <w:rFonts w:ascii="Times New Roman" w:eastAsia="宋体" w:hAnsi="Times New Roman" w:cs="Times New Roman" w:hint="eastAsia"/>
          <w:color w:val="303133"/>
          <w:sz w:val="24"/>
          <w:szCs w:val="24"/>
          <w:shd w:val="clear" w:color="auto" w:fill="FFFFFF"/>
        </w:rPr>
        <w:t>未按合同约定支付工程款，原告诉至法院，案件经两审法院审理后</w:t>
      </w:r>
      <w:proofErr w:type="gramStart"/>
      <w:r>
        <w:rPr>
          <w:rFonts w:ascii="Times New Roman" w:eastAsia="宋体" w:hAnsi="Times New Roman" w:cs="Times New Roman" w:hint="eastAsia"/>
          <w:color w:val="303133"/>
          <w:sz w:val="24"/>
          <w:szCs w:val="24"/>
          <w:shd w:val="clear" w:color="auto" w:fill="FFFFFF"/>
        </w:rPr>
        <w:t>判决湘柏公司</w:t>
      </w:r>
      <w:proofErr w:type="gramEnd"/>
      <w:r>
        <w:rPr>
          <w:rFonts w:ascii="Times New Roman" w:eastAsia="宋体" w:hAnsi="Times New Roman" w:cs="Times New Roman" w:hint="eastAsia"/>
          <w:color w:val="303133"/>
          <w:sz w:val="24"/>
          <w:szCs w:val="24"/>
          <w:shd w:val="clear" w:color="auto" w:fill="FFFFFF"/>
        </w:rPr>
        <w:t>欠付原告工程款</w:t>
      </w:r>
      <w:r>
        <w:rPr>
          <w:rFonts w:ascii="Times New Roman" w:eastAsia="宋体" w:hAnsi="Times New Roman" w:cs="Times New Roman" w:hint="eastAsia"/>
          <w:color w:val="303133"/>
          <w:sz w:val="24"/>
          <w:szCs w:val="24"/>
          <w:shd w:val="clear" w:color="auto" w:fill="FFFFFF"/>
        </w:rPr>
        <w:t>44,569,474.1</w:t>
      </w:r>
      <w:r w:rsidR="00F6224A">
        <w:rPr>
          <w:rFonts w:ascii="Times New Roman" w:eastAsia="宋体" w:hAnsi="Times New Roman" w:cs="Times New Roman"/>
          <w:color w:val="303133"/>
          <w:sz w:val="24"/>
          <w:szCs w:val="24"/>
          <w:shd w:val="clear" w:color="auto" w:fill="FFFFFF"/>
        </w:rPr>
        <w:t>0</w:t>
      </w:r>
      <w:r>
        <w:rPr>
          <w:rFonts w:ascii="Times New Roman" w:eastAsia="宋体" w:hAnsi="Times New Roman" w:cs="Times New Roman" w:hint="eastAsia"/>
          <w:color w:val="303133"/>
          <w:sz w:val="24"/>
          <w:szCs w:val="24"/>
          <w:shd w:val="clear" w:color="auto" w:fill="FFFFFF"/>
        </w:rPr>
        <w:t>元，生效判决同时载明“原告可在临港公司与湘柏公司的整体工程结算后或双方以其他方式确定欠付工程款数额后另行向临港公司主张权利。”现被告</w:t>
      </w:r>
      <w:proofErr w:type="gramStart"/>
      <w:r>
        <w:rPr>
          <w:rFonts w:ascii="Times New Roman" w:eastAsia="宋体" w:hAnsi="Times New Roman" w:cs="Times New Roman" w:hint="eastAsia"/>
          <w:color w:val="303133"/>
          <w:sz w:val="24"/>
          <w:szCs w:val="24"/>
          <w:shd w:val="clear" w:color="auto" w:fill="FFFFFF"/>
        </w:rPr>
        <w:t>与湘柏公司</w:t>
      </w:r>
      <w:proofErr w:type="gramEnd"/>
      <w:r>
        <w:rPr>
          <w:rFonts w:ascii="Times New Roman" w:eastAsia="宋体" w:hAnsi="Times New Roman" w:cs="Times New Roman" w:hint="eastAsia"/>
          <w:color w:val="303133"/>
          <w:sz w:val="24"/>
          <w:szCs w:val="24"/>
          <w:shd w:val="clear" w:color="auto" w:fill="FFFFFF"/>
        </w:rPr>
        <w:t>就案</w:t>
      </w:r>
      <w:proofErr w:type="gramStart"/>
      <w:r>
        <w:rPr>
          <w:rFonts w:ascii="Times New Roman" w:eastAsia="宋体" w:hAnsi="Times New Roman" w:cs="Times New Roman" w:hint="eastAsia"/>
          <w:color w:val="303133"/>
          <w:sz w:val="24"/>
          <w:szCs w:val="24"/>
          <w:shd w:val="clear" w:color="auto" w:fill="FFFFFF"/>
        </w:rPr>
        <w:t>涉整体</w:t>
      </w:r>
      <w:proofErr w:type="gramEnd"/>
      <w:r>
        <w:rPr>
          <w:rFonts w:ascii="Times New Roman" w:eastAsia="宋体" w:hAnsi="Times New Roman" w:cs="Times New Roman" w:hint="eastAsia"/>
          <w:color w:val="303133"/>
          <w:sz w:val="24"/>
          <w:szCs w:val="24"/>
          <w:shd w:val="clear" w:color="auto" w:fill="FFFFFF"/>
        </w:rPr>
        <w:t>工程进行了汇总结算且被告</w:t>
      </w:r>
      <w:proofErr w:type="gramStart"/>
      <w:r>
        <w:rPr>
          <w:rFonts w:ascii="Times New Roman" w:eastAsia="宋体" w:hAnsi="Times New Roman" w:cs="Times New Roman" w:hint="eastAsia"/>
          <w:color w:val="303133"/>
          <w:sz w:val="24"/>
          <w:szCs w:val="24"/>
          <w:shd w:val="clear" w:color="auto" w:fill="FFFFFF"/>
        </w:rPr>
        <w:t>欠付湘柏公司</w:t>
      </w:r>
      <w:proofErr w:type="gramEnd"/>
      <w:r>
        <w:rPr>
          <w:rFonts w:ascii="Times New Roman" w:eastAsia="宋体" w:hAnsi="Times New Roman" w:cs="Times New Roman" w:hint="eastAsia"/>
          <w:color w:val="303133"/>
          <w:sz w:val="24"/>
          <w:szCs w:val="24"/>
          <w:shd w:val="clear" w:color="auto" w:fill="FFFFFF"/>
        </w:rPr>
        <w:t>工程</w:t>
      </w:r>
      <w:proofErr w:type="gramStart"/>
      <w:r>
        <w:rPr>
          <w:rFonts w:ascii="Times New Roman" w:eastAsia="宋体" w:hAnsi="Times New Roman" w:cs="Times New Roman" w:hint="eastAsia"/>
          <w:color w:val="303133"/>
          <w:sz w:val="24"/>
          <w:szCs w:val="24"/>
          <w:shd w:val="clear" w:color="auto" w:fill="FFFFFF"/>
        </w:rPr>
        <w:t>款已经</w:t>
      </w:r>
      <w:proofErr w:type="gramEnd"/>
      <w:r>
        <w:rPr>
          <w:rFonts w:ascii="Times New Roman" w:eastAsia="宋体" w:hAnsi="Times New Roman" w:cs="Times New Roman" w:hint="eastAsia"/>
          <w:color w:val="303133"/>
          <w:sz w:val="24"/>
          <w:szCs w:val="24"/>
          <w:shd w:val="clear" w:color="auto" w:fill="FFFFFF"/>
        </w:rPr>
        <w:t>可以查明，因此原告向法院提起诉讼要求被告支付欠付工程款及利息。</w:t>
      </w:r>
      <w:r>
        <w:rPr>
          <w:rFonts w:ascii="宋体" w:eastAsia="宋体" w:hAnsi="宋体" w:cs="Times New Roman" w:hint="eastAsia"/>
          <w:color w:val="303133"/>
          <w:sz w:val="24"/>
          <w:szCs w:val="24"/>
          <w:shd w:val="clear" w:color="auto" w:fill="FFFFFF"/>
        </w:rPr>
        <w:t>具体详见公司于2024年3月19日在上海证券交易所网站披露的《安徽省交通建设股份有限公司关于公司涉及诉讼的公告》（公告编号：2024-007）。</w:t>
      </w:r>
    </w:p>
    <w:p w14:paraId="6E4A0299" w14:textId="77777777" w:rsidR="00E52D07" w:rsidRDefault="00ED68BF">
      <w:pPr>
        <w:spacing w:line="360" w:lineRule="auto"/>
        <w:ind w:firstLineChars="200" w:firstLine="482"/>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二、诉讼进展情况</w:t>
      </w:r>
    </w:p>
    <w:p w14:paraId="56A193D0" w14:textId="40376015" w:rsidR="00E52D07" w:rsidRDefault="00ED68BF">
      <w:pPr>
        <w:spacing w:line="360" w:lineRule="auto"/>
        <w:ind w:firstLineChars="200" w:firstLine="480"/>
        <w:rPr>
          <w:rFonts w:ascii="宋体" w:eastAsia="宋体" w:hAnsi="宋体" w:cs="Times New Roman"/>
          <w:color w:val="303133"/>
          <w:sz w:val="24"/>
          <w:szCs w:val="24"/>
          <w:shd w:val="clear" w:color="auto" w:fill="FFFFFF"/>
        </w:rPr>
      </w:pPr>
      <w:r>
        <w:rPr>
          <w:rFonts w:ascii="宋体" w:eastAsia="宋体" w:hAnsi="宋体" w:cs="Times New Roman" w:hint="eastAsia"/>
          <w:color w:val="303133"/>
          <w:sz w:val="24"/>
          <w:szCs w:val="24"/>
          <w:shd w:val="clear" w:color="auto" w:fill="FFFFFF"/>
        </w:rPr>
        <w:t>近日，公司收到安徽省</w:t>
      </w:r>
      <w:r>
        <w:rPr>
          <w:rFonts w:ascii="Times New Roman" w:eastAsia="宋体" w:hAnsi="Times New Roman" w:cs="Times New Roman" w:hint="eastAsia"/>
          <w:color w:val="303133"/>
          <w:sz w:val="24"/>
          <w:szCs w:val="24"/>
          <w:shd w:val="clear" w:color="auto" w:fill="FFFFFF"/>
        </w:rPr>
        <w:t>蚌埠市</w:t>
      </w:r>
      <w:proofErr w:type="gramStart"/>
      <w:r>
        <w:rPr>
          <w:rFonts w:ascii="Times New Roman" w:eastAsia="宋体" w:hAnsi="Times New Roman" w:cs="Times New Roman" w:hint="eastAsia"/>
          <w:color w:val="303133"/>
          <w:sz w:val="24"/>
          <w:szCs w:val="24"/>
          <w:shd w:val="clear" w:color="auto" w:fill="FFFFFF"/>
        </w:rPr>
        <w:t>蚌</w:t>
      </w:r>
      <w:proofErr w:type="gramEnd"/>
      <w:r>
        <w:rPr>
          <w:rFonts w:ascii="Times New Roman" w:eastAsia="宋体" w:hAnsi="Times New Roman" w:cs="Times New Roman" w:hint="eastAsia"/>
          <w:color w:val="303133"/>
          <w:sz w:val="24"/>
          <w:szCs w:val="24"/>
          <w:shd w:val="clear" w:color="auto" w:fill="FFFFFF"/>
        </w:rPr>
        <w:t>山区人民法院</w:t>
      </w:r>
      <w:r>
        <w:rPr>
          <w:rFonts w:ascii="宋体" w:eastAsia="宋体" w:hAnsi="宋体" w:cs="Times New Roman"/>
          <w:color w:val="303133"/>
          <w:sz w:val="24"/>
          <w:szCs w:val="24"/>
          <w:shd w:val="clear" w:color="auto" w:fill="FFFFFF"/>
        </w:rPr>
        <w:t>院</w:t>
      </w:r>
      <w:r>
        <w:rPr>
          <w:rFonts w:ascii="宋体" w:eastAsia="宋体" w:hAnsi="宋体" w:cs="Times New Roman" w:hint="eastAsia"/>
          <w:color w:val="303133"/>
          <w:sz w:val="24"/>
          <w:szCs w:val="24"/>
          <w:shd w:val="clear" w:color="auto" w:fill="FFFFFF"/>
        </w:rPr>
        <w:t>送达的(2024)皖0303民初4号《民事判决书》，判决情况如下：</w:t>
      </w:r>
    </w:p>
    <w:p w14:paraId="69755E4A" w14:textId="1F0FC650" w:rsidR="00E52D07" w:rsidRDefault="00ED68BF">
      <w:pPr>
        <w:spacing w:line="360" w:lineRule="auto"/>
        <w:ind w:firstLineChars="200" w:firstLine="480"/>
        <w:outlineLvl w:val="0"/>
        <w:rPr>
          <w:rFonts w:ascii="宋体" w:eastAsia="宋体" w:hAnsi="宋体" w:cs="Times New Roman"/>
          <w:color w:val="303133"/>
          <w:sz w:val="24"/>
          <w:szCs w:val="24"/>
          <w:shd w:val="clear" w:color="auto" w:fill="FFFFFF"/>
        </w:rPr>
      </w:pPr>
      <w:r>
        <w:rPr>
          <w:rFonts w:ascii="宋体" w:eastAsia="宋体" w:hAnsi="宋体" w:cs="Times New Roman" w:hint="eastAsia"/>
          <w:color w:val="303133"/>
          <w:sz w:val="24"/>
          <w:szCs w:val="24"/>
          <w:shd w:val="clear" w:color="auto" w:fill="FFFFFF"/>
        </w:rPr>
        <w:t>本院认为：临港公司</w:t>
      </w:r>
      <w:proofErr w:type="gramStart"/>
      <w:r>
        <w:rPr>
          <w:rFonts w:ascii="宋体" w:eastAsia="宋体" w:hAnsi="宋体" w:cs="Times New Roman" w:hint="eastAsia"/>
          <w:color w:val="303133"/>
          <w:sz w:val="24"/>
          <w:szCs w:val="24"/>
          <w:shd w:val="clear" w:color="auto" w:fill="FFFFFF"/>
        </w:rPr>
        <w:t>与湘柏公司</w:t>
      </w:r>
      <w:proofErr w:type="gramEnd"/>
      <w:r>
        <w:rPr>
          <w:rFonts w:ascii="宋体" w:eastAsia="宋体" w:hAnsi="宋体" w:cs="Times New Roman" w:hint="eastAsia"/>
          <w:color w:val="303133"/>
          <w:sz w:val="24"/>
          <w:szCs w:val="24"/>
          <w:shd w:val="clear" w:color="auto" w:fill="FFFFFF"/>
        </w:rPr>
        <w:t>尚未最终结算，且安徽省高级人民法院（2023）</w:t>
      </w:r>
      <w:proofErr w:type="gramStart"/>
      <w:r>
        <w:rPr>
          <w:rFonts w:ascii="宋体" w:eastAsia="宋体" w:hAnsi="宋体" w:cs="Times New Roman" w:hint="eastAsia"/>
          <w:color w:val="303133"/>
          <w:sz w:val="24"/>
          <w:szCs w:val="24"/>
          <w:shd w:val="clear" w:color="auto" w:fill="FFFFFF"/>
        </w:rPr>
        <w:t>皖民终84号</w:t>
      </w:r>
      <w:proofErr w:type="gramEnd"/>
      <w:r>
        <w:rPr>
          <w:rFonts w:ascii="宋体" w:eastAsia="宋体" w:hAnsi="宋体" w:cs="Times New Roman" w:hint="eastAsia"/>
          <w:color w:val="303133"/>
          <w:sz w:val="24"/>
          <w:szCs w:val="24"/>
          <w:shd w:val="clear" w:color="auto" w:fill="FFFFFF"/>
        </w:rPr>
        <w:t>判决书中明确载明“交建公司可在临港公司与湘柏公司的整体工程结算后或双方以其他方式确定欠付工程款数额后另行向临港公司主张权利”，现临港公司</w:t>
      </w:r>
      <w:proofErr w:type="gramStart"/>
      <w:r>
        <w:rPr>
          <w:rFonts w:ascii="宋体" w:eastAsia="宋体" w:hAnsi="宋体" w:cs="Times New Roman" w:hint="eastAsia"/>
          <w:color w:val="303133"/>
          <w:sz w:val="24"/>
          <w:szCs w:val="24"/>
          <w:shd w:val="clear" w:color="auto" w:fill="FFFFFF"/>
        </w:rPr>
        <w:t>与湘柏公司</w:t>
      </w:r>
      <w:proofErr w:type="gramEnd"/>
      <w:r>
        <w:rPr>
          <w:rFonts w:ascii="宋体" w:eastAsia="宋体" w:hAnsi="宋体" w:cs="Times New Roman" w:hint="eastAsia"/>
          <w:color w:val="303133"/>
          <w:sz w:val="24"/>
          <w:szCs w:val="24"/>
          <w:shd w:val="clear" w:color="auto" w:fill="FFFFFF"/>
        </w:rPr>
        <w:t>在庭审中均称双方没有最终结算，且双方现在正在进行诉讼，临港公司是否</w:t>
      </w:r>
      <w:proofErr w:type="gramStart"/>
      <w:r>
        <w:rPr>
          <w:rFonts w:ascii="宋体" w:eastAsia="宋体" w:hAnsi="宋体" w:cs="Times New Roman" w:hint="eastAsia"/>
          <w:color w:val="303133"/>
          <w:sz w:val="24"/>
          <w:szCs w:val="24"/>
          <w:shd w:val="clear" w:color="auto" w:fill="FFFFFF"/>
        </w:rPr>
        <w:t>欠付湘柏公司</w:t>
      </w:r>
      <w:proofErr w:type="gramEnd"/>
      <w:r>
        <w:rPr>
          <w:rFonts w:ascii="宋体" w:eastAsia="宋体" w:hAnsi="宋体" w:cs="Times New Roman" w:hint="eastAsia"/>
          <w:color w:val="303133"/>
          <w:sz w:val="24"/>
          <w:szCs w:val="24"/>
          <w:shd w:val="clear" w:color="auto" w:fill="FFFFFF"/>
        </w:rPr>
        <w:t>工程款及其欠付金额均无法确认，</w:t>
      </w:r>
      <w:proofErr w:type="gramStart"/>
      <w:r>
        <w:rPr>
          <w:rFonts w:ascii="宋体" w:eastAsia="宋体" w:hAnsi="宋体" w:cs="Times New Roman" w:hint="eastAsia"/>
          <w:color w:val="303133"/>
          <w:sz w:val="24"/>
          <w:szCs w:val="24"/>
          <w:shd w:val="clear" w:color="auto" w:fill="FFFFFF"/>
        </w:rPr>
        <w:t>鉴于交建公司</w:t>
      </w:r>
      <w:proofErr w:type="gramEnd"/>
      <w:r>
        <w:rPr>
          <w:rFonts w:ascii="宋体" w:eastAsia="宋体" w:hAnsi="宋体" w:cs="Times New Roman" w:hint="eastAsia"/>
          <w:color w:val="303133"/>
          <w:sz w:val="24"/>
          <w:szCs w:val="24"/>
          <w:shd w:val="clear" w:color="auto" w:fill="FFFFFF"/>
        </w:rPr>
        <w:t>的现有证据不足以证明其事实主张，故</w:t>
      </w:r>
      <w:proofErr w:type="gramStart"/>
      <w:r>
        <w:rPr>
          <w:rFonts w:ascii="宋体" w:eastAsia="宋体" w:hAnsi="宋体" w:cs="Times New Roman" w:hint="eastAsia"/>
          <w:color w:val="303133"/>
          <w:sz w:val="24"/>
          <w:szCs w:val="24"/>
          <w:shd w:val="clear" w:color="auto" w:fill="FFFFFF"/>
        </w:rPr>
        <w:t>对于交建公司</w:t>
      </w:r>
      <w:proofErr w:type="gramEnd"/>
      <w:r>
        <w:rPr>
          <w:rFonts w:ascii="宋体" w:eastAsia="宋体" w:hAnsi="宋体" w:cs="Times New Roman" w:hint="eastAsia"/>
          <w:color w:val="303133"/>
          <w:sz w:val="24"/>
          <w:szCs w:val="24"/>
          <w:shd w:val="clear" w:color="auto" w:fill="FFFFFF"/>
        </w:rPr>
        <w:t>的诉讼请求，本院不予支持。根据相关法律规定，判决如下：驳回原告的诉讼请求。</w:t>
      </w:r>
    </w:p>
    <w:p w14:paraId="70F8977F" w14:textId="77777777" w:rsidR="00E52D07" w:rsidRDefault="00ED68BF">
      <w:pPr>
        <w:spacing w:line="360" w:lineRule="auto"/>
        <w:ind w:firstLineChars="200" w:firstLine="482"/>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三、</w:t>
      </w:r>
      <w:r>
        <w:rPr>
          <w:rFonts w:ascii="Times New Roman" w:eastAsia="宋体" w:hAnsi="Times New Roman" w:cs="Times New Roman"/>
          <w:b/>
          <w:bCs/>
          <w:sz w:val="24"/>
          <w:szCs w:val="24"/>
        </w:rPr>
        <w:t>对公司本期利润或期后利润等的影响</w:t>
      </w:r>
    </w:p>
    <w:p w14:paraId="73AAB9F8" w14:textId="63AF58ED" w:rsidR="00E52D07" w:rsidRDefault="00ED68B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宋体" w:eastAsia="宋体" w:hAnsi="宋体" w:hint="eastAsia"/>
          <w:sz w:val="24"/>
          <w:szCs w:val="24"/>
          <w:shd w:val="clear" w:color="auto" w:fill="FFFFFF"/>
        </w:rPr>
        <w:t>本次诉讼判决为一审判决，目前</w:t>
      </w:r>
      <w:r>
        <w:rPr>
          <w:sz w:val="24"/>
          <w:szCs w:val="24"/>
        </w:rPr>
        <w:t>处于上诉期</w:t>
      </w:r>
      <w:bookmarkStart w:id="0" w:name="_GoBack"/>
      <w:bookmarkEnd w:id="0"/>
      <w:r>
        <w:rPr>
          <w:sz w:val="24"/>
          <w:szCs w:val="24"/>
        </w:rPr>
        <w:t>内</w:t>
      </w:r>
      <w:r>
        <w:rPr>
          <w:rFonts w:hint="eastAsia"/>
          <w:sz w:val="24"/>
          <w:szCs w:val="24"/>
        </w:rPr>
        <w:t>，</w:t>
      </w:r>
      <w:r>
        <w:rPr>
          <w:rFonts w:ascii="宋体" w:eastAsia="宋体" w:hAnsi="宋体" w:hint="eastAsia"/>
          <w:sz w:val="24"/>
          <w:szCs w:val="24"/>
          <w:shd w:val="clear" w:color="auto" w:fill="FFFFFF"/>
        </w:rPr>
        <w:t>尚未生效。公司将依法提起上诉，通过法律手段切实维护公司的合法权益，诉讼最终结果尚存在不确定性，因此无法判断本次诉讼判决结果对公司</w:t>
      </w:r>
      <w:r>
        <w:rPr>
          <w:rFonts w:hint="eastAsia"/>
          <w:sz w:val="24"/>
          <w:szCs w:val="24"/>
        </w:rPr>
        <w:t>本期或期后利润</w:t>
      </w:r>
      <w:r>
        <w:rPr>
          <w:rFonts w:ascii="宋体" w:eastAsia="宋体" w:hAnsi="宋体" w:hint="eastAsia"/>
          <w:sz w:val="24"/>
          <w:szCs w:val="24"/>
          <w:shd w:val="clear" w:color="auto" w:fill="FFFFFF"/>
        </w:rPr>
        <w:t>的影响</w:t>
      </w:r>
      <w:r>
        <w:rPr>
          <w:rFonts w:ascii="宋体" w:eastAsia="宋体" w:hAnsi="宋体"/>
          <w:sz w:val="24"/>
          <w:szCs w:val="24"/>
          <w:shd w:val="clear" w:color="auto" w:fill="FFFFFF"/>
        </w:rPr>
        <w:t>。</w:t>
      </w:r>
      <w:r>
        <w:rPr>
          <w:rFonts w:ascii="宋体" w:eastAsia="宋体" w:hAnsi="宋体" w:hint="eastAsia"/>
          <w:sz w:val="24"/>
          <w:szCs w:val="24"/>
          <w:shd w:val="clear" w:color="auto" w:fill="FFFFFF"/>
        </w:rPr>
        <w:t>公司将持续关注案件进展情况，及时履行信息披露义务，请广大投资者注意投资风险</w:t>
      </w:r>
      <w:r>
        <w:rPr>
          <w:rFonts w:ascii="Times New Roman" w:eastAsia="宋体" w:hAnsi="Times New Roman" w:cs="Times New Roman"/>
          <w:color w:val="303133"/>
          <w:sz w:val="24"/>
          <w:szCs w:val="24"/>
          <w:shd w:val="clear" w:color="auto" w:fill="FFFFFF"/>
        </w:rPr>
        <w:t>。</w:t>
      </w:r>
    </w:p>
    <w:p w14:paraId="5AC19669" w14:textId="77777777" w:rsidR="00E52D07" w:rsidRDefault="00E52D07">
      <w:pPr>
        <w:spacing w:line="360" w:lineRule="auto"/>
        <w:ind w:firstLineChars="200" w:firstLine="480"/>
        <w:rPr>
          <w:rFonts w:ascii="Times New Roman" w:eastAsia="宋体" w:hAnsi="Times New Roman" w:cs="Times New Roman"/>
          <w:color w:val="303133"/>
          <w:sz w:val="24"/>
          <w:szCs w:val="24"/>
          <w:shd w:val="clear" w:color="auto" w:fill="FFFFFF"/>
        </w:rPr>
      </w:pPr>
    </w:p>
    <w:p w14:paraId="719217BE" w14:textId="77777777" w:rsidR="00E52D07" w:rsidRDefault="00ED68BF">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特此公告。</w:t>
      </w:r>
    </w:p>
    <w:p w14:paraId="460C23AE" w14:textId="77777777" w:rsidR="00E52D07" w:rsidRDefault="00E52D07">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5194BDC3" w14:textId="77777777" w:rsidR="00E52D07" w:rsidRDefault="00ED68BF">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5240D4A1" w14:textId="58F37149" w:rsidR="00E52D07" w:rsidRDefault="00ED68BF">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2025年4月</w:t>
      </w:r>
      <w:r w:rsidR="00B76998">
        <w:rPr>
          <w:rFonts w:ascii="宋体" w:eastAsia="宋体" w:hAnsi="宋体" w:cs="Times New Roman" w:hint="eastAsia"/>
          <w:bCs/>
          <w:kern w:val="0"/>
          <w:sz w:val="24"/>
          <w:szCs w:val="24"/>
        </w:rPr>
        <w:t>26</w:t>
      </w:r>
      <w:r>
        <w:rPr>
          <w:rFonts w:ascii="宋体" w:eastAsia="宋体" w:hAnsi="宋体" w:cs="Times New Roman" w:hint="eastAsia"/>
          <w:bCs/>
          <w:kern w:val="0"/>
          <w:sz w:val="24"/>
          <w:szCs w:val="24"/>
        </w:rPr>
        <w:t>日</w:t>
      </w:r>
    </w:p>
    <w:sectPr w:rsidR="00E52D0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909B7" w14:textId="77777777" w:rsidR="00905DED" w:rsidRDefault="00905DED" w:rsidP="00F6224A">
      <w:r>
        <w:separator/>
      </w:r>
    </w:p>
  </w:endnote>
  <w:endnote w:type="continuationSeparator" w:id="0">
    <w:p w14:paraId="4C45647E" w14:textId="77777777" w:rsidR="00905DED" w:rsidRDefault="00905DED" w:rsidP="00F6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92791" w14:textId="77777777" w:rsidR="00905DED" w:rsidRDefault="00905DED" w:rsidP="00F6224A">
      <w:r>
        <w:separator/>
      </w:r>
    </w:p>
  </w:footnote>
  <w:footnote w:type="continuationSeparator" w:id="0">
    <w:p w14:paraId="08AF451C" w14:textId="77777777" w:rsidR="00905DED" w:rsidRDefault="00905DED" w:rsidP="00F622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46B16"/>
    <w:multiLevelType w:val="multilevel"/>
    <w:tmpl w:val="74646B16"/>
    <w:lvl w:ilvl="0">
      <w:start w:val="1"/>
      <w:numFmt w:val="bullet"/>
      <w:pStyle w:val="a"/>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荣大">
    <w15:presenceInfo w15:providerId="None" w15:userId="荣大"/>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2311F"/>
    <w:rsid w:val="00035EC5"/>
    <w:rsid w:val="00040F4C"/>
    <w:rsid w:val="00044FD2"/>
    <w:rsid w:val="00065F52"/>
    <w:rsid w:val="000826E5"/>
    <w:rsid w:val="00084CCC"/>
    <w:rsid w:val="00087A17"/>
    <w:rsid w:val="00091907"/>
    <w:rsid w:val="00097E15"/>
    <w:rsid w:val="000E38E8"/>
    <w:rsid w:val="000F49F0"/>
    <w:rsid w:val="000F6CF3"/>
    <w:rsid w:val="00103F66"/>
    <w:rsid w:val="00115970"/>
    <w:rsid w:val="00116ACA"/>
    <w:rsid w:val="00116D65"/>
    <w:rsid w:val="001173B5"/>
    <w:rsid w:val="0012059C"/>
    <w:rsid w:val="00124508"/>
    <w:rsid w:val="0014701C"/>
    <w:rsid w:val="001737A2"/>
    <w:rsid w:val="00196867"/>
    <w:rsid w:val="0019698D"/>
    <w:rsid w:val="001B073B"/>
    <w:rsid w:val="001B2205"/>
    <w:rsid w:val="001B4AE4"/>
    <w:rsid w:val="00214000"/>
    <w:rsid w:val="00217A2D"/>
    <w:rsid w:val="00237CFC"/>
    <w:rsid w:val="002411BF"/>
    <w:rsid w:val="00247655"/>
    <w:rsid w:val="002543DE"/>
    <w:rsid w:val="00257DFD"/>
    <w:rsid w:val="00260198"/>
    <w:rsid w:val="0026145B"/>
    <w:rsid w:val="0026154C"/>
    <w:rsid w:val="002701A7"/>
    <w:rsid w:val="00276788"/>
    <w:rsid w:val="0028758D"/>
    <w:rsid w:val="00296098"/>
    <w:rsid w:val="002979E6"/>
    <w:rsid w:val="002A285B"/>
    <w:rsid w:val="002A3DE8"/>
    <w:rsid w:val="002B1B58"/>
    <w:rsid w:val="002B3A6C"/>
    <w:rsid w:val="002C284E"/>
    <w:rsid w:val="002D1CD9"/>
    <w:rsid w:val="002D2F58"/>
    <w:rsid w:val="002D6353"/>
    <w:rsid w:val="002E2EC9"/>
    <w:rsid w:val="002F2F22"/>
    <w:rsid w:val="002F6974"/>
    <w:rsid w:val="0030539B"/>
    <w:rsid w:val="00306551"/>
    <w:rsid w:val="003227D3"/>
    <w:rsid w:val="00340DC3"/>
    <w:rsid w:val="0034519B"/>
    <w:rsid w:val="0034610C"/>
    <w:rsid w:val="003614DE"/>
    <w:rsid w:val="0036389D"/>
    <w:rsid w:val="00364005"/>
    <w:rsid w:val="00375092"/>
    <w:rsid w:val="003B7367"/>
    <w:rsid w:val="003B7406"/>
    <w:rsid w:val="003C6315"/>
    <w:rsid w:val="003D2218"/>
    <w:rsid w:val="003D3DB2"/>
    <w:rsid w:val="003E1606"/>
    <w:rsid w:val="003F38EB"/>
    <w:rsid w:val="0040120E"/>
    <w:rsid w:val="004067C3"/>
    <w:rsid w:val="00417039"/>
    <w:rsid w:val="00434EE1"/>
    <w:rsid w:val="0044477F"/>
    <w:rsid w:val="00444CF7"/>
    <w:rsid w:val="00445FA8"/>
    <w:rsid w:val="00450649"/>
    <w:rsid w:val="004F0AA8"/>
    <w:rsid w:val="004F1BE7"/>
    <w:rsid w:val="004F770E"/>
    <w:rsid w:val="00501827"/>
    <w:rsid w:val="005155E4"/>
    <w:rsid w:val="00516248"/>
    <w:rsid w:val="00520F56"/>
    <w:rsid w:val="00524BD6"/>
    <w:rsid w:val="00535483"/>
    <w:rsid w:val="00553718"/>
    <w:rsid w:val="00571367"/>
    <w:rsid w:val="0057673F"/>
    <w:rsid w:val="00581ABA"/>
    <w:rsid w:val="005828A7"/>
    <w:rsid w:val="00585C7E"/>
    <w:rsid w:val="00592C27"/>
    <w:rsid w:val="00596529"/>
    <w:rsid w:val="005A5327"/>
    <w:rsid w:val="005A6588"/>
    <w:rsid w:val="005C7A1D"/>
    <w:rsid w:val="005D617E"/>
    <w:rsid w:val="005E3E57"/>
    <w:rsid w:val="005E4C67"/>
    <w:rsid w:val="005E66A3"/>
    <w:rsid w:val="005E7C6A"/>
    <w:rsid w:val="006075A2"/>
    <w:rsid w:val="00615B5E"/>
    <w:rsid w:val="00623EBE"/>
    <w:rsid w:val="006325EB"/>
    <w:rsid w:val="006342A2"/>
    <w:rsid w:val="00653E58"/>
    <w:rsid w:val="00657B15"/>
    <w:rsid w:val="00693A3D"/>
    <w:rsid w:val="00694C2B"/>
    <w:rsid w:val="006B6F57"/>
    <w:rsid w:val="006C14F5"/>
    <w:rsid w:val="006C2021"/>
    <w:rsid w:val="006E567A"/>
    <w:rsid w:val="00704D04"/>
    <w:rsid w:val="00716999"/>
    <w:rsid w:val="007229CE"/>
    <w:rsid w:val="00731A06"/>
    <w:rsid w:val="00734386"/>
    <w:rsid w:val="0074367C"/>
    <w:rsid w:val="00763435"/>
    <w:rsid w:val="00766088"/>
    <w:rsid w:val="007669D0"/>
    <w:rsid w:val="00776C6E"/>
    <w:rsid w:val="007852A8"/>
    <w:rsid w:val="007B3A8C"/>
    <w:rsid w:val="007E1A44"/>
    <w:rsid w:val="007E5B97"/>
    <w:rsid w:val="007E61E7"/>
    <w:rsid w:val="0081094B"/>
    <w:rsid w:val="00813C56"/>
    <w:rsid w:val="00816C4A"/>
    <w:rsid w:val="00824AFD"/>
    <w:rsid w:val="0083007B"/>
    <w:rsid w:val="00835FD8"/>
    <w:rsid w:val="00845DFB"/>
    <w:rsid w:val="00852D91"/>
    <w:rsid w:val="00865983"/>
    <w:rsid w:val="00865EAC"/>
    <w:rsid w:val="00893769"/>
    <w:rsid w:val="00897649"/>
    <w:rsid w:val="008A6E06"/>
    <w:rsid w:val="008C6C31"/>
    <w:rsid w:val="008D20D2"/>
    <w:rsid w:val="008E1875"/>
    <w:rsid w:val="008E22C9"/>
    <w:rsid w:val="00905DED"/>
    <w:rsid w:val="00932DF8"/>
    <w:rsid w:val="00933EFF"/>
    <w:rsid w:val="00941AF2"/>
    <w:rsid w:val="009667F7"/>
    <w:rsid w:val="00972051"/>
    <w:rsid w:val="0097612C"/>
    <w:rsid w:val="00983D45"/>
    <w:rsid w:val="009B2FD2"/>
    <w:rsid w:val="009B5301"/>
    <w:rsid w:val="009C2773"/>
    <w:rsid w:val="009D7DD6"/>
    <w:rsid w:val="009E04C6"/>
    <w:rsid w:val="009F3A7C"/>
    <w:rsid w:val="009F704E"/>
    <w:rsid w:val="00A06C48"/>
    <w:rsid w:val="00A21A11"/>
    <w:rsid w:val="00A25082"/>
    <w:rsid w:val="00A36D5D"/>
    <w:rsid w:val="00A43BAB"/>
    <w:rsid w:val="00A62DCA"/>
    <w:rsid w:val="00A67F6D"/>
    <w:rsid w:val="00AC3163"/>
    <w:rsid w:val="00AC4580"/>
    <w:rsid w:val="00AC5051"/>
    <w:rsid w:val="00AC5A7F"/>
    <w:rsid w:val="00AE20DF"/>
    <w:rsid w:val="00AE3AB4"/>
    <w:rsid w:val="00AF016D"/>
    <w:rsid w:val="00AF77CE"/>
    <w:rsid w:val="00B425E0"/>
    <w:rsid w:val="00B70893"/>
    <w:rsid w:val="00B76998"/>
    <w:rsid w:val="00B80D41"/>
    <w:rsid w:val="00B95785"/>
    <w:rsid w:val="00BA7D03"/>
    <w:rsid w:val="00BD1952"/>
    <w:rsid w:val="00BD2398"/>
    <w:rsid w:val="00BD3D76"/>
    <w:rsid w:val="00BE2B11"/>
    <w:rsid w:val="00BE3A95"/>
    <w:rsid w:val="00BE625B"/>
    <w:rsid w:val="00BF3388"/>
    <w:rsid w:val="00BF750A"/>
    <w:rsid w:val="00C01768"/>
    <w:rsid w:val="00C05539"/>
    <w:rsid w:val="00C22C13"/>
    <w:rsid w:val="00C237BC"/>
    <w:rsid w:val="00C60F61"/>
    <w:rsid w:val="00C66F65"/>
    <w:rsid w:val="00C80504"/>
    <w:rsid w:val="00C8176A"/>
    <w:rsid w:val="00CA4337"/>
    <w:rsid w:val="00CB1175"/>
    <w:rsid w:val="00CD0120"/>
    <w:rsid w:val="00CD61AC"/>
    <w:rsid w:val="00CF0893"/>
    <w:rsid w:val="00D034A3"/>
    <w:rsid w:val="00D10833"/>
    <w:rsid w:val="00D10EDF"/>
    <w:rsid w:val="00D1618B"/>
    <w:rsid w:val="00D4178F"/>
    <w:rsid w:val="00D5009F"/>
    <w:rsid w:val="00D650ED"/>
    <w:rsid w:val="00D76C6D"/>
    <w:rsid w:val="00DB38DB"/>
    <w:rsid w:val="00DC245F"/>
    <w:rsid w:val="00DD008F"/>
    <w:rsid w:val="00DE06BF"/>
    <w:rsid w:val="00DE3495"/>
    <w:rsid w:val="00E00BD5"/>
    <w:rsid w:val="00E00CFD"/>
    <w:rsid w:val="00E15DCC"/>
    <w:rsid w:val="00E172EB"/>
    <w:rsid w:val="00E44187"/>
    <w:rsid w:val="00E52D07"/>
    <w:rsid w:val="00E70E2E"/>
    <w:rsid w:val="00E7655E"/>
    <w:rsid w:val="00E85022"/>
    <w:rsid w:val="00E9709A"/>
    <w:rsid w:val="00EA482E"/>
    <w:rsid w:val="00EB45D1"/>
    <w:rsid w:val="00ED68BF"/>
    <w:rsid w:val="00ED73DE"/>
    <w:rsid w:val="00EE3AE4"/>
    <w:rsid w:val="00EE66A9"/>
    <w:rsid w:val="00EE690F"/>
    <w:rsid w:val="00F3025B"/>
    <w:rsid w:val="00F31E6F"/>
    <w:rsid w:val="00F400E9"/>
    <w:rsid w:val="00F42C4C"/>
    <w:rsid w:val="00F606B8"/>
    <w:rsid w:val="00F6224A"/>
    <w:rsid w:val="00F649A5"/>
    <w:rsid w:val="00F93295"/>
    <w:rsid w:val="00F96FED"/>
    <w:rsid w:val="00FA0616"/>
    <w:rsid w:val="00FA15D7"/>
    <w:rsid w:val="00FB2780"/>
    <w:rsid w:val="00FC7926"/>
    <w:rsid w:val="00FD3917"/>
    <w:rsid w:val="05D90BCF"/>
    <w:rsid w:val="12A367ED"/>
    <w:rsid w:val="18367117"/>
    <w:rsid w:val="283261F1"/>
    <w:rsid w:val="2EF53BBB"/>
    <w:rsid w:val="53826497"/>
    <w:rsid w:val="57415259"/>
    <w:rsid w:val="69280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9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semiHidden/>
    <w:unhideWhenUsed/>
    <w:pPr>
      <w:jc w:val="left"/>
    </w:pPr>
  </w:style>
  <w:style w:type="paragraph" w:styleId="a5">
    <w:name w:val="Balloon Text"/>
    <w:basedOn w:val="a0"/>
    <w:link w:val="Char0"/>
    <w:uiPriority w:val="99"/>
    <w:semiHidden/>
    <w:unhideWhenUsed/>
    <w:rPr>
      <w:sz w:val="18"/>
      <w:szCs w:val="18"/>
    </w:rPr>
  </w:style>
  <w:style w:type="paragraph" w:styleId="a6">
    <w:name w:val="footer"/>
    <w:basedOn w:val="a0"/>
    <w:link w:val="Char1"/>
    <w:uiPriority w:val="99"/>
    <w:unhideWhenUsed/>
    <w:pPr>
      <w:tabs>
        <w:tab w:val="center" w:pos="4153"/>
        <w:tab w:val="right" w:pos="8306"/>
      </w:tabs>
      <w:snapToGrid w:val="0"/>
      <w:jc w:val="left"/>
    </w:pPr>
    <w:rPr>
      <w:sz w:val="18"/>
      <w:szCs w:val="18"/>
    </w:rPr>
  </w:style>
  <w:style w:type="paragraph" w:styleId="a7">
    <w:name w:val="header"/>
    <w:basedOn w:val="a0"/>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uiPriority w:val="99"/>
    <w:semiHidden/>
    <w:unhideWhenUsed/>
    <w:rPr>
      <w:b/>
      <w:bCs/>
    </w:rPr>
  </w:style>
  <w:style w:type="character" w:styleId="aa">
    <w:name w:val="annotation reference"/>
    <w:basedOn w:val="a1"/>
    <w:uiPriority w:val="99"/>
    <w:semiHidden/>
    <w:unhideWhenUsed/>
    <w:qFormat/>
    <w:rPr>
      <w:sz w:val="21"/>
      <w:szCs w:val="21"/>
    </w:rPr>
  </w:style>
  <w:style w:type="character" w:customStyle="1" w:styleId="Char2">
    <w:name w:val="页眉 Char"/>
    <w:basedOn w:val="a1"/>
    <w:link w:val="a7"/>
    <w:uiPriority w:val="99"/>
    <w:rPr>
      <w:kern w:val="2"/>
      <w:sz w:val="18"/>
      <w:szCs w:val="18"/>
    </w:rPr>
  </w:style>
  <w:style w:type="character" w:customStyle="1" w:styleId="Char1">
    <w:name w:val="页脚 Char"/>
    <w:basedOn w:val="a1"/>
    <w:link w:val="a6"/>
    <w:uiPriority w:val="99"/>
    <w:rPr>
      <w:kern w:val="2"/>
      <w:sz w:val="18"/>
      <w:szCs w:val="18"/>
    </w:rPr>
  </w:style>
  <w:style w:type="character" w:customStyle="1" w:styleId="Char">
    <w:name w:val="批注文字 Char"/>
    <w:basedOn w:val="a1"/>
    <w:link w:val="a4"/>
    <w:uiPriority w:val="99"/>
    <w:semiHidden/>
    <w:rPr>
      <w:kern w:val="2"/>
      <w:sz w:val="21"/>
      <w:szCs w:val="22"/>
    </w:rPr>
  </w:style>
  <w:style w:type="character" w:customStyle="1" w:styleId="Char3">
    <w:name w:val="批注主题 Char"/>
    <w:basedOn w:val="Char"/>
    <w:link w:val="a9"/>
    <w:uiPriority w:val="99"/>
    <w:semiHidden/>
    <w:rPr>
      <w:b/>
      <w:bCs/>
      <w:kern w:val="2"/>
      <w:sz w:val="21"/>
      <w:szCs w:val="22"/>
    </w:rPr>
  </w:style>
  <w:style w:type="character" w:customStyle="1" w:styleId="Char0">
    <w:name w:val="批注框文本 Char"/>
    <w:basedOn w:val="a1"/>
    <w:link w:val="a5"/>
    <w:uiPriority w:val="99"/>
    <w:semiHidden/>
    <w:rPr>
      <w:kern w:val="2"/>
      <w:sz w:val="18"/>
      <w:szCs w:val="18"/>
    </w:rPr>
  </w:style>
  <w:style w:type="paragraph" w:styleId="a">
    <w:name w:val="List Paragraph"/>
    <w:basedOn w:val="a0"/>
    <w:autoRedefine/>
    <w:uiPriority w:val="34"/>
    <w:qFormat/>
    <w:pPr>
      <w:numPr>
        <w:numId w:val="1"/>
      </w:numPr>
      <w:spacing w:before="100" w:beforeAutospacing="1" w:line="360" w:lineRule="auto"/>
      <w:ind w:left="0" w:firstLine="420"/>
    </w:pPr>
  </w:style>
  <w:style w:type="paragraph" w:customStyle="1" w:styleId="1">
    <w:name w:val="修订1"/>
    <w:hidden/>
    <w:uiPriority w:val="99"/>
    <w:semiHidden/>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5CE56F-EA73-4B9A-A7F0-D8F434BD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632</Words>
  <Characters>811</Characters>
  <Application>Microsoft Office Word</Application>
  <DocSecurity>0</DocSecurity>
  <Lines>90</Lines>
  <Paragraphs>84</Paragraphs>
  <ScaleCrop>false</ScaleCrop>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151</cp:revision>
  <cp:lastPrinted>2024-11-04T07:11:00Z</cp:lastPrinted>
  <dcterms:created xsi:type="dcterms:W3CDTF">2020-02-24T08:42:00Z</dcterms:created>
  <dcterms:modified xsi:type="dcterms:W3CDTF">2025-04-25T03:47:00Z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eyJoZGlkIjoiYjk0OThlNTJkMDU5Njk2OGYyMzdiNWZiNmU0NDk1YmMiLCJ1c2VySWQiOiIzNDE2ODQyOTAifQ==</vt:lpwstr>
  </property>
  <property fmtid="{D5CDD505-2E9C-101B-9397-08002B2CF9AE}" pid="4" name="ICV">
    <vt:lpwstr>D586015022F14839B89064566ACA1529_12</vt:lpwstr>
  </property>
</Properties>
</file>