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134" w:rsidRDefault="00427F7C">
      <w:pPr>
        <w:rPr>
          <w:rFonts w:asciiTheme="minorEastAsia" w:hAnsiTheme="minorEastAsia" w:cstheme="minorEastAsia"/>
        </w:rPr>
      </w:pPr>
      <w:r>
        <w:rPr>
          <w:rFonts w:asciiTheme="minorEastAsia" w:hAnsiTheme="minorEastAsia" w:cstheme="minorEastAsia" w:hint="eastAsia"/>
          <w:b/>
          <w:bCs/>
          <w:sz w:val="24"/>
        </w:rPr>
        <w:t xml:space="preserve">证券代码：603815        </w:t>
      </w:r>
      <w:r>
        <w:rPr>
          <w:rFonts w:asciiTheme="minorEastAsia" w:hAnsiTheme="minorEastAsia" w:cstheme="minorEastAsia"/>
          <w:b/>
          <w:bCs/>
          <w:sz w:val="24"/>
        </w:rPr>
        <w:t xml:space="preserve">   </w:t>
      </w:r>
      <w:r>
        <w:rPr>
          <w:rFonts w:asciiTheme="minorEastAsia" w:hAnsiTheme="minorEastAsia" w:cstheme="minorEastAsia" w:hint="eastAsia"/>
          <w:b/>
          <w:bCs/>
          <w:sz w:val="24"/>
        </w:rPr>
        <w:t>证券简称：</w:t>
      </w:r>
      <w:proofErr w:type="gramStart"/>
      <w:r>
        <w:rPr>
          <w:rFonts w:asciiTheme="minorEastAsia" w:hAnsiTheme="minorEastAsia" w:cstheme="minorEastAsia" w:hint="eastAsia"/>
          <w:b/>
          <w:bCs/>
          <w:sz w:val="24"/>
        </w:rPr>
        <w:t>交建</w:t>
      </w:r>
      <w:r>
        <w:rPr>
          <w:rFonts w:asciiTheme="minorEastAsia" w:hAnsiTheme="minorEastAsia" w:cstheme="minorEastAsia"/>
          <w:b/>
          <w:bCs/>
          <w:sz w:val="24"/>
        </w:rPr>
        <w:t>股份</w:t>
      </w:r>
      <w:proofErr w:type="gramEnd"/>
      <w:r>
        <w:rPr>
          <w:rFonts w:asciiTheme="minorEastAsia" w:hAnsiTheme="minorEastAsia" w:cstheme="minorEastAsia" w:hint="eastAsia"/>
          <w:b/>
          <w:bCs/>
          <w:sz w:val="24"/>
        </w:rPr>
        <w:t xml:space="preserve">      </w:t>
      </w:r>
      <w:r>
        <w:rPr>
          <w:rFonts w:asciiTheme="minorEastAsia" w:hAnsiTheme="minorEastAsia" w:cstheme="minorEastAsia"/>
          <w:b/>
          <w:bCs/>
          <w:sz w:val="24"/>
        </w:rPr>
        <w:t xml:space="preserve"> </w:t>
      </w:r>
      <w:r>
        <w:rPr>
          <w:rFonts w:asciiTheme="minorEastAsia" w:hAnsiTheme="minorEastAsia" w:cstheme="minorEastAsia" w:hint="eastAsia"/>
          <w:b/>
          <w:bCs/>
          <w:sz w:val="24"/>
        </w:rPr>
        <w:t>公告编号：2</w:t>
      </w:r>
      <w:r>
        <w:rPr>
          <w:rFonts w:asciiTheme="minorEastAsia" w:hAnsiTheme="minorEastAsia" w:cstheme="minorEastAsia"/>
          <w:b/>
          <w:bCs/>
          <w:sz w:val="24"/>
        </w:rPr>
        <w:t>0</w:t>
      </w:r>
      <w:r>
        <w:rPr>
          <w:rFonts w:asciiTheme="minorEastAsia" w:hAnsiTheme="minorEastAsia" w:cstheme="minorEastAsia" w:hint="eastAsia"/>
          <w:b/>
          <w:bCs/>
          <w:sz w:val="24"/>
        </w:rPr>
        <w:t>2</w:t>
      </w:r>
      <w:r w:rsidR="0002547F">
        <w:rPr>
          <w:rFonts w:asciiTheme="minorEastAsia" w:hAnsiTheme="minorEastAsia" w:cstheme="minorEastAsia" w:hint="eastAsia"/>
          <w:b/>
          <w:bCs/>
          <w:sz w:val="24"/>
        </w:rPr>
        <w:t>5</w:t>
      </w:r>
      <w:r>
        <w:rPr>
          <w:rFonts w:asciiTheme="minorEastAsia" w:hAnsiTheme="minorEastAsia" w:cstheme="minorEastAsia"/>
          <w:b/>
          <w:bCs/>
          <w:sz w:val="24"/>
        </w:rPr>
        <w:t>-</w:t>
      </w:r>
      <w:r>
        <w:rPr>
          <w:rFonts w:asciiTheme="minorEastAsia" w:hAnsiTheme="minorEastAsia" w:cstheme="minorEastAsia" w:hint="eastAsia"/>
          <w:b/>
          <w:bCs/>
          <w:sz w:val="24"/>
        </w:rPr>
        <w:t>0</w:t>
      </w:r>
      <w:r w:rsidR="0002547F">
        <w:rPr>
          <w:rFonts w:asciiTheme="minorEastAsia" w:hAnsiTheme="minorEastAsia" w:cstheme="minorEastAsia" w:hint="eastAsia"/>
          <w:b/>
          <w:bCs/>
          <w:sz w:val="24"/>
        </w:rPr>
        <w:t>04</w:t>
      </w:r>
      <w:r>
        <w:rPr>
          <w:rFonts w:asciiTheme="minorEastAsia" w:hAnsiTheme="minorEastAsia" w:cstheme="minorEastAsia" w:hint="eastAsia"/>
        </w:rPr>
        <w:t xml:space="preserve"> </w:t>
      </w:r>
    </w:p>
    <w:p w:rsidR="00877134" w:rsidRDefault="00427F7C" w:rsidP="0002547F">
      <w:pPr>
        <w:spacing w:beforeLines="150" w:before="468"/>
        <w:jc w:val="center"/>
        <w:rPr>
          <w:rFonts w:ascii="黑体" w:eastAsia="黑体" w:hAnsi="黑体" w:cstheme="minorEastAsia"/>
          <w:b/>
          <w:bCs/>
          <w:sz w:val="36"/>
          <w:szCs w:val="36"/>
        </w:rPr>
      </w:pPr>
      <w:r>
        <w:rPr>
          <w:rFonts w:ascii="黑体" w:eastAsia="黑体" w:hAnsi="黑体" w:cstheme="minorEastAsia" w:hint="eastAsia"/>
          <w:b/>
          <w:bCs/>
          <w:sz w:val="36"/>
          <w:szCs w:val="36"/>
        </w:rPr>
        <w:t>安徽省交通建设股份有限公司</w:t>
      </w:r>
    </w:p>
    <w:p w:rsidR="00877134" w:rsidRPr="00006014" w:rsidRDefault="00427F7C" w:rsidP="00006014">
      <w:pPr>
        <w:spacing w:after="100" w:afterAutospacing="1"/>
        <w:jc w:val="center"/>
        <w:rPr>
          <w:rFonts w:ascii="黑体" w:eastAsia="黑体" w:hAnsi="黑体" w:cstheme="minorEastAsia"/>
          <w:b/>
          <w:bCs/>
          <w:sz w:val="36"/>
          <w:szCs w:val="36"/>
        </w:rPr>
      </w:pPr>
      <w:r>
        <w:rPr>
          <w:rFonts w:ascii="黑体" w:eastAsia="黑体" w:hAnsi="黑体" w:cstheme="minorEastAsia" w:hint="eastAsia"/>
          <w:b/>
          <w:bCs/>
          <w:sz w:val="36"/>
          <w:szCs w:val="36"/>
        </w:rPr>
        <w:t>股票交易异常波动公告</w:t>
      </w:r>
    </w:p>
    <w:p w:rsidR="00877134" w:rsidRDefault="00427F7C">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rFonts w:asciiTheme="minorEastAsia" w:hAnsiTheme="minorEastAsia" w:cstheme="minorEastAsia"/>
          <w:color w:val="000000"/>
          <w:sz w:val="24"/>
        </w:rPr>
      </w:pPr>
      <w:r>
        <w:rPr>
          <w:rFonts w:asciiTheme="minorEastAsia" w:hAnsiTheme="minorEastAsia" w:cstheme="minorEastAsia" w:hint="eastAsia"/>
        </w:rPr>
        <w:t xml:space="preserve"> </w:t>
      </w:r>
      <w:r>
        <w:rPr>
          <w:rFonts w:asciiTheme="minorEastAsia" w:hAnsiTheme="minorEastAsia" w:cstheme="minorEastAsia" w:hint="eastAsia"/>
          <w:color w:val="000000"/>
          <w:sz w:val="24"/>
        </w:rPr>
        <w:t>本公司董事会及全体董事保证本公告内容不存在任何虚假记载、误导性陈述或者</w:t>
      </w:r>
      <w:r w:rsidR="0002547F">
        <w:rPr>
          <w:rFonts w:asciiTheme="minorEastAsia" w:hAnsiTheme="minorEastAsia" w:cstheme="minorEastAsia" w:hint="eastAsia"/>
          <w:color w:val="000000"/>
          <w:sz w:val="24"/>
        </w:rPr>
        <w:t>重大遗漏，</w:t>
      </w:r>
      <w:r w:rsidR="0002547F" w:rsidRPr="0036389D">
        <w:rPr>
          <w:rFonts w:ascii="宋体" w:eastAsia="宋体" w:hAnsi="宋体" w:hint="eastAsia"/>
          <w:sz w:val="24"/>
        </w:rPr>
        <w:t>并对其内容的真实性、准确性和完整性承担法律责任。</w:t>
      </w:r>
    </w:p>
    <w:p w:rsidR="00877134" w:rsidRDefault="00877134">
      <w:pPr>
        <w:tabs>
          <w:tab w:val="left" w:pos="0"/>
        </w:tabs>
        <w:autoSpaceDE w:val="0"/>
        <w:autoSpaceDN w:val="0"/>
        <w:adjustRightInd w:val="0"/>
        <w:snapToGrid w:val="0"/>
        <w:spacing w:line="360" w:lineRule="auto"/>
        <w:ind w:firstLineChars="200" w:firstLine="482"/>
        <w:rPr>
          <w:rFonts w:asciiTheme="minorEastAsia" w:hAnsiTheme="minorEastAsia" w:cstheme="minorEastAsia"/>
          <w:b/>
          <w:kern w:val="0"/>
          <w:sz w:val="24"/>
          <w:highlight w:val="yellow"/>
        </w:rPr>
      </w:pPr>
    </w:p>
    <w:p w:rsidR="00877134" w:rsidRDefault="00427F7C">
      <w:pPr>
        <w:tabs>
          <w:tab w:val="left" w:pos="0"/>
        </w:tabs>
        <w:autoSpaceDE w:val="0"/>
        <w:autoSpaceDN w:val="0"/>
        <w:adjustRightInd w:val="0"/>
        <w:snapToGrid w:val="0"/>
        <w:spacing w:line="360" w:lineRule="auto"/>
        <w:ind w:firstLineChars="200" w:firstLine="482"/>
        <w:rPr>
          <w:rFonts w:asciiTheme="minorEastAsia" w:hAnsiTheme="minorEastAsia" w:cstheme="minorEastAsia"/>
          <w:b/>
          <w:kern w:val="0"/>
          <w:sz w:val="24"/>
        </w:rPr>
      </w:pPr>
      <w:r>
        <w:rPr>
          <w:rFonts w:asciiTheme="minorEastAsia" w:hAnsiTheme="minorEastAsia" w:cstheme="minorEastAsia" w:hint="eastAsia"/>
          <w:b/>
          <w:kern w:val="0"/>
          <w:sz w:val="24"/>
        </w:rPr>
        <w:t>重要内容提示：</w:t>
      </w:r>
    </w:p>
    <w:p w:rsidR="00877134" w:rsidRDefault="00B706C5">
      <w:pPr>
        <w:numPr>
          <w:ilvl w:val="0"/>
          <w:numId w:val="1"/>
        </w:numPr>
        <w:spacing w:line="360" w:lineRule="auto"/>
        <w:rPr>
          <w:rFonts w:asciiTheme="minorEastAsia" w:hAnsiTheme="minorEastAsia" w:cstheme="minorEastAsia"/>
          <w:sz w:val="24"/>
        </w:rPr>
      </w:pPr>
      <w:r>
        <w:rPr>
          <w:rFonts w:asciiTheme="minorEastAsia" w:hAnsiTheme="minorEastAsia" w:cstheme="minorEastAsia" w:hint="eastAsia"/>
          <w:sz w:val="24"/>
        </w:rPr>
        <w:t>安徽省交通建设股份有限公司（以下简称“公司”）股票于2025年1月6日、1月7日</w:t>
      </w:r>
      <w:r w:rsidR="00427F7C">
        <w:rPr>
          <w:rFonts w:asciiTheme="minorEastAsia" w:hAnsiTheme="minorEastAsia" w:cstheme="minorEastAsia" w:hint="eastAsia"/>
          <w:sz w:val="24"/>
        </w:rPr>
        <w:t>连续</w:t>
      </w:r>
      <w:r w:rsidR="008378E1">
        <w:rPr>
          <w:rFonts w:asciiTheme="minorEastAsia" w:hAnsiTheme="minorEastAsia" w:cstheme="minorEastAsia" w:hint="eastAsia"/>
          <w:sz w:val="24"/>
        </w:rPr>
        <w:t>2</w:t>
      </w:r>
      <w:r w:rsidR="00427F7C">
        <w:rPr>
          <w:rFonts w:asciiTheme="minorEastAsia" w:hAnsiTheme="minorEastAsia" w:cstheme="minorEastAsia" w:hint="eastAsia"/>
          <w:sz w:val="24"/>
        </w:rPr>
        <w:t>个交易日内收盘价格涨幅</w:t>
      </w:r>
      <w:proofErr w:type="gramStart"/>
      <w:r w:rsidR="00427F7C">
        <w:rPr>
          <w:rFonts w:asciiTheme="minorEastAsia" w:hAnsiTheme="minorEastAsia" w:cstheme="minorEastAsia" w:hint="eastAsia"/>
          <w:sz w:val="24"/>
        </w:rPr>
        <w:t>偏离值</w:t>
      </w:r>
      <w:proofErr w:type="gramEnd"/>
      <w:r w:rsidR="00427F7C">
        <w:rPr>
          <w:rFonts w:asciiTheme="minorEastAsia" w:hAnsiTheme="minorEastAsia" w:cstheme="minorEastAsia" w:hint="eastAsia"/>
          <w:sz w:val="24"/>
        </w:rPr>
        <w:t xml:space="preserve">累计超过20%，根据《上海证券交易所交易规则》的有关规定，属于股票交易异常波动情况。 </w:t>
      </w:r>
    </w:p>
    <w:p w:rsidR="00877134" w:rsidRPr="00734B4E" w:rsidRDefault="00427F7C" w:rsidP="00734B4E">
      <w:pPr>
        <w:numPr>
          <w:ilvl w:val="0"/>
          <w:numId w:val="1"/>
        </w:numPr>
        <w:spacing w:line="360" w:lineRule="auto"/>
        <w:rPr>
          <w:rFonts w:asciiTheme="minorEastAsia" w:hAnsiTheme="minorEastAsia" w:cstheme="minorEastAsia"/>
          <w:sz w:val="24"/>
        </w:rPr>
      </w:pPr>
      <w:r>
        <w:rPr>
          <w:rFonts w:asciiTheme="minorEastAsia" w:hAnsiTheme="minorEastAsia" w:cstheme="minorEastAsia" w:hint="eastAsia"/>
          <w:sz w:val="24"/>
        </w:rPr>
        <w:t>经公司自查并向控股股东、实际控制人书面发函查证，截止本公告披露日，</w:t>
      </w:r>
      <w:r w:rsidR="00734B4E" w:rsidRPr="00734B4E">
        <w:rPr>
          <w:rFonts w:asciiTheme="minorEastAsia" w:hAnsiTheme="minorEastAsia" w:cstheme="minorEastAsia" w:hint="eastAsia"/>
          <w:sz w:val="24"/>
        </w:rPr>
        <w:t>除</w:t>
      </w:r>
      <w:proofErr w:type="gramStart"/>
      <w:r w:rsidR="00734B4E" w:rsidRPr="00734B4E">
        <w:rPr>
          <w:rFonts w:asciiTheme="minorEastAsia" w:hAnsiTheme="minorEastAsia" w:cstheme="minorEastAsia" w:hint="eastAsia"/>
          <w:sz w:val="24"/>
        </w:rPr>
        <w:t>以下已</w:t>
      </w:r>
      <w:proofErr w:type="gramEnd"/>
      <w:r w:rsidR="00734B4E" w:rsidRPr="00734B4E">
        <w:rPr>
          <w:rFonts w:asciiTheme="minorEastAsia" w:hAnsiTheme="minorEastAsia" w:cstheme="minorEastAsia" w:hint="eastAsia"/>
          <w:sz w:val="24"/>
        </w:rPr>
        <w:t>披露事项外，公司及控股股东不存在涉及公司的应披露而未披露的重大事项。为了拓宽公司经营业务布局，加强非洲区域的市场拓展及培育新的业务机会，公司与合资方计划共同出资10,000万元设立合资公司（公司股权占比80%），聚焦埃塞俄比亚的咖啡豆进口销售及深加工业务，具体详见公司于同日披露的《安徽交通建设股份有限公司关于对外投资设立合资公司的公告》（公告编号：2025-006）</w:t>
      </w:r>
    </w:p>
    <w:p w:rsidR="001151CE" w:rsidRDefault="001151CE" w:rsidP="001151CE">
      <w:pPr>
        <w:numPr>
          <w:ilvl w:val="0"/>
          <w:numId w:val="1"/>
        </w:numPr>
        <w:spacing w:line="360" w:lineRule="auto"/>
        <w:rPr>
          <w:rFonts w:asciiTheme="minorEastAsia" w:hAnsiTheme="minorEastAsia" w:cstheme="minorEastAsia"/>
          <w:sz w:val="24"/>
        </w:rPr>
      </w:pPr>
      <w:r w:rsidRPr="001151CE">
        <w:rPr>
          <w:rFonts w:asciiTheme="minorEastAsia" w:hAnsiTheme="minorEastAsia" w:cstheme="minorEastAsia" w:hint="eastAsia"/>
          <w:sz w:val="24"/>
        </w:rPr>
        <w:t>二级市场交易风险：根据中证指数</w:t>
      </w:r>
      <w:proofErr w:type="gramStart"/>
      <w:r w:rsidRPr="001151CE">
        <w:rPr>
          <w:rFonts w:asciiTheme="minorEastAsia" w:hAnsiTheme="minorEastAsia" w:cstheme="minorEastAsia" w:hint="eastAsia"/>
          <w:sz w:val="24"/>
        </w:rPr>
        <w:t>有限</w:t>
      </w:r>
      <w:bookmarkStart w:id="0" w:name="_GoBack"/>
      <w:bookmarkEnd w:id="0"/>
      <w:r w:rsidRPr="001151CE">
        <w:rPr>
          <w:rFonts w:asciiTheme="minorEastAsia" w:hAnsiTheme="minorEastAsia" w:cstheme="minorEastAsia" w:hint="eastAsia"/>
          <w:sz w:val="24"/>
        </w:rPr>
        <w:t>公司官网发布</w:t>
      </w:r>
      <w:proofErr w:type="gramEnd"/>
      <w:r w:rsidRPr="001151CE">
        <w:rPr>
          <w:rFonts w:asciiTheme="minorEastAsia" w:hAnsiTheme="minorEastAsia" w:cstheme="minorEastAsia" w:hint="eastAsia"/>
          <w:sz w:val="24"/>
        </w:rPr>
        <w:t>的数据，</w:t>
      </w:r>
      <w:r w:rsidR="004E38F9">
        <w:rPr>
          <w:rFonts w:asciiTheme="minorEastAsia" w:hAnsiTheme="minorEastAsia" w:cstheme="minorEastAsia" w:hint="eastAsia"/>
          <w:sz w:val="24"/>
        </w:rPr>
        <w:t>截止2025年1月6日，</w:t>
      </w:r>
      <w:r w:rsidRPr="001151CE">
        <w:rPr>
          <w:rFonts w:asciiTheme="minorEastAsia" w:hAnsiTheme="minorEastAsia" w:cstheme="minorEastAsia" w:hint="eastAsia"/>
          <w:sz w:val="24"/>
        </w:rPr>
        <w:t>公司所属的行业分类最新静态市盈率为</w:t>
      </w:r>
      <w:r w:rsidR="00A93079">
        <w:rPr>
          <w:rFonts w:asciiTheme="minorEastAsia" w:hAnsiTheme="minorEastAsia" w:cstheme="minorEastAsia" w:hint="eastAsia"/>
          <w:sz w:val="24"/>
        </w:rPr>
        <w:t>6.51</w:t>
      </w:r>
      <w:r w:rsidRPr="001151CE">
        <w:rPr>
          <w:rFonts w:asciiTheme="minorEastAsia" w:hAnsiTheme="minorEastAsia" w:cstheme="minorEastAsia" w:hint="eastAsia"/>
          <w:sz w:val="24"/>
        </w:rPr>
        <w:t>，公司最新滚动市盈率为</w:t>
      </w:r>
      <w:r w:rsidR="00A93079">
        <w:rPr>
          <w:rFonts w:asciiTheme="minorEastAsia" w:hAnsiTheme="minorEastAsia" w:cstheme="minorEastAsia" w:hint="eastAsia"/>
          <w:sz w:val="24"/>
        </w:rPr>
        <w:t>25.10</w:t>
      </w:r>
      <w:r w:rsidRPr="001151CE">
        <w:rPr>
          <w:rFonts w:asciiTheme="minorEastAsia" w:hAnsiTheme="minorEastAsia" w:cstheme="minorEastAsia" w:hint="eastAsia"/>
          <w:sz w:val="24"/>
        </w:rPr>
        <w:t>，公司当前的市盈率与同行业情况有较大的差异；公司所属行业</w:t>
      </w:r>
      <w:proofErr w:type="gramStart"/>
      <w:r w:rsidRPr="001151CE">
        <w:rPr>
          <w:rFonts w:asciiTheme="minorEastAsia" w:hAnsiTheme="minorEastAsia" w:cstheme="minorEastAsia" w:hint="eastAsia"/>
          <w:sz w:val="24"/>
        </w:rPr>
        <w:t>最新市净率</w:t>
      </w:r>
      <w:proofErr w:type="gramEnd"/>
      <w:r w:rsidRPr="001151CE">
        <w:rPr>
          <w:rFonts w:asciiTheme="minorEastAsia" w:hAnsiTheme="minorEastAsia" w:cstheme="minorEastAsia" w:hint="eastAsia"/>
          <w:sz w:val="24"/>
        </w:rPr>
        <w:t>为</w:t>
      </w:r>
      <w:r w:rsidR="0047168F">
        <w:rPr>
          <w:rFonts w:asciiTheme="minorEastAsia" w:hAnsiTheme="minorEastAsia" w:cstheme="minorEastAsia" w:hint="eastAsia"/>
          <w:sz w:val="24"/>
        </w:rPr>
        <w:t>0.60</w:t>
      </w:r>
      <w:r w:rsidRPr="001151CE">
        <w:rPr>
          <w:rFonts w:asciiTheme="minorEastAsia" w:hAnsiTheme="minorEastAsia" w:cstheme="minorEastAsia" w:hint="eastAsia"/>
          <w:sz w:val="24"/>
        </w:rPr>
        <w:t>，公司</w:t>
      </w:r>
      <w:proofErr w:type="gramStart"/>
      <w:r w:rsidRPr="001151CE">
        <w:rPr>
          <w:rFonts w:asciiTheme="minorEastAsia" w:hAnsiTheme="minorEastAsia" w:cstheme="minorEastAsia" w:hint="eastAsia"/>
          <w:sz w:val="24"/>
        </w:rPr>
        <w:t>最新市净率</w:t>
      </w:r>
      <w:proofErr w:type="gramEnd"/>
      <w:r w:rsidRPr="001151CE">
        <w:rPr>
          <w:rFonts w:asciiTheme="minorEastAsia" w:hAnsiTheme="minorEastAsia" w:cstheme="minorEastAsia" w:hint="eastAsia"/>
          <w:sz w:val="24"/>
        </w:rPr>
        <w:t>为</w:t>
      </w:r>
      <w:r w:rsidR="0047168F">
        <w:rPr>
          <w:rFonts w:asciiTheme="minorEastAsia" w:hAnsiTheme="minorEastAsia" w:cstheme="minorEastAsia" w:hint="eastAsia"/>
          <w:sz w:val="24"/>
        </w:rPr>
        <w:t>1.56</w:t>
      </w:r>
      <w:r w:rsidR="009829D6">
        <w:rPr>
          <w:rFonts w:asciiTheme="minorEastAsia" w:hAnsiTheme="minorEastAsia" w:cstheme="minorEastAsia" w:hint="eastAsia"/>
          <w:sz w:val="24"/>
        </w:rPr>
        <w:t>。敬请广大投资者注意二级市场交易风险，</w:t>
      </w:r>
      <w:r w:rsidRPr="001151CE">
        <w:rPr>
          <w:rFonts w:asciiTheme="minorEastAsia" w:hAnsiTheme="minorEastAsia" w:cstheme="minorEastAsia" w:hint="eastAsia"/>
          <w:sz w:val="24"/>
        </w:rPr>
        <w:t>理性决策，审慎投资。</w:t>
      </w:r>
    </w:p>
    <w:p w:rsidR="001151CE" w:rsidRPr="001151CE" w:rsidRDefault="001151CE" w:rsidP="0040726A">
      <w:pPr>
        <w:numPr>
          <w:ilvl w:val="0"/>
          <w:numId w:val="1"/>
        </w:numPr>
        <w:spacing w:line="360" w:lineRule="auto"/>
        <w:rPr>
          <w:rFonts w:asciiTheme="minorEastAsia" w:hAnsiTheme="minorEastAsia" w:cstheme="minorEastAsia"/>
          <w:sz w:val="24"/>
        </w:rPr>
      </w:pPr>
      <w:r w:rsidRPr="001151CE">
        <w:rPr>
          <w:rFonts w:asciiTheme="minorEastAsia" w:hAnsiTheme="minorEastAsia" w:cstheme="minorEastAsia" w:hint="eastAsia"/>
          <w:sz w:val="24"/>
        </w:rPr>
        <w:t>经营业绩风险：</w:t>
      </w:r>
      <w:r w:rsidR="0040726A" w:rsidRPr="0040726A">
        <w:rPr>
          <w:rFonts w:asciiTheme="minorEastAsia" w:hAnsiTheme="minorEastAsia" w:cstheme="minorEastAsia" w:hint="eastAsia"/>
          <w:sz w:val="24"/>
        </w:rPr>
        <w:t>公司于2024年10月30日披露了</w:t>
      </w:r>
      <w:r w:rsidR="00C43051">
        <w:rPr>
          <w:rFonts w:asciiTheme="minorEastAsia" w:hAnsiTheme="minorEastAsia" w:cstheme="minorEastAsia" w:hint="eastAsia"/>
          <w:sz w:val="24"/>
        </w:rPr>
        <w:t>《</w:t>
      </w:r>
      <w:r w:rsidR="0040726A" w:rsidRPr="0040726A">
        <w:rPr>
          <w:rFonts w:asciiTheme="minorEastAsia" w:hAnsiTheme="minorEastAsia" w:cstheme="minorEastAsia" w:hint="eastAsia"/>
          <w:sz w:val="24"/>
        </w:rPr>
        <w:t>2024 年第三季度报告</w:t>
      </w:r>
      <w:r w:rsidR="00C43051">
        <w:rPr>
          <w:rFonts w:asciiTheme="minorEastAsia" w:hAnsiTheme="minorEastAsia" w:cstheme="minorEastAsia" w:hint="eastAsia"/>
          <w:sz w:val="24"/>
        </w:rPr>
        <w:t>》</w:t>
      </w:r>
      <w:r w:rsidR="0040726A" w:rsidRPr="0040726A">
        <w:rPr>
          <w:rFonts w:asciiTheme="minorEastAsia" w:hAnsiTheme="minorEastAsia" w:cstheme="minorEastAsia" w:hint="eastAsia"/>
          <w:sz w:val="24"/>
        </w:rPr>
        <w:t>，</w:t>
      </w:r>
      <w:r w:rsidR="007834B0">
        <w:rPr>
          <w:rFonts w:asciiTheme="minorEastAsia" w:hAnsiTheme="minorEastAsia" w:cstheme="minorEastAsia" w:hint="eastAsia"/>
          <w:sz w:val="24"/>
        </w:rPr>
        <w:t xml:space="preserve"> 2024</w:t>
      </w:r>
      <w:r w:rsidR="0040726A" w:rsidRPr="0040726A">
        <w:rPr>
          <w:rFonts w:asciiTheme="minorEastAsia" w:hAnsiTheme="minorEastAsia" w:cstheme="minorEastAsia" w:hint="eastAsia"/>
          <w:sz w:val="24"/>
        </w:rPr>
        <w:t>年前三季度公司实现营业收入2,848,180,151.43元，同比下降13.06%；归属于上市公司股东的净利润为100,468,869.34元，同比下降22.61%，敬请广大投资者注意经营业绩风险。</w:t>
      </w:r>
    </w:p>
    <w:p w:rsidR="00877134" w:rsidRDefault="00427F7C" w:rsidP="0040726A">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 xml:space="preserve">一、股票交易异常波动的具体情况 </w:t>
      </w: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公司股票于</w:t>
      </w:r>
      <w:r w:rsidR="0002547F">
        <w:rPr>
          <w:rFonts w:asciiTheme="minorEastAsia" w:hAnsiTheme="minorEastAsia" w:cstheme="minorEastAsia" w:hint="eastAsia"/>
          <w:sz w:val="24"/>
        </w:rPr>
        <w:t>2025年1月6日、1月7日</w:t>
      </w:r>
      <w:r>
        <w:rPr>
          <w:rFonts w:asciiTheme="minorEastAsia" w:hAnsiTheme="minorEastAsia" w:cstheme="minorEastAsia" w:hint="eastAsia"/>
          <w:sz w:val="24"/>
        </w:rPr>
        <w:t>连续</w:t>
      </w:r>
      <w:r w:rsidR="00543F00">
        <w:rPr>
          <w:rFonts w:asciiTheme="minorEastAsia" w:hAnsiTheme="minorEastAsia" w:cstheme="minorEastAsia" w:hint="eastAsia"/>
          <w:sz w:val="24"/>
        </w:rPr>
        <w:t>2</w:t>
      </w:r>
      <w:r>
        <w:rPr>
          <w:rFonts w:asciiTheme="minorEastAsia" w:hAnsiTheme="minorEastAsia" w:cstheme="minorEastAsia" w:hint="eastAsia"/>
          <w:sz w:val="24"/>
        </w:rPr>
        <w:t>个交易日内收盘价格涨幅</w:t>
      </w:r>
      <w:proofErr w:type="gramStart"/>
      <w:r>
        <w:rPr>
          <w:rFonts w:asciiTheme="minorEastAsia" w:hAnsiTheme="minorEastAsia" w:cstheme="minorEastAsia" w:hint="eastAsia"/>
          <w:sz w:val="24"/>
        </w:rPr>
        <w:t>偏离值</w:t>
      </w:r>
      <w:proofErr w:type="gramEnd"/>
      <w:r>
        <w:rPr>
          <w:rFonts w:asciiTheme="minorEastAsia" w:hAnsiTheme="minorEastAsia" w:cstheme="minorEastAsia" w:hint="eastAsia"/>
          <w:sz w:val="24"/>
        </w:rPr>
        <w:t xml:space="preserve">累计超过20%，根据《上海证券交易所交易规则》的有关规定，属于股票交易异常波动情况。 </w:t>
      </w:r>
    </w:p>
    <w:p w:rsidR="00877134" w:rsidRDefault="00427F7C">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二、公司关注并核实的相关情况</w:t>
      </w:r>
      <w:r>
        <w:rPr>
          <w:rFonts w:asciiTheme="minorEastAsia" w:hAnsiTheme="minorEastAsia" w:cstheme="minorEastAsia" w:hint="eastAsia"/>
          <w:sz w:val="24"/>
        </w:rPr>
        <w:t xml:space="preserve"> </w:t>
      </w: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（一）生产经营情况</w:t>
      </w:r>
    </w:p>
    <w:p w:rsidR="00543F00" w:rsidRPr="00543F00" w:rsidRDefault="00543F00" w:rsidP="00543F00">
      <w:pPr>
        <w:spacing w:line="360" w:lineRule="auto"/>
        <w:ind w:firstLineChars="200" w:firstLine="480"/>
        <w:rPr>
          <w:rFonts w:asciiTheme="minorEastAsia" w:hAnsiTheme="minorEastAsia" w:cstheme="minorEastAsia"/>
          <w:sz w:val="24"/>
        </w:rPr>
      </w:pPr>
      <w:r w:rsidRPr="00543F00">
        <w:rPr>
          <w:rFonts w:asciiTheme="minorEastAsia" w:hAnsiTheme="minorEastAsia" w:cstheme="minorEastAsia" w:hint="eastAsia"/>
          <w:sz w:val="24"/>
        </w:rPr>
        <w:t>公司于2024年10月30日披露了</w:t>
      </w:r>
      <w:r w:rsidR="005D14A8">
        <w:rPr>
          <w:rFonts w:asciiTheme="minorEastAsia" w:hAnsiTheme="minorEastAsia" w:cstheme="minorEastAsia" w:hint="eastAsia"/>
          <w:sz w:val="24"/>
        </w:rPr>
        <w:t>《</w:t>
      </w:r>
      <w:r w:rsidR="005D14A8" w:rsidRPr="0040726A">
        <w:rPr>
          <w:rFonts w:asciiTheme="minorEastAsia" w:hAnsiTheme="minorEastAsia" w:cstheme="minorEastAsia" w:hint="eastAsia"/>
          <w:sz w:val="24"/>
        </w:rPr>
        <w:t>2024 年第三季度报告</w:t>
      </w:r>
      <w:r w:rsidR="005D14A8">
        <w:rPr>
          <w:rFonts w:asciiTheme="minorEastAsia" w:hAnsiTheme="minorEastAsia" w:cstheme="minorEastAsia" w:hint="eastAsia"/>
          <w:sz w:val="24"/>
        </w:rPr>
        <w:t>》</w:t>
      </w:r>
      <w:r w:rsidRPr="00543F00">
        <w:rPr>
          <w:rFonts w:asciiTheme="minorEastAsia" w:hAnsiTheme="minorEastAsia" w:cstheme="minorEastAsia" w:hint="eastAsia"/>
          <w:sz w:val="24"/>
        </w:rPr>
        <w:t>，</w:t>
      </w:r>
      <w:r w:rsidR="00A57D7F">
        <w:rPr>
          <w:rFonts w:asciiTheme="minorEastAsia" w:hAnsiTheme="minorEastAsia" w:cstheme="minorEastAsia" w:hint="eastAsia"/>
          <w:sz w:val="24"/>
        </w:rPr>
        <w:t xml:space="preserve"> 2024</w:t>
      </w:r>
      <w:r w:rsidRPr="00543F00">
        <w:rPr>
          <w:rFonts w:asciiTheme="minorEastAsia" w:hAnsiTheme="minorEastAsia" w:cstheme="minorEastAsia" w:hint="eastAsia"/>
          <w:sz w:val="24"/>
        </w:rPr>
        <w:t>年前三季度公司实现营业收入</w:t>
      </w:r>
      <w:r w:rsidR="00953A8A" w:rsidRPr="00953A8A">
        <w:rPr>
          <w:rFonts w:asciiTheme="minorEastAsia" w:hAnsiTheme="minorEastAsia" w:cstheme="minorEastAsia"/>
          <w:sz w:val="24"/>
        </w:rPr>
        <w:t>2,848,180,151.43</w:t>
      </w:r>
      <w:r w:rsidRPr="00543F00">
        <w:rPr>
          <w:rFonts w:asciiTheme="minorEastAsia" w:hAnsiTheme="minorEastAsia" w:cstheme="minorEastAsia" w:hint="eastAsia"/>
          <w:sz w:val="24"/>
        </w:rPr>
        <w:t>元，同比下降</w:t>
      </w:r>
      <w:r w:rsidR="00953A8A">
        <w:rPr>
          <w:rFonts w:asciiTheme="minorEastAsia" w:hAnsiTheme="minorEastAsia" w:cstheme="minorEastAsia" w:hint="eastAsia"/>
          <w:sz w:val="24"/>
        </w:rPr>
        <w:t>13.06</w:t>
      </w:r>
      <w:r w:rsidRPr="00543F00">
        <w:rPr>
          <w:rFonts w:asciiTheme="minorEastAsia" w:hAnsiTheme="minorEastAsia" w:cstheme="minorEastAsia" w:hint="eastAsia"/>
          <w:sz w:val="24"/>
        </w:rPr>
        <w:t>%；归属于上市公司股东的净利润为</w:t>
      </w:r>
      <w:r w:rsidR="00953A8A" w:rsidRPr="00953A8A">
        <w:rPr>
          <w:rFonts w:asciiTheme="minorEastAsia" w:hAnsiTheme="minorEastAsia" w:cstheme="minorEastAsia"/>
          <w:sz w:val="24"/>
        </w:rPr>
        <w:t>100,468,869.34</w:t>
      </w:r>
      <w:r w:rsidRPr="00543F00">
        <w:rPr>
          <w:rFonts w:asciiTheme="minorEastAsia" w:hAnsiTheme="minorEastAsia" w:cstheme="minorEastAsia" w:hint="eastAsia"/>
          <w:sz w:val="24"/>
        </w:rPr>
        <w:t>元，同比下降</w:t>
      </w:r>
      <w:r w:rsidR="00953A8A">
        <w:rPr>
          <w:rFonts w:asciiTheme="minorEastAsia" w:hAnsiTheme="minorEastAsia" w:cstheme="minorEastAsia" w:hint="eastAsia"/>
          <w:sz w:val="24"/>
        </w:rPr>
        <w:t>22.61</w:t>
      </w:r>
      <w:r w:rsidRPr="00543F00">
        <w:rPr>
          <w:rFonts w:asciiTheme="minorEastAsia" w:hAnsiTheme="minorEastAsia" w:cstheme="minorEastAsia" w:hint="eastAsia"/>
          <w:sz w:val="24"/>
        </w:rPr>
        <w:t>%，敬请广大投资者注意经营业绩风险。</w:t>
      </w: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（二）重大事项情况</w:t>
      </w:r>
    </w:p>
    <w:p w:rsidR="001A4D06" w:rsidRDefault="001A4D06">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经公司自查</w:t>
      </w:r>
      <w:r w:rsidR="00427F7C">
        <w:rPr>
          <w:rFonts w:asciiTheme="minorEastAsia" w:hAnsiTheme="minorEastAsia" w:cstheme="minorEastAsia" w:hint="eastAsia"/>
          <w:sz w:val="24"/>
        </w:rPr>
        <w:t>并书面问询公司控股股东、实际控制人，确认截止本公告披露日，</w:t>
      </w:r>
      <w:r w:rsidRPr="001A4D06">
        <w:rPr>
          <w:rFonts w:asciiTheme="minorEastAsia" w:hAnsiTheme="minorEastAsia" w:cstheme="minorEastAsia" w:hint="eastAsia"/>
          <w:sz w:val="24"/>
        </w:rPr>
        <w:t>除</w:t>
      </w:r>
      <w:proofErr w:type="gramStart"/>
      <w:r w:rsidRPr="001A4D06">
        <w:rPr>
          <w:rFonts w:asciiTheme="minorEastAsia" w:hAnsiTheme="minorEastAsia" w:cstheme="minorEastAsia" w:hint="eastAsia"/>
          <w:sz w:val="24"/>
        </w:rPr>
        <w:t>以下已</w:t>
      </w:r>
      <w:proofErr w:type="gramEnd"/>
      <w:r w:rsidRPr="001A4D06">
        <w:rPr>
          <w:rFonts w:asciiTheme="minorEastAsia" w:hAnsiTheme="minorEastAsia" w:cstheme="minorEastAsia" w:hint="eastAsia"/>
          <w:sz w:val="24"/>
        </w:rPr>
        <w:t>披露事项外，公司及控股股东不存在涉及公司的应披露而未披露的重大事项</w:t>
      </w:r>
      <w:r>
        <w:rPr>
          <w:rFonts w:asciiTheme="minorEastAsia" w:hAnsiTheme="minorEastAsia" w:cstheme="minorEastAsia" w:hint="eastAsia"/>
          <w:sz w:val="24"/>
        </w:rPr>
        <w:t>。</w:t>
      </w:r>
    </w:p>
    <w:p w:rsidR="007752AB" w:rsidRPr="00630316" w:rsidRDefault="00324E89" w:rsidP="0035363A">
      <w:pPr>
        <w:spacing w:line="360" w:lineRule="auto"/>
        <w:ind w:firstLineChars="200" w:firstLine="480"/>
        <w:rPr>
          <w:rFonts w:asciiTheme="minorEastAsia" w:hAnsiTheme="minorEastAsia" w:cstheme="minorEastAsia" w:hint="eastAsia"/>
          <w:sz w:val="24"/>
        </w:rPr>
      </w:pPr>
      <w:r w:rsidRPr="00324E89">
        <w:rPr>
          <w:rFonts w:asciiTheme="minorEastAsia" w:hAnsiTheme="minorEastAsia" w:cstheme="minorEastAsia" w:hint="eastAsia"/>
          <w:sz w:val="24"/>
        </w:rPr>
        <w:t>为了拓宽公司经营业务布局，加强非洲区域的市场拓展及培育新的业务机会，公司与合资方计划共同出资10,000万元设立合资公司（公司股权占比80%），聚焦埃塞俄比亚的咖啡豆进口销售及深加工业务，具体详见公司于同日披露的《</w:t>
      </w:r>
      <w:r w:rsidR="00630316" w:rsidRPr="00630316">
        <w:rPr>
          <w:rFonts w:asciiTheme="minorEastAsia" w:hAnsiTheme="minorEastAsia" w:cstheme="minorEastAsia" w:hint="eastAsia"/>
          <w:sz w:val="24"/>
        </w:rPr>
        <w:t>安徽交通建设股份有限公司关于对外投资设立合资公司的公告</w:t>
      </w:r>
      <w:r w:rsidRPr="00324E89">
        <w:rPr>
          <w:rFonts w:asciiTheme="minorEastAsia" w:hAnsiTheme="minorEastAsia" w:cstheme="minorEastAsia" w:hint="eastAsia"/>
          <w:sz w:val="24"/>
        </w:rPr>
        <w:t>》（公告编号：</w:t>
      </w:r>
      <w:r w:rsidR="00630316">
        <w:rPr>
          <w:rFonts w:asciiTheme="minorEastAsia" w:hAnsiTheme="minorEastAsia" w:cstheme="minorEastAsia" w:hint="eastAsia"/>
          <w:sz w:val="24"/>
        </w:rPr>
        <w:t>2025-006</w:t>
      </w:r>
      <w:r>
        <w:rPr>
          <w:rFonts w:asciiTheme="minorEastAsia" w:hAnsiTheme="minorEastAsia" w:cstheme="minorEastAsia" w:hint="eastAsia"/>
          <w:sz w:val="24"/>
        </w:rPr>
        <w:t>）</w:t>
      </w: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（三）媒体报道、市场传闻、热点概念情况</w:t>
      </w: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经公司自查，公司未发现对公司股票交易价格可能产生重大影响的媒体报道或市场传闻；亦未涉及市场热点概念</w:t>
      </w: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（四）其他股价敏感信息</w:t>
      </w: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经公司核实，公司董事、监事、高级管理人员、控股股东及其一致行动人在公司股票异常波动期间未买卖公司股票。 </w:t>
      </w:r>
    </w:p>
    <w:p w:rsidR="00877134" w:rsidRDefault="00427F7C">
      <w:pPr>
        <w:numPr>
          <w:ilvl w:val="255"/>
          <w:numId w:val="0"/>
        </w:num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三、相关风险提示</w:t>
      </w:r>
    </w:p>
    <w:p w:rsidR="00C30900" w:rsidRPr="00097B81" w:rsidRDefault="00C30900" w:rsidP="00C30900">
      <w:pPr>
        <w:spacing w:line="360" w:lineRule="auto"/>
        <w:ind w:firstLineChars="200" w:firstLine="480"/>
        <w:rPr>
          <w:rFonts w:asciiTheme="minorEastAsia" w:hAnsiTheme="minorEastAsia" w:cstheme="minorEastAsia"/>
          <w:sz w:val="24"/>
        </w:rPr>
      </w:pPr>
      <w:r w:rsidRPr="00C30900">
        <w:rPr>
          <w:rFonts w:asciiTheme="minorEastAsia" w:hAnsiTheme="minorEastAsia" w:cstheme="minorEastAsia" w:hint="eastAsia"/>
          <w:sz w:val="24"/>
        </w:rPr>
        <w:t>（一）二级市场交易风险：</w:t>
      </w:r>
      <w:r w:rsidR="00097B81" w:rsidRPr="00097B81">
        <w:rPr>
          <w:rFonts w:asciiTheme="minorEastAsia" w:hAnsiTheme="minorEastAsia" w:cstheme="minorEastAsia" w:hint="eastAsia"/>
          <w:sz w:val="24"/>
        </w:rPr>
        <w:t>根据中证指数</w:t>
      </w:r>
      <w:proofErr w:type="gramStart"/>
      <w:r w:rsidR="00097B81" w:rsidRPr="00097B81">
        <w:rPr>
          <w:rFonts w:asciiTheme="minorEastAsia" w:hAnsiTheme="minorEastAsia" w:cstheme="minorEastAsia" w:hint="eastAsia"/>
          <w:sz w:val="24"/>
        </w:rPr>
        <w:t>有限公司官网发布</w:t>
      </w:r>
      <w:proofErr w:type="gramEnd"/>
      <w:r w:rsidR="00097B81" w:rsidRPr="00097B81">
        <w:rPr>
          <w:rFonts w:asciiTheme="minorEastAsia" w:hAnsiTheme="minorEastAsia" w:cstheme="minorEastAsia" w:hint="eastAsia"/>
          <w:sz w:val="24"/>
        </w:rPr>
        <w:t>的数据，公司所属的行业分类最新静态市盈率为6.51，公司最新滚动市盈率为25.10，公司当前的市盈率与同行业情况有较大的差异；公司所属行业</w:t>
      </w:r>
      <w:proofErr w:type="gramStart"/>
      <w:r w:rsidR="00097B81" w:rsidRPr="00097B81">
        <w:rPr>
          <w:rFonts w:asciiTheme="minorEastAsia" w:hAnsiTheme="minorEastAsia" w:cstheme="minorEastAsia" w:hint="eastAsia"/>
          <w:sz w:val="24"/>
        </w:rPr>
        <w:t>最新市净率</w:t>
      </w:r>
      <w:proofErr w:type="gramEnd"/>
      <w:r w:rsidR="00097B81" w:rsidRPr="00097B81">
        <w:rPr>
          <w:rFonts w:asciiTheme="minorEastAsia" w:hAnsiTheme="minorEastAsia" w:cstheme="minorEastAsia" w:hint="eastAsia"/>
          <w:sz w:val="24"/>
        </w:rPr>
        <w:t>为0.60，公司</w:t>
      </w:r>
      <w:proofErr w:type="gramStart"/>
      <w:r w:rsidR="00097B81" w:rsidRPr="00097B81">
        <w:rPr>
          <w:rFonts w:asciiTheme="minorEastAsia" w:hAnsiTheme="minorEastAsia" w:cstheme="minorEastAsia" w:hint="eastAsia"/>
          <w:sz w:val="24"/>
        </w:rPr>
        <w:t>最新市净率</w:t>
      </w:r>
      <w:proofErr w:type="gramEnd"/>
      <w:r w:rsidR="00097B81" w:rsidRPr="00097B81">
        <w:rPr>
          <w:rFonts w:asciiTheme="minorEastAsia" w:hAnsiTheme="minorEastAsia" w:cstheme="minorEastAsia" w:hint="eastAsia"/>
          <w:sz w:val="24"/>
        </w:rPr>
        <w:t>为1.56。公司敬请广大投资者注意二级市场交易风险，理性决策，</w:t>
      </w:r>
      <w:r w:rsidR="00097B81" w:rsidRPr="00097B81">
        <w:rPr>
          <w:rFonts w:asciiTheme="minorEastAsia" w:hAnsiTheme="minorEastAsia" w:cstheme="minorEastAsia" w:hint="eastAsia"/>
          <w:sz w:val="24"/>
        </w:rPr>
        <w:lastRenderedPageBreak/>
        <w:t>审慎投资。</w:t>
      </w:r>
    </w:p>
    <w:p w:rsidR="00C30900" w:rsidRPr="008B7F3D" w:rsidRDefault="00C30900" w:rsidP="008B7F3D">
      <w:pPr>
        <w:spacing w:line="360" w:lineRule="auto"/>
        <w:ind w:firstLineChars="200" w:firstLine="480"/>
        <w:rPr>
          <w:rFonts w:asciiTheme="minorEastAsia" w:hAnsiTheme="minorEastAsia" w:cstheme="minorEastAsia"/>
          <w:sz w:val="24"/>
        </w:rPr>
      </w:pPr>
      <w:r w:rsidRPr="00C30900">
        <w:rPr>
          <w:rFonts w:asciiTheme="minorEastAsia" w:hAnsiTheme="minorEastAsia" w:cstheme="minorEastAsia" w:hint="eastAsia"/>
          <w:sz w:val="24"/>
        </w:rPr>
        <w:t>（二）经营业绩风险：</w:t>
      </w:r>
      <w:r w:rsidR="008B7F3D" w:rsidRPr="00543F00">
        <w:rPr>
          <w:rFonts w:asciiTheme="minorEastAsia" w:hAnsiTheme="minorEastAsia" w:cstheme="minorEastAsia" w:hint="eastAsia"/>
          <w:sz w:val="24"/>
        </w:rPr>
        <w:t>公司于2024年10月30日披露了</w:t>
      </w:r>
      <w:r w:rsidR="005D14A8">
        <w:rPr>
          <w:rFonts w:asciiTheme="minorEastAsia" w:hAnsiTheme="minorEastAsia" w:cstheme="minorEastAsia" w:hint="eastAsia"/>
          <w:sz w:val="24"/>
        </w:rPr>
        <w:t>《</w:t>
      </w:r>
      <w:r w:rsidR="005D14A8" w:rsidRPr="0040726A">
        <w:rPr>
          <w:rFonts w:asciiTheme="minorEastAsia" w:hAnsiTheme="minorEastAsia" w:cstheme="minorEastAsia" w:hint="eastAsia"/>
          <w:sz w:val="24"/>
        </w:rPr>
        <w:t>2024 年第三季度报告</w:t>
      </w:r>
      <w:r w:rsidR="005D14A8">
        <w:rPr>
          <w:rFonts w:asciiTheme="minorEastAsia" w:hAnsiTheme="minorEastAsia" w:cstheme="minorEastAsia" w:hint="eastAsia"/>
          <w:sz w:val="24"/>
        </w:rPr>
        <w:t>》</w:t>
      </w:r>
      <w:r w:rsidR="008B7F3D" w:rsidRPr="00543F00">
        <w:rPr>
          <w:rFonts w:asciiTheme="minorEastAsia" w:hAnsiTheme="minorEastAsia" w:cstheme="minorEastAsia" w:hint="eastAsia"/>
          <w:sz w:val="24"/>
        </w:rPr>
        <w:t>，</w:t>
      </w:r>
      <w:r w:rsidR="00435E7A">
        <w:rPr>
          <w:rFonts w:asciiTheme="minorEastAsia" w:hAnsiTheme="minorEastAsia" w:cstheme="minorEastAsia" w:hint="eastAsia"/>
          <w:sz w:val="24"/>
        </w:rPr>
        <w:t xml:space="preserve"> 2024</w:t>
      </w:r>
      <w:r w:rsidR="008B7F3D" w:rsidRPr="00543F00">
        <w:rPr>
          <w:rFonts w:asciiTheme="minorEastAsia" w:hAnsiTheme="minorEastAsia" w:cstheme="minorEastAsia" w:hint="eastAsia"/>
          <w:sz w:val="24"/>
        </w:rPr>
        <w:t>年前三季度公司实现营业收入</w:t>
      </w:r>
      <w:r w:rsidR="008B7F3D" w:rsidRPr="00953A8A">
        <w:rPr>
          <w:rFonts w:asciiTheme="minorEastAsia" w:hAnsiTheme="minorEastAsia" w:cstheme="minorEastAsia"/>
          <w:sz w:val="24"/>
        </w:rPr>
        <w:t>2,848,180,151.43</w:t>
      </w:r>
      <w:r w:rsidR="008B7F3D" w:rsidRPr="00543F00">
        <w:rPr>
          <w:rFonts w:asciiTheme="minorEastAsia" w:hAnsiTheme="minorEastAsia" w:cstheme="minorEastAsia" w:hint="eastAsia"/>
          <w:sz w:val="24"/>
        </w:rPr>
        <w:t>元，同比下降</w:t>
      </w:r>
      <w:r w:rsidR="008B7F3D">
        <w:rPr>
          <w:rFonts w:asciiTheme="minorEastAsia" w:hAnsiTheme="minorEastAsia" w:cstheme="minorEastAsia" w:hint="eastAsia"/>
          <w:sz w:val="24"/>
        </w:rPr>
        <w:t>13.06</w:t>
      </w:r>
      <w:r w:rsidR="008B7F3D" w:rsidRPr="00543F00">
        <w:rPr>
          <w:rFonts w:asciiTheme="minorEastAsia" w:hAnsiTheme="minorEastAsia" w:cstheme="minorEastAsia" w:hint="eastAsia"/>
          <w:sz w:val="24"/>
        </w:rPr>
        <w:t>%；归属于上市公司股东的净利润为</w:t>
      </w:r>
      <w:r w:rsidR="008B7F3D" w:rsidRPr="00953A8A">
        <w:rPr>
          <w:rFonts w:asciiTheme="minorEastAsia" w:hAnsiTheme="minorEastAsia" w:cstheme="minorEastAsia"/>
          <w:sz w:val="24"/>
        </w:rPr>
        <w:t>100,468,869.34</w:t>
      </w:r>
      <w:r w:rsidR="008B7F3D" w:rsidRPr="00543F00">
        <w:rPr>
          <w:rFonts w:asciiTheme="minorEastAsia" w:hAnsiTheme="minorEastAsia" w:cstheme="minorEastAsia" w:hint="eastAsia"/>
          <w:sz w:val="24"/>
        </w:rPr>
        <w:t>元，同比下降</w:t>
      </w:r>
      <w:r w:rsidR="008B7F3D">
        <w:rPr>
          <w:rFonts w:asciiTheme="minorEastAsia" w:hAnsiTheme="minorEastAsia" w:cstheme="minorEastAsia" w:hint="eastAsia"/>
          <w:sz w:val="24"/>
        </w:rPr>
        <w:t>22.61</w:t>
      </w:r>
      <w:r w:rsidR="008B7F3D" w:rsidRPr="00543F00">
        <w:rPr>
          <w:rFonts w:asciiTheme="minorEastAsia" w:hAnsiTheme="minorEastAsia" w:cstheme="minorEastAsia" w:hint="eastAsia"/>
          <w:sz w:val="24"/>
        </w:rPr>
        <w:t>%，敬请广大投资者注意经营业绩风险。</w:t>
      </w:r>
    </w:p>
    <w:p w:rsidR="00877134" w:rsidRDefault="00427F7C">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 xml:space="preserve">四、董事会声明 </w:t>
      </w:r>
    </w:p>
    <w:p w:rsidR="00877134" w:rsidRDefault="003A6EB7" w:rsidP="003A6EB7">
      <w:pPr>
        <w:spacing w:line="360" w:lineRule="auto"/>
        <w:ind w:firstLineChars="200" w:firstLine="480"/>
        <w:rPr>
          <w:rFonts w:asciiTheme="minorEastAsia" w:hAnsiTheme="minorEastAsia" w:cstheme="minorEastAsia"/>
          <w:sz w:val="24"/>
        </w:rPr>
      </w:pPr>
      <w:r w:rsidRPr="003A6EB7">
        <w:rPr>
          <w:rFonts w:asciiTheme="minorEastAsia" w:hAnsiTheme="minorEastAsia" w:cstheme="minorEastAsia" w:hint="eastAsia"/>
          <w:sz w:val="24"/>
        </w:rPr>
        <w:t>经公司董事会确认，根据《上海证券交易所股票上市规则》等有关规定，公司目前不存在应披露而未披露的事项或与该等事项有关的筹划、商谈、意向、协议等，董事会也未获悉公司有根据《上海证券交易所股票上市规则》等有关规定应披露而未披露的、对本公司股票及其衍生品种交易价格产生较大影响的信息。</w:t>
      </w:r>
    </w:p>
    <w:p w:rsidR="003A6EB7" w:rsidRDefault="003A6EB7" w:rsidP="003A6EB7">
      <w:pPr>
        <w:spacing w:line="360" w:lineRule="auto"/>
        <w:ind w:firstLineChars="200" w:firstLine="480"/>
        <w:rPr>
          <w:rFonts w:asciiTheme="minorEastAsia" w:hAnsiTheme="minorEastAsia" w:cstheme="minorEastAsia"/>
          <w:sz w:val="24"/>
        </w:rPr>
      </w:pPr>
    </w:p>
    <w:p w:rsidR="00877134" w:rsidRDefault="00427F7C">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特此公告。</w:t>
      </w:r>
    </w:p>
    <w:p w:rsidR="007752AB" w:rsidRDefault="007752AB">
      <w:pPr>
        <w:spacing w:line="360" w:lineRule="auto"/>
        <w:ind w:firstLineChars="200" w:firstLine="480"/>
        <w:rPr>
          <w:rFonts w:asciiTheme="minorEastAsia" w:hAnsiTheme="minorEastAsia" w:cstheme="minorEastAsia"/>
          <w:sz w:val="24"/>
        </w:rPr>
      </w:pPr>
    </w:p>
    <w:p w:rsidR="00877134" w:rsidRDefault="00427F7C">
      <w:pPr>
        <w:rPr>
          <w:rFonts w:asciiTheme="minorEastAsia" w:hAnsiTheme="minorEastAsia" w:cstheme="minorEastAsia"/>
        </w:rPr>
      </w:pPr>
      <w:r>
        <w:rPr>
          <w:rFonts w:asciiTheme="minorEastAsia" w:hAnsiTheme="minorEastAsia" w:cstheme="minorEastAsia" w:hint="eastAsia"/>
        </w:rPr>
        <w:t xml:space="preserve"> </w:t>
      </w:r>
    </w:p>
    <w:p w:rsidR="00877134" w:rsidRDefault="00427F7C">
      <w:pPr>
        <w:spacing w:line="360" w:lineRule="auto"/>
        <w:jc w:val="right"/>
        <w:rPr>
          <w:rFonts w:asciiTheme="minorEastAsia" w:hAnsiTheme="minorEastAsia" w:cstheme="minorEastAsia"/>
          <w:sz w:val="24"/>
        </w:rPr>
      </w:pPr>
      <w:r>
        <w:rPr>
          <w:rFonts w:asciiTheme="minorEastAsia" w:hAnsiTheme="minorEastAsia" w:cstheme="minorEastAsia" w:hint="eastAsia"/>
          <w:sz w:val="24"/>
        </w:rPr>
        <w:t xml:space="preserve">安徽省交通建设股份有限公司董事会 </w:t>
      </w:r>
    </w:p>
    <w:p w:rsidR="00877134" w:rsidRPr="009E0F92" w:rsidRDefault="00427F7C" w:rsidP="009E0F92">
      <w:pPr>
        <w:spacing w:line="360" w:lineRule="auto"/>
        <w:jc w:val="right"/>
        <w:rPr>
          <w:rFonts w:asciiTheme="minorEastAsia" w:hAnsiTheme="minorEastAsia" w:cstheme="minorEastAsia"/>
          <w:sz w:val="24"/>
        </w:rPr>
      </w:pPr>
      <w:r>
        <w:rPr>
          <w:rFonts w:asciiTheme="minorEastAsia" w:hAnsiTheme="minorEastAsia" w:cstheme="minorEastAsia" w:hint="eastAsia"/>
          <w:sz w:val="24"/>
        </w:rPr>
        <w:t xml:space="preserve">                                       202</w:t>
      </w:r>
      <w:r w:rsidR="00006014">
        <w:rPr>
          <w:rFonts w:asciiTheme="minorEastAsia" w:hAnsiTheme="minorEastAsia" w:cstheme="minorEastAsia" w:hint="eastAsia"/>
          <w:sz w:val="24"/>
        </w:rPr>
        <w:t>5</w:t>
      </w:r>
      <w:r>
        <w:rPr>
          <w:rFonts w:asciiTheme="minorEastAsia" w:hAnsiTheme="minorEastAsia" w:cstheme="minorEastAsia" w:hint="eastAsia"/>
          <w:sz w:val="24"/>
        </w:rPr>
        <w:t xml:space="preserve">年 </w:t>
      </w:r>
      <w:r w:rsidR="00006014">
        <w:rPr>
          <w:rFonts w:asciiTheme="minorEastAsia" w:hAnsiTheme="minorEastAsia" w:cstheme="minorEastAsia" w:hint="eastAsia"/>
          <w:sz w:val="24"/>
        </w:rPr>
        <w:t>1</w:t>
      </w:r>
      <w:r>
        <w:rPr>
          <w:rFonts w:asciiTheme="minorEastAsia" w:hAnsiTheme="minorEastAsia" w:cstheme="minorEastAsia" w:hint="eastAsia"/>
          <w:sz w:val="24"/>
        </w:rPr>
        <w:t xml:space="preserve">月 </w:t>
      </w:r>
      <w:r w:rsidR="008378E1">
        <w:rPr>
          <w:rFonts w:asciiTheme="minorEastAsia" w:hAnsiTheme="minorEastAsia" w:cstheme="minorEastAsia" w:hint="eastAsia"/>
          <w:sz w:val="24"/>
        </w:rPr>
        <w:t>8</w:t>
      </w:r>
      <w:r>
        <w:rPr>
          <w:rFonts w:asciiTheme="minorEastAsia" w:hAnsiTheme="minorEastAsia" w:cstheme="minorEastAsia" w:hint="eastAsia"/>
          <w:sz w:val="24"/>
        </w:rPr>
        <w:t xml:space="preserve">日 </w:t>
      </w:r>
    </w:p>
    <w:sectPr w:rsidR="00877134" w:rsidRPr="009E0F92" w:rsidSect="008771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B50" w:rsidRDefault="002E2B50" w:rsidP="0010766A">
      <w:r>
        <w:separator/>
      </w:r>
    </w:p>
  </w:endnote>
  <w:endnote w:type="continuationSeparator" w:id="0">
    <w:p w:rsidR="002E2B50" w:rsidRDefault="002E2B50" w:rsidP="0010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B50" w:rsidRDefault="002E2B50" w:rsidP="0010766A">
      <w:r>
        <w:separator/>
      </w:r>
    </w:p>
  </w:footnote>
  <w:footnote w:type="continuationSeparator" w:id="0">
    <w:p w:rsidR="002E2B50" w:rsidRDefault="002E2B50" w:rsidP="00107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A089E"/>
    <w:multiLevelType w:val="singleLevel"/>
    <w:tmpl w:val="59EA089E"/>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5ED20E9"/>
    <w:rsid w:val="DF3F5BA8"/>
    <w:rsid w:val="F7D54702"/>
    <w:rsid w:val="00006014"/>
    <w:rsid w:val="000076C6"/>
    <w:rsid w:val="0002547F"/>
    <w:rsid w:val="000772ED"/>
    <w:rsid w:val="00097B81"/>
    <w:rsid w:val="000C1949"/>
    <w:rsid w:val="000F4BD4"/>
    <w:rsid w:val="0010766A"/>
    <w:rsid w:val="001151CE"/>
    <w:rsid w:val="00123C91"/>
    <w:rsid w:val="001556D3"/>
    <w:rsid w:val="00185138"/>
    <w:rsid w:val="00194AFA"/>
    <w:rsid w:val="001A4D06"/>
    <w:rsid w:val="001F3A23"/>
    <w:rsid w:val="00221E68"/>
    <w:rsid w:val="00232FA6"/>
    <w:rsid w:val="0025709D"/>
    <w:rsid w:val="00296A68"/>
    <w:rsid w:val="002E2B50"/>
    <w:rsid w:val="00307590"/>
    <w:rsid w:val="00324E89"/>
    <w:rsid w:val="0035363A"/>
    <w:rsid w:val="0038290E"/>
    <w:rsid w:val="003A6EB7"/>
    <w:rsid w:val="003B672E"/>
    <w:rsid w:val="003F6FF7"/>
    <w:rsid w:val="004056A7"/>
    <w:rsid w:val="0040726A"/>
    <w:rsid w:val="00422F42"/>
    <w:rsid w:val="00427F7C"/>
    <w:rsid w:val="00435E7A"/>
    <w:rsid w:val="00436E7F"/>
    <w:rsid w:val="0047168F"/>
    <w:rsid w:val="004E38F9"/>
    <w:rsid w:val="004F1FAB"/>
    <w:rsid w:val="00517F8D"/>
    <w:rsid w:val="005321C9"/>
    <w:rsid w:val="00543F00"/>
    <w:rsid w:val="005608CB"/>
    <w:rsid w:val="005D14A8"/>
    <w:rsid w:val="00620B66"/>
    <w:rsid w:val="00630316"/>
    <w:rsid w:val="006821CD"/>
    <w:rsid w:val="006B3398"/>
    <w:rsid w:val="00734B4E"/>
    <w:rsid w:val="007752AB"/>
    <w:rsid w:val="007834B0"/>
    <w:rsid w:val="00794AFA"/>
    <w:rsid w:val="007D1FC0"/>
    <w:rsid w:val="007D6649"/>
    <w:rsid w:val="008378E1"/>
    <w:rsid w:val="00850E51"/>
    <w:rsid w:val="00877134"/>
    <w:rsid w:val="00891B8E"/>
    <w:rsid w:val="008943C4"/>
    <w:rsid w:val="008946D5"/>
    <w:rsid w:val="008B7F3D"/>
    <w:rsid w:val="00940291"/>
    <w:rsid w:val="009518DC"/>
    <w:rsid w:val="00953A8A"/>
    <w:rsid w:val="009829D6"/>
    <w:rsid w:val="00983D9F"/>
    <w:rsid w:val="009A3A95"/>
    <w:rsid w:val="009E0F92"/>
    <w:rsid w:val="00A125CC"/>
    <w:rsid w:val="00A57D7F"/>
    <w:rsid w:val="00A93079"/>
    <w:rsid w:val="00A930CF"/>
    <w:rsid w:val="00AC3EC5"/>
    <w:rsid w:val="00AF0BCA"/>
    <w:rsid w:val="00B2580D"/>
    <w:rsid w:val="00B706C5"/>
    <w:rsid w:val="00C158FC"/>
    <w:rsid w:val="00C30900"/>
    <w:rsid w:val="00C43051"/>
    <w:rsid w:val="00C73EE2"/>
    <w:rsid w:val="00CA19A7"/>
    <w:rsid w:val="00D04B7D"/>
    <w:rsid w:val="00D35A8C"/>
    <w:rsid w:val="00D53FA9"/>
    <w:rsid w:val="00D641C0"/>
    <w:rsid w:val="00E16DF7"/>
    <w:rsid w:val="00E61504"/>
    <w:rsid w:val="00ED2543"/>
    <w:rsid w:val="00F17D84"/>
    <w:rsid w:val="00F31C7A"/>
    <w:rsid w:val="00F92A86"/>
    <w:rsid w:val="00FB09F5"/>
    <w:rsid w:val="00FF644C"/>
    <w:rsid w:val="0123079C"/>
    <w:rsid w:val="06806094"/>
    <w:rsid w:val="078B01EA"/>
    <w:rsid w:val="086050BA"/>
    <w:rsid w:val="0C2521CC"/>
    <w:rsid w:val="10C05203"/>
    <w:rsid w:val="13C57A88"/>
    <w:rsid w:val="18085A7F"/>
    <w:rsid w:val="252E60BB"/>
    <w:rsid w:val="286B6244"/>
    <w:rsid w:val="2935653A"/>
    <w:rsid w:val="2CD418F5"/>
    <w:rsid w:val="2D18767A"/>
    <w:rsid w:val="2F675012"/>
    <w:rsid w:val="33E2188E"/>
    <w:rsid w:val="394A203E"/>
    <w:rsid w:val="3EA0041E"/>
    <w:rsid w:val="45ED20E9"/>
    <w:rsid w:val="47334FF0"/>
    <w:rsid w:val="4ECE5CF7"/>
    <w:rsid w:val="60E56F0A"/>
    <w:rsid w:val="664A3438"/>
    <w:rsid w:val="6A281DA3"/>
    <w:rsid w:val="6BBF0A51"/>
    <w:rsid w:val="6FE94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713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877134"/>
    <w:pPr>
      <w:jc w:val="left"/>
    </w:pPr>
  </w:style>
  <w:style w:type="paragraph" w:styleId="a4">
    <w:name w:val="Balloon Text"/>
    <w:basedOn w:val="a"/>
    <w:link w:val="Char0"/>
    <w:qFormat/>
    <w:rsid w:val="00877134"/>
    <w:rPr>
      <w:sz w:val="18"/>
      <w:szCs w:val="18"/>
    </w:rPr>
  </w:style>
  <w:style w:type="paragraph" w:styleId="a5">
    <w:name w:val="footer"/>
    <w:basedOn w:val="a"/>
    <w:link w:val="Char1"/>
    <w:qFormat/>
    <w:rsid w:val="00877134"/>
    <w:pPr>
      <w:tabs>
        <w:tab w:val="center" w:pos="4153"/>
        <w:tab w:val="right" w:pos="8306"/>
      </w:tabs>
      <w:snapToGrid w:val="0"/>
      <w:jc w:val="left"/>
    </w:pPr>
    <w:rPr>
      <w:sz w:val="18"/>
      <w:szCs w:val="18"/>
    </w:rPr>
  </w:style>
  <w:style w:type="paragraph" w:styleId="a6">
    <w:name w:val="header"/>
    <w:basedOn w:val="a"/>
    <w:link w:val="Char2"/>
    <w:qFormat/>
    <w:rsid w:val="0087713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sid w:val="00877134"/>
    <w:rPr>
      <w:b/>
      <w:bCs/>
    </w:rPr>
  </w:style>
  <w:style w:type="character" w:styleId="a8">
    <w:name w:val="annotation reference"/>
    <w:basedOn w:val="a0"/>
    <w:qFormat/>
    <w:rsid w:val="00877134"/>
    <w:rPr>
      <w:sz w:val="21"/>
      <w:szCs w:val="21"/>
    </w:rPr>
  </w:style>
  <w:style w:type="character" w:customStyle="1" w:styleId="Char">
    <w:name w:val="批注文字 Char"/>
    <w:basedOn w:val="a0"/>
    <w:link w:val="a3"/>
    <w:qFormat/>
    <w:rsid w:val="00877134"/>
    <w:rPr>
      <w:rFonts w:asciiTheme="minorHAnsi" w:eastAsiaTheme="minorEastAsia" w:hAnsiTheme="minorHAnsi" w:cstheme="minorBidi"/>
      <w:kern w:val="2"/>
      <w:sz w:val="21"/>
      <w:szCs w:val="24"/>
    </w:rPr>
  </w:style>
  <w:style w:type="character" w:customStyle="1" w:styleId="Char3">
    <w:name w:val="批注主题 Char"/>
    <w:basedOn w:val="Char"/>
    <w:link w:val="a7"/>
    <w:qFormat/>
    <w:rsid w:val="00877134"/>
    <w:rPr>
      <w:rFonts w:asciiTheme="minorHAnsi" w:eastAsiaTheme="minorEastAsia" w:hAnsiTheme="minorHAnsi" w:cstheme="minorBidi"/>
      <w:b/>
      <w:bCs/>
      <w:kern w:val="2"/>
      <w:sz w:val="21"/>
      <w:szCs w:val="24"/>
    </w:rPr>
  </w:style>
  <w:style w:type="character" w:customStyle="1" w:styleId="Char0">
    <w:name w:val="批注框文本 Char"/>
    <w:basedOn w:val="a0"/>
    <w:link w:val="a4"/>
    <w:qFormat/>
    <w:rsid w:val="00877134"/>
    <w:rPr>
      <w:rFonts w:asciiTheme="minorHAnsi" w:eastAsiaTheme="minorEastAsia" w:hAnsiTheme="minorHAnsi" w:cstheme="minorBidi"/>
      <w:kern w:val="2"/>
      <w:sz w:val="18"/>
      <w:szCs w:val="18"/>
    </w:rPr>
  </w:style>
  <w:style w:type="character" w:customStyle="1" w:styleId="Char2">
    <w:name w:val="页眉 Char"/>
    <w:basedOn w:val="a0"/>
    <w:link w:val="a6"/>
    <w:qFormat/>
    <w:rsid w:val="00877134"/>
    <w:rPr>
      <w:rFonts w:asciiTheme="minorHAnsi" w:eastAsiaTheme="minorEastAsia" w:hAnsiTheme="minorHAnsi" w:cstheme="minorBidi"/>
      <w:kern w:val="2"/>
      <w:sz w:val="18"/>
      <w:szCs w:val="18"/>
    </w:rPr>
  </w:style>
  <w:style w:type="character" w:customStyle="1" w:styleId="Char1">
    <w:name w:val="页脚 Char"/>
    <w:basedOn w:val="a0"/>
    <w:link w:val="a5"/>
    <w:qFormat/>
    <w:rsid w:val="0087713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1BBE74-D81B-4EAB-9F90-58D44E1FD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289</Words>
  <Characters>1651</Characters>
  <Application>Microsoft Office Word</Application>
  <DocSecurity>0</DocSecurity>
  <Lines>13</Lines>
  <Paragraphs>3</Paragraphs>
  <ScaleCrop>false</ScaleCrop>
  <Company>SDAU</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redemption</dc:creator>
  <cp:lastModifiedBy>林玲</cp:lastModifiedBy>
  <cp:revision>65</cp:revision>
  <cp:lastPrinted>2025-01-07T08:48:00Z</cp:lastPrinted>
  <dcterms:created xsi:type="dcterms:W3CDTF">2017-08-24T07:16:00Z</dcterms:created>
  <dcterms:modified xsi:type="dcterms:W3CDTF">2025-01-07T09:23:00Z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