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109EED0E" w:rsidR="009A3CB3" w:rsidRDefault="00AC13F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公告编号：2024-</w:t>
      </w:r>
      <w:r w:rsidR="00E0221D">
        <w:rPr>
          <w:rFonts w:ascii="宋体" w:eastAsia="宋体" w:hAnsi="宋体" w:hint="eastAsia"/>
          <w:sz w:val="24"/>
          <w:szCs w:val="24"/>
        </w:rPr>
        <w:t>077</w:t>
      </w:r>
    </w:p>
    <w:bookmarkEnd w:id="0"/>
    <w:p w14:paraId="75655D43" w14:textId="77777777" w:rsidR="009A3CB3" w:rsidRDefault="00AC13F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9A3CB3" w:rsidRDefault="00AC13F4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安徽省交通建设股份</w:t>
      </w:r>
      <w:r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77777777" w:rsidR="009A3CB3" w:rsidRDefault="00AC13F4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关于2021年非公开发行股票</w:t>
      </w:r>
      <w:proofErr w:type="gramStart"/>
      <w:r>
        <w:rPr>
          <w:rFonts w:ascii="黑体" w:eastAsia="黑体" w:hAnsi="黑体" w:hint="eastAsia"/>
          <w:b/>
          <w:color w:val="FF0000"/>
          <w:sz w:val="36"/>
          <w:szCs w:val="36"/>
        </w:rPr>
        <w:t>募投项目</w:t>
      </w:r>
      <w:proofErr w:type="gramEnd"/>
      <w:r>
        <w:rPr>
          <w:rFonts w:ascii="黑体" w:eastAsia="黑体" w:hAnsi="黑体" w:hint="eastAsia"/>
          <w:b/>
          <w:color w:val="FF0000"/>
          <w:sz w:val="36"/>
          <w:szCs w:val="36"/>
        </w:rPr>
        <w:t>延期的公告</w:t>
      </w:r>
    </w:p>
    <w:p w14:paraId="1E7A0419" w14:textId="77777777" w:rsidR="009A3CB3" w:rsidRDefault="009A3CB3">
      <w:pPr>
        <w:spacing w:line="360" w:lineRule="auto"/>
        <w:jc w:val="center"/>
        <w:rPr>
          <w:rFonts w:ascii="黑体" w:eastAsia="黑体" w:hAnsi="黑体"/>
          <w:b/>
          <w:color w:val="FF0000"/>
          <w:sz w:val="24"/>
          <w:szCs w:val="24"/>
        </w:rPr>
      </w:pPr>
    </w:p>
    <w:tbl>
      <w:tblPr>
        <w:tblStyle w:val="a9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9A3CB3" w14:paraId="2213FE42" w14:textId="77777777">
        <w:tc>
          <w:tcPr>
            <w:tcW w:w="8364" w:type="dxa"/>
          </w:tcPr>
          <w:p w14:paraId="405BF006" w14:textId="77777777" w:rsidR="009A3CB3" w:rsidRDefault="00AC13F4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9A3CB3" w:rsidRDefault="009A3CB3">
      <w:pPr>
        <w:pStyle w:val="Default"/>
        <w:spacing w:line="360" w:lineRule="auto"/>
        <w:rPr>
          <w:rFonts w:hAnsi="宋体"/>
        </w:rPr>
      </w:pPr>
    </w:p>
    <w:p w14:paraId="1AE0FE6C" w14:textId="01D43D35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安徽省</w:t>
      </w:r>
      <w:r>
        <w:rPr>
          <w:rFonts w:ascii="宋体" w:eastAsia="宋体" w:hAnsi="宋体" w:cs="宋体"/>
          <w:bCs/>
          <w:kern w:val="0"/>
          <w:sz w:val="24"/>
          <w:szCs w:val="24"/>
        </w:rPr>
        <w:t>交通建设股份有限公司（以下简称“公司”）于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10月</w:t>
      </w:r>
      <w:r w:rsidR="00762FDA">
        <w:rPr>
          <w:rFonts w:ascii="宋体" w:eastAsia="宋体" w:hAnsi="宋体" w:cs="宋体" w:hint="eastAsia"/>
          <w:bCs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日召开第三届董事会第十六次会议及第三届监事会第十五次会议，审议通过了《关于2021年非公开发行股票募投项目延期的议案》，</w:t>
      </w:r>
      <w:r>
        <w:rPr>
          <w:rFonts w:ascii="宋体" w:eastAsia="宋体" w:hAnsi="宋体" w:cs="宋体"/>
          <w:bCs/>
          <w:kern w:val="0"/>
          <w:sz w:val="24"/>
          <w:szCs w:val="24"/>
        </w:rPr>
        <w:t>经综合</w:t>
      </w:r>
      <w:proofErr w:type="gramStart"/>
      <w:r>
        <w:rPr>
          <w:rFonts w:ascii="宋体" w:eastAsia="宋体" w:hAnsi="宋体" w:cs="宋体"/>
          <w:bCs/>
          <w:kern w:val="0"/>
          <w:sz w:val="24"/>
          <w:szCs w:val="24"/>
        </w:rPr>
        <w:t>考量</w:t>
      </w:r>
      <w:proofErr w:type="gramEnd"/>
      <w:r>
        <w:rPr>
          <w:rFonts w:ascii="宋体" w:eastAsia="宋体" w:hAnsi="宋体" w:cs="宋体"/>
          <w:bCs/>
          <w:kern w:val="0"/>
          <w:sz w:val="24"/>
          <w:szCs w:val="24"/>
        </w:rPr>
        <w:t>项目实际建设情况并谨慎研究论证，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同意将非公开发行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  <w:szCs w:val="24"/>
        </w:rPr>
        <w:t>股票募投项目</w:t>
      </w:r>
      <w:proofErr w:type="gramEnd"/>
      <w:r>
        <w:rPr>
          <w:rFonts w:ascii="宋体" w:eastAsia="宋体" w:hAnsi="宋体" w:cs="宋体" w:hint="eastAsia"/>
          <w:bCs/>
          <w:kern w:val="0"/>
          <w:sz w:val="24"/>
          <w:szCs w:val="24"/>
        </w:rPr>
        <w:t>“界首市美丽乡村建设整市推进PPP项目”达到预定可使用状态的日期调整至2026年6月22日</w:t>
      </w:r>
      <w:r>
        <w:rPr>
          <w:rFonts w:ascii="宋体" w:eastAsia="宋体" w:hAnsi="宋体" w:cs="宋体"/>
          <w:bCs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现将相关情况公告如下：</w:t>
      </w:r>
    </w:p>
    <w:p w14:paraId="7AD0B10B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一、募集资金基本情况</w:t>
      </w:r>
    </w:p>
    <w:p w14:paraId="7970CBFB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经中国证券监督管理委员会《关于核准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股份有限公司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非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公开发行股票的批复》（证监许可[20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21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]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18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号）核准，公司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获准非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公开发行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不超过14,970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万股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新股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最终发行人民币普通股（A股）119,924,235股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，募集资金总额为人民币87,064.99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万元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，扣除发行费用人民币1,143.70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万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元后，实际募集资金净额为人民币85,921.30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万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元。上述募集资金到位情况已经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容诚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会计师事务所（特殊普通合伙）审验，并于20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21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年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6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月1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日出具了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容诚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验字[20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21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]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230Z0133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号《验资报告》。</w:t>
      </w:r>
    </w:p>
    <w:p w14:paraId="12ED811F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公司按照《上海证券交易所上市公司自律监管指引第1号——规范运作》及相关规定，对募集资金进行了专户存储，公司已与保荐机构、存储募集资金的商业银行签订了募集资金专户存储三方监管协议。</w:t>
      </w:r>
    </w:p>
    <w:p w14:paraId="7D2ADE43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二、募集资金使用情况</w:t>
      </w:r>
    </w:p>
    <w:p w14:paraId="3C859B72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2" w:name="_Hlk180654559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（一）募集资金使用情况</w:t>
      </w:r>
    </w:p>
    <w:p w14:paraId="11A4A7F8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lastRenderedPageBreak/>
        <w:t>截至2024年6月30日止，公司累计使用非公开发行股票募集资金86,023.57万元，募集资金专用账户利息收入224.73万元，扣除累计已使用募集资金后，募集资金专户2024年6月30日余额合计为122.45万元。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具体使用情况如下：</w:t>
      </w:r>
    </w:p>
    <w:p w14:paraId="420A9C5F" w14:textId="77777777" w:rsidR="009A3CB3" w:rsidRDefault="00AC13F4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单位：人民币万元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602"/>
        <w:gridCol w:w="1942"/>
        <w:gridCol w:w="1468"/>
      </w:tblGrid>
      <w:tr w:rsidR="009A3CB3" w:rsidRPr="00582C90" w14:paraId="0A254AAE" w14:textId="77777777">
        <w:tc>
          <w:tcPr>
            <w:tcW w:w="1951" w:type="dxa"/>
            <w:vAlign w:val="center"/>
          </w:tcPr>
          <w:p w14:paraId="7F5C1AB7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0B79DFE3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募集资金承诺投资金额（1）</w:t>
            </w:r>
          </w:p>
        </w:tc>
        <w:tc>
          <w:tcPr>
            <w:tcW w:w="1602" w:type="dxa"/>
            <w:vAlign w:val="center"/>
          </w:tcPr>
          <w:p w14:paraId="5D8EAF40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截至期末累计投入金额（2）</w:t>
            </w:r>
          </w:p>
        </w:tc>
        <w:tc>
          <w:tcPr>
            <w:tcW w:w="1942" w:type="dxa"/>
            <w:vAlign w:val="center"/>
          </w:tcPr>
          <w:p w14:paraId="3CE169B3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截至期末投入进度（%）</w:t>
            </w:r>
          </w:p>
          <w:p w14:paraId="45E61566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（3）=（2）/（1）</w:t>
            </w:r>
          </w:p>
        </w:tc>
        <w:tc>
          <w:tcPr>
            <w:tcW w:w="1468" w:type="dxa"/>
            <w:vAlign w:val="center"/>
          </w:tcPr>
          <w:p w14:paraId="26CFBA28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项目达到预定可使用状态日期</w:t>
            </w:r>
          </w:p>
        </w:tc>
      </w:tr>
      <w:tr w:rsidR="009A3CB3" w:rsidRPr="00582C90" w14:paraId="164263F4" w14:textId="77777777">
        <w:tc>
          <w:tcPr>
            <w:tcW w:w="1951" w:type="dxa"/>
            <w:vAlign w:val="center"/>
          </w:tcPr>
          <w:p w14:paraId="53AEA6E3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界首</w:t>
            </w:r>
            <w:proofErr w:type="gramStart"/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市美丽</w:t>
            </w:r>
            <w:proofErr w:type="gramEnd"/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乡村建设整市推进PPP项目</w:t>
            </w:r>
          </w:p>
        </w:tc>
        <w:tc>
          <w:tcPr>
            <w:tcW w:w="1559" w:type="dxa"/>
            <w:vAlign w:val="center"/>
          </w:tcPr>
          <w:p w14:paraId="6E453CB6" w14:textId="1A189FC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81,00</w:t>
            </w:r>
            <w:r w:rsidR="00A31B5A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6</w:t>
            </w: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.3</w:t>
            </w:r>
          </w:p>
        </w:tc>
        <w:tc>
          <w:tcPr>
            <w:tcW w:w="1602" w:type="dxa"/>
            <w:vAlign w:val="center"/>
          </w:tcPr>
          <w:p w14:paraId="713701AF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81,108.57</w:t>
            </w:r>
          </w:p>
        </w:tc>
        <w:tc>
          <w:tcPr>
            <w:tcW w:w="1942" w:type="dxa"/>
            <w:vAlign w:val="center"/>
          </w:tcPr>
          <w:p w14:paraId="6648823F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100.13</w:t>
            </w:r>
          </w:p>
        </w:tc>
        <w:tc>
          <w:tcPr>
            <w:tcW w:w="1468" w:type="dxa"/>
            <w:vAlign w:val="center"/>
          </w:tcPr>
          <w:p w14:paraId="06B9857B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9A3CB3" w:rsidRPr="00582C90" w14:paraId="3CBA37E5" w14:textId="77777777">
        <w:tc>
          <w:tcPr>
            <w:tcW w:w="1951" w:type="dxa"/>
            <w:vAlign w:val="center"/>
          </w:tcPr>
          <w:p w14:paraId="0C0137D3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偿还银行贷款</w:t>
            </w:r>
          </w:p>
        </w:tc>
        <w:tc>
          <w:tcPr>
            <w:tcW w:w="1559" w:type="dxa"/>
            <w:vAlign w:val="center"/>
          </w:tcPr>
          <w:p w14:paraId="25C74543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4,915.00</w:t>
            </w:r>
          </w:p>
        </w:tc>
        <w:tc>
          <w:tcPr>
            <w:tcW w:w="1602" w:type="dxa"/>
            <w:vAlign w:val="center"/>
          </w:tcPr>
          <w:p w14:paraId="68B8EA3D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4,915.00</w:t>
            </w:r>
          </w:p>
        </w:tc>
        <w:tc>
          <w:tcPr>
            <w:tcW w:w="1942" w:type="dxa"/>
            <w:vAlign w:val="center"/>
          </w:tcPr>
          <w:p w14:paraId="18FF0A44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100.00</w:t>
            </w:r>
          </w:p>
        </w:tc>
        <w:tc>
          <w:tcPr>
            <w:tcW w:w="1468" w:type="dxa"/>
            <w:vAlign w:val="center"/>
          </w:tcPr>
          <w:p w14:paraId="0B399FF5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9A3CB3" w:rsidRPr="00582C90" w14:paraId="5820BEBA" w14:textId="77777777">
        <w:tc>
          <w:tcPr>
            <w:tcW w:w="1951" w:type="dxa"/>
            <w:vAlign w:val="center"/>
          </w:tcPr>
          <w:p w14:paraId="4EFF2761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 w14:paraId="2D969040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85,921.30</w:t>
            </w:r>
          </w:p>
        </w:tc>
        <w:tc>
          <w:tcPr>
            <w:tcW w:w="1602" w:type="dxa"/>
            <w:vAlign w:val="center"/>
          </w:tcPr>
          <w:p w14:paraId="0428C331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86,023.57</w:t>
            </w:r>
          </w:p>
        </w:tc>
        <w:tc>
          <w:tcPr>
            <w:tcW w:w="1942" w:type="dxa"/>
            <w:vAlign w:val="center"/>
          </w:tcPr>
          <w:p w14:paraId="2AD4DD68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-</w:t>
            </w:r>
          </w:p>
        </w:tc>
        <w:tc>
          <w:tcPr>
            <w:tcW w:w="1468" w:type="dxa"/>
            <w:vAlign w:val="center"/>
          </w:tcPr>
          <w:p w14:paraId="433EB7DF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-</w:t>
            </w:r>
          </w:p>
        </w:tc>
      </w:tr>
    </w:tbl>
    <w:p w14:paraId="68A91006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（二）募集资金专户存储情况</w:t>
      </w:r>
    </w:p>
    <w:p w14:paraId="3CAC20C1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截至2024年6月30日止，公司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非公开发行股票募集资金存储情况如下：</w:t>
      </w:r>
    </w:p>
    <w:p w14:paraId="53C5B109" w14:textId="77777777" w:rsidR="009A3CB3" w:rsidRDefault="00AC13F4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单位：人民币元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3222"/>
        <w:gridCol w:w="2460"/>
      </w:tblGrid>
      <w:tr w:rsidR="009A3CB3" w14:paraId="7983216A" w14:textId="77777777">
        <w:tc>
          <w:tcPr>
            <w:tcW w:w="2840" w:type="dxa"/>
          </w:tcPr>
          <w:p w14:paraId="0E833A1A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银行名称</w:t>
            </w:r>
          </w:p>
        </w:tc>
        <w:tc>
          <w:tcPr>
            <w:tcW w:w="3222" w:type="dxa"/>
          </w:tcPr>
          <w:p w14:paraId="5B58A753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银行账号</w:t>
            </w:r>
          </w:p>
        </w:tc>
        <w:tc>
          <w:tcPr>
            <w:tcW w:w="2460" w:type="dxa"/>
          </w:tcPr>
          <w:p w14:paraId="7317F79C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余额</w:t>
            </w:r>
          </w:p>
        </w:tc>
      </w:tr>
      <w:tr w:rsidR="009A3CB3" w14:paraId="0FC3B192" w14:textId="77777777">
        <w:tc>
          <w:tcPr>
            <w:tcW w:w="2840" w:type="dxa"/>
          </w:tcPr>
          <w:p w14:paraId="2EF1CA18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杭州银行合肥分行</w:t>
            </w:r>
          </w:p>
        </w:tc>
        <w:tc>
          <w:tcPr>
            <w:tcW w:w="3222" w:type="dxa"/>
          </w:tcPr>
          <w:p w14:paraId="0CE2C9FF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3401040160001016238</w:t>
            </w:r>
          </w:p>
        </w:tc>
        <w:tc>
          <w:tcPr>
            <w:tcW w:w="2460" w:type="dxa"/>
          </w:tcPr>
          <w:p w14:paraId="736BF5DA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38,173.81</w:t>
            </w:r>
          </w:p>
        </w:tc>
      </w:tr>
      <w:tr w:rsidR="009A3CB3" w14:paraId="5CA62BF8" w14:textId="77777777">
        <w:tc>
          <w:tcPr>
            <w:tcW w:w="2840" w:type="dxa"/>
          </w:tcPr>
          <w:p w14:paraId="36A5E88D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工商银行城建支行</w:t>
            </w:r>
          </w:p>
        </w:tc>
        <w:tc>
          <w:tcPr>
            <w:tcW w:w="3222" w:type="dxa"/>
          </w:tcPr>
          <w:p w14:paraId="15D74B9B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1302011729200188247</w:t>
            </w:r>
          </w:p>
        </w:tc>
        <w:tc>
          <w:tcPr>
            <w:tcW w:w="2460" w:type="dxa"/>
          </w:tcPr>
          <w:p w14:paraId="7F7C3FBD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118,426.28</w:t>
            </w:r>
          </w:p>
        </w:tc>
      </w:tr>
      <w:tr w:rsidR="009A3CB3" w14:paraId="1E353670" w14:textId="77777777">
        <w:tc>
          <w:tcPr>
            <w:tcW w:w="2840" w:type="dxa"/>
          </w:tcPr>
          <w:p w14:paraId="6DF1C21A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建设银行界首支行</w:t>
            </w:r>
          </w:p>
        </w:tc>
        <w:tc>
          <w:tcPr>
            <w:tcW w:w="3222" w:type="dxa"/>
          </w:tcPr>
          <w:p w14:paraId="6EB046B2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34050171190800002449</w:t>
            </w:r>
          </w:p>
        </w:tc>
        <w:tc>
          <w:tcPr>
            <w:tcW w:w="2460" w:type="dxa"/>
          </w:tcPr>
          <w:p w14:paraId="7B950030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737,273.13</w:t>
            </w:r>
          </w:p>
        </w:tc>
      </w:tr>
      <w:tr w:rsidR="009A3CB3" w14:paraId="42C2B926" w14:textId="77777777">
        <w:tc>
          <w:tcPr>
            <w:tcW w:w="2840" w:type="dxa"/>
          </w:tcPr>
          <w:p w14:paraId="7A762A0B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渤海银行合肥分行</w:t>
            </w:r>
          </w:p>
        </w:tc>
        <w:tc>
          <w:tcPr>
            <w:tcW w:w="3222" w:type="dxa"/>
          </w:tcPr>
          <w:p w14:paraId="2237F384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2010789704000198</w:t>
            </w:r>
          </w:p>
        </w:tc>
        <w:tc>
          <w:tcPr>
            <w:tcW w:w="2460" w:type="dxa"/>
          </w:tcPr>
          <w:p w14:paraId="5785CAD2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41,700.29</w:t>
            </w:r>
          </w:p>
        </w:tc>
      </w:tr>
      <w:tr w:rsidR="009A3CB3" w14:paraId="607B025C" w14:textId="77777777">
        <w:tc>
          <w:tcPr>
            <w:tcW w:w="2840" w:type="dxa"/>
          </w:tcPr>
          <w:p w14:paraId="4345BEFF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浦发银行合肥分行</w:t>
            </w:r>
          </w:p>
        </w:tc>
        <w:tc>
          <w:tcPr>
            <w:tcW w:w="3222" w:type="dxa"/>
          </w:tcPr>
          <w:p w14:paraId="65BD0E75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58080078801800000859</w:t>
            </w:r>
          </w:p>
        </w:tc>
        <w:tc>
          <w:tcPr>
            <w:tcW w:w="2460" w:type="dxa"/>
          </w:tcPr>
          <w:p w14:paraId="20E085D5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95,932.51</w:t>
            </w:r>
          </w:p>
        </w:tc>
      </w:tr>
      <w:tr w:rsidR="009A3CB3" w14:paraId="314309B5" w14:textId="77777777">
        <w:tc>
          <w:tcPr>
            <w:tcW w:w="2840" w:type="dxa"/>
          </w:tcPr>
          <w:p w14:paraId="6A167649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徽商银行合肥分行</w:t>
            </w:r>
          </w:p>
        </w:tc>
        <w:tc>
          <w:tcPr>
            <w:tcW w:w="3222" w:type="dxa"/>
          </w:tcPr>
          <w:p w14:paraId="7AC4B9D0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520501603531000234</w:t>
            </w:r>
          </w:p>
        </w:tc>
        <w:tc>
          <w:tcPr>
            <w:tcW w:w="2460" w:type="dxa"/>
          </w:tcPr>
          <w:p w14:paraId="681964F5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8,386.45</w:t>
            </w:r>
          </w:p>
        </w:tc>
      </w:tr>
      <w:tr w:rsidR="009A3CB3" w14:paraId="4624D475" w14:textId="77777777">
        <w:tc>
          <w:tcPr>
            <w:tcW w:w="2840" w:type="dxa"/>
          </w:tcPr>
          <w:p w14:paraId="73D84482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招商银行合肥分行</w:t>
            </w:r>
          </w:p>
        </w:tc>
        <w:tc>
          <w:tcPr>
            <w:tcW w:w="3222" w:type="dxa"/>
          </w:tcPr>
          <w:p w14:paraId="4AC934AC" w14:textId="77777777" w:rsidR="009A3CB3" w:rsidRPr="00582C90" w:rsidRDefault="00AC13F4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551900016010506</w:t>
            </w:r>
          </w:p>
        </w:tc>
        <w:tc>
          <w:tcPr>
            <w:tcW w:w="2460" w:type="dxa"/>
          </w:tcPr>
          <w:p w14:paraId="23F697A8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Cs/>
                <w:color w:val="000000"/>
                <w:szCs w:val="21"/>
              </w:rPr>
              <w:t>184,606.79</w:t>
            </w:r>
          </w:p>
        </w:tc>
      </w:tr>
      <w:tr w:rsidR="009A3CB3" w14:paraId="2C3AD7B5" w14:textId="77777777">
        <w:tc>
          <w:tcPr>
            <w:tcW w:w="2840" w:type="dxa"/>
          </w:tcPr>
          <w:p w14:paraId="0DF770D6" w14:textId="77777777" w:rsidR="009A3CB3" w:rsidRPr="00582C90" w:rsidRDefault="00AC13F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3222" w:type="dxa"/>
          </w:tcPr>
          <w:p w14:paraId="68B07D88" w14:textId="77777777" w:rsidR="009A3CB3" w:rsidRPr="00582C90" w:rsidRDefault="009A3CB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2460" w:type="dxa"/>
          </w:tcPr>
          <w:p w14:paraId="55CCC8A9" w14:textId="77777777" w:rsidR="009A3CB3" w:rsidRPr="00582C90" w:rsidRDefault="00AC13F4">
            <w:pPr>
              <w:spacing w:line="360" w:lineRule="auto"/>
              <w:jc w:val="righ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582C90">
              <w:rPr>
                <w:rFonts w:ascii="宋体" w:eastAsia="宋体" w:hAnsi="宋体" w:cs="Times New Roman"/>
                <w:b/>
                <w:color w:val="000000"/>
                <w:szCs w:val="21"/>
              </w:rPr>
              <w:t>1,224,499.26</w:t>
            </w:r>
          </w:p>
        </w:tc>
      </w:tr>
    </w:tbl>
    <w:bookmarkEnd w:id="2"/>
    <w:p w14:paraId="251F4806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三、本次</w:t>
      </w:r>
      <w:proofErr w:type="gramStart"/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延期的具体情况及原因</w:t>
      </w:r>
    </w:p>
    <w:p w14:paraId="38B94EFA" w14:textId="1343CE90" w:rsidR="009A3CB3" w:rsidRDefault="00AC13F4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bookmarkStart w:id="3" w:name="_Hlk180654583"/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（一）</w:t>
      </w:r>
      <w:proofErr w:type="gramStart"/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的整体情况</w:t>
      </w:r>
    </w:p>
    <w:p w14:paraId="3CCBEA31" w14:textId="1585F5B3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（1）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名称</w:t>
      </w:r>
    </w:p>
    <w:p w14:paraId="6098332D" w14:textId="0051BDD6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名称为界首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市美丽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乡村建设整市推进PPP项目。</w:t>
      </w:r>
    </w:p>
    <w:p w14:paraId="49F0299A" w14:textId="68D03410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lastRenderedPageBreak/>
        <w:t>（2）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内容</w:t>
      </w:r>
    </w:p>
    <w:p w14:paraId="1D78D423" w14:textId="03C8DE08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①主要建设内容</w:t>
      </w:r>
    </w:p>
    <w:p w14:paraId="3F6EF85D" w14:textId="66D412AB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包括但不限于村居改善及配套设施提升、生态环保、垃圾治理、中心村示范建设等工程。</w:t>
      </w:r>
    </w:p>
    <w:p w14:paraId="1F3AE3B9" w14:textId="0321551E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②主要运营维护内容</w:t>
      </w:r>
    </w:p>
    <w:p w14:paraId="313F052D" w14:textId="79799E22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工程建设范围内设施、设备的运营维护，包括但不限于以下内容：住宅小区物业保洁服务、道路养护以及应急处理等。</w:t>
      </w:r>
    </w:p>
    <w:p w14:paraId="59B66870" w14:textId="0AFC2999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（3）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合作期</w:t>
      </w:r>
    </w:p>
    <w:p w14:paraId="45D16967" w14:textId="7391EAFF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的合作期为15年，包括建设期和运营期，其中建设期不超过3年，运营期为12年。</w:t>
      </w:r>
    </w:p>
    <w:p w14:paraId="0DC570A8" w14:textId="1A4718AA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（4）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投资规模和方式</w:t>
      </w:r>
    </w:p>
    <w:p w14:paraId="6A7FA782" w14:textId="4CE46ACB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PPP项目的总投资为人民币164,865.405万元，</w:t>
      </w:r>
      <w:r w:rsidR="00224F11">
        <w:rPr>
          <w:rFonts w:ascii="宋体" w:eastAsia="宋体" w:hAnsi="宋体" w:cs="Times New Roman"/>
          <w:bCs/>
          <w:color w:val="000000"/>
          <w:sz w:val="24"/>
          <w:szCs w:val="24"/>
        </w:rPr>
        <w:t>实际募集资金净额为人民币85,921.30</w:t>
      </w:r>
      <w:r w:rsidR="00224F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万</w:t>
      </w:r>
      <w:r w:rsidR="00224F11">
        <w:rPr>
          <w:rFonts w:ascii="宋体" w:eastAsia="宋体" w:hAnsi="宋体" w:cs="Times New Roman"/>
          <w:bCs/>
          <w:color w:val="000000"/>
          <w:sz w:val="24"/>
          <w:szCs w:val="24"/>
        </w:rPr>
        <w:t>元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</w:t>
      </w:r>
      <w:r w:rsidR="00B203F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除募集资金投入外，剩余</w:t>
      </w:r>
      <w:r w:rsidR="00E0514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项目建设投资资金由上市公司</w:t>
      </w:r>
      <w:r w:rsidR="00DA5FE7" w:rsidRPr="00DA5FE7">
        <w:rPr>
          <w:rFonts w:ascii="宋体" w:eastAsia="宋体" w:hAnsi="宋体" w:cs="Times New Roman"/>
          <w:bCs/>
          <w:color w:val="000000"/>
          <w:sz w:val="24"/>
          <w:szCs w:val="24"/>
        </w:rPr>
        <w:t>自行筹资</w:t>
      </w:r>
      <w:r w:rsidR="00E0514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投入。</w:t>
      </w:r>
      <w:r w:rsidR="00F661D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上市公司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募集资金到位后将通过公司投入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界首市齐美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项目管理有限公司，并用于项目建设。</w:t>
      </w:r>
    </w:p>
    <w:p w14:paraId="3E4A1532" w14:textId="1DABC14B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（5）实施方式</w:t>
      </w:r>
    </w:p>
    <w:p w14:paraId="3B1BF961" w14:textId="56C3923D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将采用PPP模式，具体采用“设计-建设-融资-运营-移交（DBFOT）”的运作方式。</w:t>
      </w:r>
    </w:p>
    <w:p w14:paraId="3B3ACC64" w14:textId="2729AD42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公司与容海川城乡规划设计有限公司组成联合体进行投标，其中公司总体负责本项目设计管理、建设、融资、运营维护、移交等工作，容海川城乡规划设计有限公司负责本项目的设计工作。</w:t>
      </w:r>
    </w:p>
    <w:p w14:paraId="59BFDD1C" w14:textId="0340EE2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本项目实施主体为政府方和社会资本方联合成立的项目公司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界首市齐美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项目管理有限公司，注册资本为32,973.08万元，其中公司持有其89.00%的股份，容海川城乡规划设计有限公司持有其1.00%的股份，上述股权比例合计占项目公司股权的90.00%。政府方出资代表界首市现代农业发展有限公司持有其10.00%的股份。</w:t>
      </w:r>
    </w:p>
    <w:bookmarkEnd w:id="3"/>
    <w:p w14:paraId="36DCB328" w14:textId="731220CA" w:rsidR="009A3CB3" w:rsidRDefault="00AC13F4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（二）</w:t>
      </w:r>
      <w:r>
        <w:rPr>
          <w:rFonts w:ascii="宋体" w:eastAsia="宋体" w:hAnsi="宋体" w:cs="Times New Roman"/>
          <w:b/>
          <w:color w:val="000000"/>
          <w:sz w:val="24"/>
          <w:szCs w:val="24"/>
        </w:rPr>
        <w:t>本次部分</w:t>
      </w:r>
      <w:proofErr w:type="gramStart"/>
      <w:r>
        <w:rPr>
          <w:rFonts w:ascii="宋体" w:eastAsia="宋体" w:hAnsi="宋体" w:cs="Times New Roman"/>
          <w:b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/>
          <w:color w:val="000000"/>
          <w:sz w:val="24"/>
          <w:szCs w:val="24"/>
        </w:rPr>
        <w:t>延期情况</w:t>
      </w:r>
    </w:p>
    <w:p w14:paraId="1E4FED97" w14:textId="67F3938C" w:rsidR="009A3CB3" w:rsidRDefault="00460498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4" w:name="_Hlk180654603"/>
      <w:r>
        <w:rPr>
          <w:rFonts w:ascii="宋体" w:eastAsia="宋体" w:hAnsi="宋体" w:cs="Times New Roman"/>
          <w:bCs/>
          <w:color w:val="000000"/>
          <w:sz w:val="24"/>
          <w:szCs w:val="24"/>
        </w:rPr>
        <w:t>公司结合目前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实施过程中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客观需要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，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</w:t>
      </w:r>
      <w:proofErr w:type="gramStart"/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业主方（地方政府平台）协商一致，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在</w:t>
      </w:r>
      <w:proofErr w:type="gramStart"/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proofErr w:type="gramEnd"/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实施主体、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募集资金投资用途及投资规模不发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lastRenderedPageBreak/>
        <w:t>生变更的情况下，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公司决定合理调整2021年非公开募集资金投资项目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“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界首市美丽乡村建设整市推进PPP项目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”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的实施进度，将该项目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达到预定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完工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日期</w:t>
      </w:r>
      <w:r w:rsidR="00EC0D10">
        <w:rPr>
          <w:rFonts w:ascii="宋体" w:eastAsia="宋体" w:hAnsi="宋体" w:cs="Times New Roman"/>
          <w:bCs/>
          <w:color w:val="000000"/>
          <w:sz w:val="24"/>
          <w:szCs w:val="24"/>
        </w:rPr>
        <w:t>由</w:t>
      </w:r>
      <w:r w:rsidR="00EC0D10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2024年6月22日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调整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至202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6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年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6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月</w:t>
      </w:r>
      <w:r w:rsidR="00AC13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22</w:t>
      </w:r>
      <w:r w:rsidR="00AC13F4">
        <w:rPr>
          <w:rFonts w:ascii="宋体" w:eastAsia="宋体" w:hAnsi="宋体" w:cs="Times New Roman"/>
          <w:bCs/>
          <w:color w:val="000000"/>
          <w:sz w:val="24"/>
          <w:szCs w:val="24"/>
        </w:rPr>
        <w:t>日。</w:t>
      </w:r>
    </w:p>
    <w:bookmarkEnd w:id="4"/>
    <w:p w14:paraId="5A6F5EE7" w14:textId="1980C96A" w:rsidR="009A3CB3" w:rsidRDefault="00AC13F4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/>
          <w:b/>
          <w:color w:val="000000"/>
          <w:sz w:val="24"/>
          <w:szCs w:val="24"/>
        </w:rPr>
        <w:t>（</w:t>
      </w: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三</w:t>
      </w:r>
      <w:r>
        <w:rPr>
          <w:rFonts w:ascii="宋体" w:eastAsia="宋体" w:hAnsi="宋体" w:cs="Times New Roman"/>
          <w:b/>
          <w:color w:val="000000"/>
          <w:sz w:val="24"/>
          <w:szCs w:val="24"/>
        </w:rPr>
        <w:t>）本次部分</w:t>
      </w:r>
      <w:proofErr w:type="gramStart"/>
      <w:r>
        <w:rPr>
          <w:rFonts w:ascii="宋体" w:eastAsia="宋体" w:hAnsi="宋体" w:cs="Times New Roman"/>
          <w:b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/>
          <w:color w:val="000000"/>
          <w:sz w:val="24"/>
          <w:szCs w:val="24"/>
        </w:rPr>
        <w:t>延期</w:t>
      </w: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原因</w:t>
      </w:r>
    </w:p>
    <w:p w14:paraId="3CCCBD33" w14:textId="6F218651" w:rsidR="009A3CB3" w:rsidRDefault="00FB4A87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5" w:name="_Hlk180654625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截止目前，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募投项目</w:t>
      </w:r>
      <w:r w:rsidR="00C3257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计划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总</w:t>
      </w:r>
      <w:r w:rsidRPr="00FB4A87">
        <w:rPr>
          <w:rFonts w:ascii="宋体" w:eastAsia="宋体" w:hAnsi="宋体" w:cs="Times New Roman"/>
          <w:bCs/>
          <w:color w:val="000000"/>
          <w:sz w:val="24"/>
          <w:szCs w:val="24"/>
        </w:rPr>
        <w:t>建筑安装工程费</w:t>
      </w:r>
      <w:r w:rsidR="00C3257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共</w:t>
      </w:r>
      <w:r w:rsidRPr="00FB4A8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14.26亿元，公司已完成10.92亿元建筑安装工程建设，尚剩余部分建设</w:t>
      </w:r>
      <w:r w:rsidR="00C3257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子项目未建设完成；部分已完工建设子项目已竣工交付业主方</w:t>
      </w:r>
      <w:r w:rsidRPr="00FB4A8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在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实施过程中，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因项目业主方原因征地拆迁进度较原计划滞后</w:t>
      </w:r>
      <w:r w:rsidRPr="00DA5FE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等因素影响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，上述部分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项目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建设</w:t>
      </w:r>
      <w:r w:rsidR="00C3257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子项目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实施进度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较整体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建设计划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有所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延迟。为保障项目合理实施，公司与项目业主方友好协商一致，签订《界首市美丽乡村建设整市推进PPP项目延期协议》，约定项目建设期延期至2026年6月22日。</w:t>
      </w:r>
    </w:p>
    <w:bookmarkEnd w:id="5"/>
    <w:p w14:paraId="7F4214A7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四、保障延期后按期完成的相关措施</w:t>
      </w:r>
    </w:p>
    <w:p w14:paraId="7D6F1E0A" w14:textId="01C03B50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6" w:name="_Hlk180654702"/>
      <w:r>
        <w:rPr>
          <w:rFonts w:ascii="宋体" w:eastAsia="宋体" w:hAnsi="宋体" w:cs="Times New Roman"/>
          <w:bCs/>
          <w:color w:val="000000"/>
          <w:sz w:val="24"/>
          <w:szCs w:val="24"/>
        </w:rPr>
        <w:t>截至</w:t>
      </w:r>
      <w:r w:rsidR="00FB4A8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公告日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，公司不存在影响募集资金使用计划正常进行的情形。公司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于2022年7月与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中国建设银行股份有限公司阜阳市分行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中国工商银行股份有限公司合肥城建支行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上海浦东发展银行股份有限公司阜阳分行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组成的银团方签署银行贷款协议，获得金额不超过7.7亿元银行融资授信额度，有力保障了项目除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募投资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金外的后续建设资金需求。另外，公司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将积极优化资源配置，加强对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的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建设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管理，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保持与项目业主</w:t>
      </w:r>
      <w:proofErr w:type="gramStart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方良好</w:t>
      </w:r>
      <w:proofErr w:type="gramEnd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的沟通和协同机制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妥善处理项目建设过程中的征地拆迁等各项目工作，有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序推进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的后续实施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，并致力于实现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质量和经济效益的最优化。</w:t>
      </w:r>
      <w:bookmarkStart w:id="7" w:name="_GoBack"/>
      <w:bookmarkEnd w:id="7"/>
    </w:p>
    <w:bookmarkEnd w:id="6"/>
    <w:p w14:paraId="26080BFC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五、本次部分</w:t>
      </w:r>
      <w:proofErr w:type="gramStart"/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延期对公司的影响</w:t>
      </w:r>
    </w:p>
    <w:p w14:paraId="33740E9B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8" w:name="_Hlk180654716"/>
      <w:r>
        <w:rPr>
          <w:rFonts w:ascii="宋体" w:eastAsia="宋体" w:hAnsi="宋体" w:cs="Times New Roman"/>
          <w:bCs/>
          <w:color w:val="000000"/>
          <w:sz w:val="24"/>
          <w:szCs w:val="24"/>
        </w:rPr>
        <w:t>本次部分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延期是公司根据项目的实际建设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需要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作出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的审慎决定，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并经项目业主方签订延期协议确认，</w:t>
      </w:r>
      <w:bookmarkStart w:id="9" w:name="OLE_LINK1"/>
      <w:bookmarkStart w:id="10" w:name="OLE_LINK2"/>
      <w:r>
        <w:rPr>
          <w:rFonts w:ascii="宋体" w:eastAsia="宋体" w:hAnsi="宋体" w:cs="Times New Roman"/>
          <w:bCs/>
          <w:color w:val="000000"/>
          <w:sz w:val="24"/>
          <w:szCs w:val="24"/>
        </w:rPr>
        <w:t>仅涉及项目进度的变化，没有改变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的实施主体、投资总额或建设规模等</w:t>
      </w:r>
      <w:bookmarkEnd w:id="9"/>
      <w:bookmarkEnd w:id="10"/>
      <w:r>
        <w:rPr>
          <w:rFonts w:ascii="宋体" w:eastAsia="宋体" w:hAnsi="宋体" w:cs="Times New Roman"/>
          <w:bCs/>
          <w:color w:val="000000"/>
          <w:sz w:val="24"/>
          <w:szCs w:val="24"/>
        </w:rPr>
        <w:t>，不会对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的实施造成实质性影响，不存在改变或变相改变募集资金投向和其他损害股东利益的情形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不会对公司的正常经营产生重大不利影响，符合公司长期发展规划。</w:t>
      </w:r>
    </w:p>
    <w:bookmarkEnd w:id="8"/>
    <w:p w14:paraId="3DC5F1BA" w14:textId="77777777" w:rsidR="009A3CB3" w:rsidRDefault="00AC13F4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六、履行的审议程序及相关意见</w:t>
      </w:r>
    </w:p>
    <w:p w14:paraId="67C90168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lastRenderedPageBreak/>
        <w:t>（一）本次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延期履行的审议程序</w:t>
      </w:r>
    </w:p>
    <w:p w14:paraId="7278D6CB" w14:textId="03FA8254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公司于2024年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月</w:t>
      </w:r>
      <w:r w:rsidR="00DA5FE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29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日召开第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三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届董事会第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十六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次会议及第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三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届监事会第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十五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次会议，审议通过了《关于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2021年非公开发行股票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募投项目延期的议案》，同意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将募投项目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“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界首市美丽乡村建设整市推进PPP项目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”达到可使用状态的日期进行延期。根据《上市公司监管指引第2号——上市公司募集资金管理和使用的监管要求》《上海证券交易所上市公司自律监管指引第1号——规范运作》等相关规定，本次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延期无需提交公司股东大会批准。</w:t>
      </w:r>
    </w:p>
    <w:p w14:paraId="4FEFA7AB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（二）监事会意见</w:t>
      </w:r>
    </w:p>
    <w:p w14:paraId="619A0661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本次部分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不存在改变或变相改变募集资金用途和损害股东利益的情形，不会对公司正常经营活动造成重大不利影响，符合公司长期发展规划，决策和审批程序符合《上市公司监管指引第2号——上市公司募集资金管理和使用的监管要求》等相关法律法规、规章和规范性文件，同意本次对部分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延期的事项。</w:t>
      </w:r>
    </w:p>
    <w:p w14:paraId="1F12AB81" w14:textId="3C667F1F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11" w:name="_Hlk180654731"/>
      <w:r>
        <w:rPr>
          <w:rFonts w:ascii="宋体" w:eastAsia="宋体" w:hAnsi="宋体" w:cs="Times New Roman"/>
          <w:bCs/>
          <w:color w:val="000000"/>
          <w:sz w:val="24"/>
          <w:szCs w:val="24"/>
        </w:rPr>
        <w:t>（三）保荐</w:t>
      </w:r>
      <w:r w:rsidR="000473F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机构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意见</w:t>
      </w:r>
    </w:p>
    <w:p w14:paraId="38C767E9" w14:textId="6265D269" w:rsidR="009A3CB3" w:rsidRDefault="000473F7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保荐机构认为：公司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本次部分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</w:t>
      </w:r>
      <w:r w:rsidR="00C8517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事项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已经公司董事会、监事会审议通过，履行了必要的审议程序，符合相关法律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法规、规范性文件的要求。保荐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机构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对本次部分</w:t>
      </w:r>
      <w:proofErr w:type="gramStart"/>
      <w:r>
        <w:rPr>
          <w:rFonts w:ascii="宋体" w:eastAsia="宋体" w:hAnsi="宋体" w:cs="Times New Roman"/>
          <w:bCs/>
          <w:color w:val="000000"/>
          <w:sz w:val="24"/>
          <w:szCs w:val="24"/>
        </w:rPr>
        <w:t>募投项目</w:t>
      </w:r>
      <w:proofErr w:type="gramEnd"/>
      <w:r>
        <w:rPr>
          <w:rFonts w:ascii="宋体" w:eastAsia="宋体" w:hAnsi="宋体" w:cs="Times New Roman"/>
          <w:bCs/>
          <w:color w:val="000000"/>
          <w:sz w:val="24"/>
          <w:szCs w:val="24"/>
        </w:rPr>
        <w:t>延期事项无异议。</w:t>
      </w:r>
    </w:p>
    <w:bookmarkEnd w:id="11"/>
    <w:p w14:paraId="75EEA4BD" w14:textId="77777777" w:rsidR="009A3CB3" w:rsidRDefault="009A3CB3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14:paraId="3B5FE59B" w14:textId="77777777" w:rsidR="009A3CB3" w:rsidRDefault="009A3CB3">
      <w:pPr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14:paraId="34802DB6" w14:textId="77777777" w:rsidR="009A3CB3" w:rsidRDefault="00AC13F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9A3CB3" w:rsidRDefault="009A3CB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9A3CB3" w:rsidRDefault="009A3CB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9A3CB3" w:rsidRDefault="00AC13F4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3DAEE330" w14:textId="63DFB262" w:rsidR="009A3CB3" w:rsidRDefault="00AC13F4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2024年10月</w:t>
      </w:r>
      <w:r w:rsidR="00DA5FE7">
        <w:rPr>
          <w:rFonts w:hAnsi="宋体" w:hint="eastAsia"/>
          <w:bCs/>
        </w:rPr>
        <w:t>30</w:t>
      </w:r>
      <w:r>
        <w:rPr>
          <w:rFonts w:hAnsi="宋体" w:hint="eastAsia"/>
          <w:bCs/>
        </w:rPr>
        <w:t>日</w:t>
      </w:r>
    </w:p>
    <w:sectPr w:rsidR="009A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B0AFF" w14:textId="77777777" w:rsidR="003D7BB9" w:rsidRDefault="003D7BB9" w:rsidP="008C4112">
      <w:r>
        <w:separator/>
      </w:r>
    </w:p>
  </w:endnote>
  <w:endnote w:type="continuationSeparator" w:id="0">
    <w:p w14:paraId="2F899764" w14:textId="77777777" w:rsidR="003D7BB9" w:rsidRDefault="003D7BB9" w:rsidP="008C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3D099" w14:textId="77777777" w:rsidR="003D7BB9" w:rsidRDefault="003D7BB9" w:rsidP="008C4112">
      <w:r>
        <w:separator/>
      </w:r>
    </w:p>
  </w:footnote>
  <w:footnote w:type="continuationSeparator" w:id="0">
    <w:p w14:paraId="433DF3F6" w14:textId="77777777" w:rsidR="003D7BB9" w:rsidRDefault="003D7BB9" w:rsidP="008C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TcwNTIxYmQ4NDYwYmU4OGJhZGM0MTVjNDc4NWQifQ=="/>
  </w:docVars>
  <w:rsids>
    <w:rsidRoot w:val="00760475"/>
    <w:rsid w:val="00001870"/>
    <w:rsid w:val="00010691"/>
    <w:rsid w:val="0001197E"/>
    <w:rsid w:val="000305DB"/>
    <w:rsid w:val="00037CA0"/>
    <w:rsid w:val="00041323"/>
    <w:rsid w:val="000473F7"/>
    <w:rsid w:val="00052A80"/>
    <w:rsid w:val="000566E0"/>
    <w:rsid w:val="00085C09"/>
    <w:rsid w:val="000952B3"/>
    <w:rsid w:val="0009552A"/>
    <w:rsid w:val="000A1FED"/>
    <w:rsid w:val="000C50DE"/>
    <w:rsid w:val="000D28F8"/>
    <w:rsid w:val="000D5244"/>
    <w:rsid w:val="000E3F66"/>
    <w:rsid w:val="000E4312"/>
    <w:rsid w:val="00101698"/>
    <w:rsid w:val="001127A3"/>
    <w:rsid w:val="001134CB"/>
    <w:rsid w:val="00126ECE"/>
    <w:rsid w:val="00127802"/>
    <w:rsid w:val="001455F5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19AC"/>
    <w:rsid w:val="001A2CC6"/>
    <w:rsid w:val="001B21DA"/>
    <w:rsid w:val="001B31D6"/>
    <w:rsid w:val="001B7EEB"/>
    <w:rsid w:val="001C4708"/>
    <w:rsid w:val="001F1BCC"/>
    <w:rsid w:val="001F6D14"/>
    <w:rsid w:val="00206875"/>
    <w:rsid w:val="0020712A"/>
    <w:rsid w:val="00224F11"/>
    <w:rsid w:val="00243F6A"/>
    <w:rsid w:val="00245A5F"/>
    <w:rsid w:val="00255854"/>
    <w:rsid w:val="0025718D"/>
    <w:rsid w:val="00257EEC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241E5"/>
    <w:rsid w:val="00333396"/>
    <w:rsid w:val="00341028"/>
    <w:rsid w:val="0034268B"/>
    <w:rsid w:val="0034558D"/>
    <w:rsid w:val="00360908"/>
    <w:rsid w:val="00363B35"/>
    <w:rsid w:val="00372F6D"/>
    <w:rsid w:val="003745BD"/>
    <w:rsid w:val="00390995"/>
    <w:rsid w:val="0039207D"/>
    <w:rsid w:val="003A6B02"/>
    <w:rsid w:val="003B07AC"/>
    <w:rsid w:val="003B2602"/>
    <w:rsid w:val="003B410C"/>
    <w:rsid w:val="003C6729"/>
    <w:rsid w:val="003D7BB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0498"/>
    <w:rsid w:val="00463F75"/>
    <w:rsid w:val="00465589"/>
    <w:rsid w:val="0047637C"/>
    <w:rsid w:val="00483C93"/>
    <w:rsid w:val="0048595B"/>
    <w:rsid w:val="0048708E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2F4D"/>
    <w:rsid w:val="00565902"/>
    <w:rsid w:val="0057415E"/>
    <w:rsid w:val="005820CC"/>
    <w:rsid w:val="00582C90"/>
    <w:rsid w:val="00594B68"/>
    <w:rsid w:val="005A2378"/>
    <w:rsid w:val="005A6E9D"/>
    <w:rsid w:val="005B3ED5"/>
    <w:rsid w:val="005B4898"/>
    <w:rsid w:val="005D3A92"/>
    <w:rsid w:val="005E7C6A"/>
    <w:rsid w:val="00603F97"/>
    <w:rsid w:val="0061513E"/>
    <w:rsid w:val="0063688F"/>
    <w:rsid w:val="00652371"/>
    <w:rsid w:val="0065541B"/>
    <w:rsid w:val="00677A80"/>
    <w:rsid w:val="00684F1F"/>
    <w:rsid w:val="006939AB"/>
    <w:rsid w:val="00695E34"/>
    <w:rsid w:val="00696209"/>
    <w:rsid w:val="006B09D7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2BD"/>
    <w:rsid w:val="00731763"/>
    <w:rsid w:val="007430E6"/>
    <w:rsid w:val="00760475"/>
    <w:rsid w:val="00762FDA"/>
    <w:rsid w:val="00765891"/>
    <w:rsid w:val="00774B50"/>
    <w:rsid w:val="00777236"/>
    <w:rsid w:val="007811A5"/>
    <w:rsid w:val="00786EA9"/>
    <w:rsid w:val="00797267"/>
    <w:rsid w:val="007A1A49"/>
    <w:rsid w:val="007A6014"/>
    <w:rsid w:val="007B4025"/>
    <w:rsid w:val="007C0509"/>
    <w:rsid w:val="007C4B5F"/>
    <w:rsid w:val="007C5F40"/>
    <w:rsid w:val="007D1B40"/>
    <w:rsid w:val="007D1F26"/>
    <w:rsid w:val="007F1C23"/>
    <w:rsid w:val="007F68EF"/>
    <w:rsid w:val="00800823"/>
    <w:rsid w:val="008203BE"/>
    <w:rsid w:val="008219B0"/>
    <w:rsid w:val="00826CC3"/>
    <w:rsid w:val="00850943"/>
    <w:rsid w:val="00862BD5"/>
    <w:rsid w:val="00883F46"/>
    <w:rsid w:val="008A020C"/>
    <w:rsid w:val="008A24FC"/>
    <w:rsid w:val="008C4112"/>
    <w:rsid w:val="008D1596"/>
    <w:rsid w:val="008D31E5"/>
    <w:rsid w:val="008D3BA9"/>
    <w:rsid w:val="008E2B45"/>
    <w:rsid w:val="008F5640"/>
    <w:rsid w:val="00903370"/>
    <w:rsid w:val="00907551"/>
    <w:rsid w:val="00912043"/>
    <w:rsid w:val="00943572"/>
    <w:rsid w:val="0094765D"/>
    <w:rsid w:val="0095003E"/>
    <w:rsid w:val="00950B39"/>
    <w:rsid w:val="00956595"/>
    <w:rsid w:val="00960F78"/>
    <w:rsid w:val="00976778"/>
    <w:rsid w:val="00982CD3"/>
    <w:rsid w:val="00985CE8"/>
    <w:rsid w:val="009861A0"/>
    <w:rsid w:val="0099037D"/>
    <w:rsid w:val="00991486"/>
    <w:rsid w:val="00995C32"/>
    <w:rsid w:val="0099733F"/>
    <w:rsid w:val="009A1062"/>
    <w:rsid w:val="009A2586"/>
    <w:rsid w:val="009A3CB3"/>
    <w:rsid w:val="009A75B8"/>
    <w:rsid w:val="009C09CA"/>
    <w:rsid w:val="009C2F31"/>
    <w:rsid w:val="009C3B30"/>
    <w:rsid w:val="009D1D14"/>
    <w:rsid w:val="009D223A"/>
    <w:rsid w:val="009D7900"/>
    <w:rsid w:val="009E6EC8"/>
    <w:rsid w:val="009F4364"/>
    <w:rsid w:val="009F6ED4"/>
    <w:rsid w:val="00A06067"/>
    <w:rsid w:val="00A12C33"/>
    <w:rsid w:val="00A1649B"/>
    <w:rsid w:val="00A31B5A"/>
    <w:rsid w:val="00A34E6B"/>
    <w:rsid w:val="00A50304"/>
    <w:rsid w:val="00A50886"/>
    <w:rsid w:val="00A50931"/>
    <w:rsid w:val="00A51475"/>
    <w:rsid w:val="00A5298A"/>
    <w:rsid w:val="00A64BBF"/>
    <w:rsid w:val="00A70D21"/>
    <w:rsid w:val="00A86C57"/>
    <w:rsid w:val="00AB1C4D"/>
    <w:rsid w:val="00AC13F4"/>
    <w:rsid w:val="00AC1BE5"/>
    <w:rsid w:val="00AC3901"/>
    <w:rsid w:val="00AD6243"/>
    <w:rsid w:val="00AF000D"/>
    <w:rsid w:val="00B20275"/>
    <w:rsid w:val="00B203F8"/>
    <w:rsid w:val="00B20BCA"/>
    <w:rsid w:val="00B23358"/>
    <w:rsid w:val="00B25DCB"/>
    <w:rsid w:val="00B30A4A"/>
    <w:rsid w:val="00B30ADE"/>
    <w:rsid w:val="00B30C5C"/>
    <w:rsid w:val="00B424E9"/>
    <w:rsid w:val="00B449FC"/>
    <w:rsid w:val="00B54261"/>
    <w:rsid w:val="00B846C7"/>
    <w:rsid w:val="00B917FC"/>
    <w:rsid w:val="00B9674D"/>
    <w:rsid w:val="00BA22B0"/>
    <w:rsid w:val="00BC131B"/>
    <w:rsid w:val="00BF0821"/>
    <w:rsid w:val="00BF77ED"/>
    <w:rsid w:val="00C03D1D"/>
    <w:rsid w:val="00C05A3C"/>
    <w:rsid w:val="00C075B1"/>
    <w:rsid w:val="00C15175"/>
    <w:rsid w:val="00C152DF"/>
    <w:rsid w:val="00C30EF3"/>
    <w:rsid w:val="00C32578"/>
    <w:rsid w:val="00C36DCE"/>
    <w:rsid w:val="00C413B3"/>
    <w:rsid w:val="00C5142E"/>
    <w:rsid w:val="00C557F9"/>
    <w:rsid w:val="00C61324"/>
    <w:rsid w:val="00C70926"/>
    <w:rsid w:val="00C73847"/>
    <w:rsid w:val="00C85179"/>
    <w:rsid w:val="00C8739B"/>
    <w:rsid w:val="00C92EDA"/>
    <w:rsid w:val="00C96CA8"/>
    <w:rsid w:val="00CA2271"/>
    <w:rsid w:val="00CA335B"/>
    <w:rsid w:val="00CA5A77"/>
    <w:rsid w:val="00CA5F0E"/>
    <w:rsid w:val="00CC21E6"/>
    <w:rsid w:val="00CE4512"/>
    <w:rsid w:val="00CE7F2F"/>
    <w:rsid w:val="00D159C3"/>
    <w:rsid w:val="00D17EB8"/>
    <w:rsid w:val="00D23593"/>
    <w:rsid w:val="00D26C6A"/>
    <w:rsid w:val="00D31DC9"/>
    <w:rsid w:val="00D37E8A"/>
    <w:rsid w:val="00D45BF1"/>
    <w:rsid w:val="00D513D6"/>
    <w:rsid w:val="00D73539"/>
    <w:rsid w:val="00DA5931"/>
    <w:rsid w:val="00DA5FE7"/>
    <w:rsid w:val="00DB0C66"/>
    <w:rsid w:val="00DD1582"/>
    <w:rsid w:val="00E0221D"/>
    <w:rsid w:val="00E0485E"/>
    <w:rsid w:val="00E05149"/>
    <w:rsid w:val="00E156EC"/>
    <w:rsid w:val="00E1662D"/>
    <w:rsid w:val="00E242F6"/>
    <w:rsid w:val="00E24E69"/>
    <w:rsid w:val="00E27255"/>
    <w:rsid w:val="00E33F9D"/>
    <w:rsid w:val="00E34134"/>
    <w:rsid w:val="00E760B6"/>
    <w:rsid w:val="00E76B07"/>
    <w:rsid w:val="00E8169A"/>
    <w:rsid w:val="00EC0D10"/>
    <w:rsid w:val="00EE4BC4"/>
    <w:rsid w:val="00EE713F"/>
    <w:rsid w:val="00F036E9"/>
    <w:rsid w:val="00F07C86"/>
    <w:rsid w:val="00F1258B"/>
    <w:rsid w:val="00F2266B"/>
    <w:rsid w:val="00F3296D"/>
    <w:rsid w:val="00F46C01"/>
    <w:rsid w:val="00F574E1"/>
    <w:rsid w:val="00F579FF"/>
    <w:rsid w:val="00F62188"/>
    <w:rsid w:val="00F63E4C"/>
    <w:rsid w:val="00F661D4"/>
    <w:rsid w:val="00F84760"/>
    <w:rsid w:val="00F85B3D"/>
    <w:rsid w:val="00F86CC2"/>
    <w:rsid w:val="00F919A4"/>
    <w:rsid w:val="00F94937"/>
    <w:rsid w:val="00FA2702"/>
    <w:rsid w:val="00FB1925"/>
    <w:rsid w:val="00FB4A87"/>
    <w:rsid w:val="00FC1BA6"/>
    <w:rsid w:val="00FD2313"/>
    <w:rsid w:val="00FE293D"/>
    <w:rsid w:val="00FE314E"/>
    <w:rsid w:val="00FE543C"/>
    <w:rsid w:val="00FF6CB1"/>
    <w:rsid w:val="00FF6E44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8F43EC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6E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8C411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8C411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70AF-4956-4AD3-B629-B174F8FF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19</cp:revision>
  <dcterms:created xsi:type="dcterms:W3CDTF">2024-10-21T07:30:00Z</dcterms:created>
  <dcterms:modified xsi:type="dcterms:W3CDTF">2024-10-29T09:38:00Z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E855C8ED73FA4DF9B46D119C6064C219_12</vt:lpwstr>
  </property>
</Properties>
</file>