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02F7A" w14:textId="4F8F418C" w:rsidR="00623EBE" w:rsidRPr="00824AFD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24AFD">
        <w:rPr>
          <w:rFonts w:ascii="宋体" w:eastAsia="宋体" w:hAnsi="宋体"/>
          <w:sz w:val="24"/>
          <w:szCs w:val="24"/>
        </w:rPr>
        <w:t>证券代码</w:t>
      </w:r>
      <w:r w:rsidRPr="00824AFD">
        <w:rPr>
          <w:rFonts w:ascii="宋体" w:eastAsia="宋体" w:hAnsi="宋体"/>
          <w:spacing w:val="-8"/>
          <w:sz w:val="24"/>
          <w:szCs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824AFD">
        <w:rPr>
          <w:rFonts w:ascii="宋体" w:eastAsia="宋体" w:hAnsi="宋体"/>
          <w:spacing w:val="-8"/>
          <w:sz w:val="24"/>
          <w:szCs w:val="24"/>
        </w:rPr>
        <w:t>15</w:t>
      </w:r>
      <w:r w:rsidRPr="00824AFD">
        <w:rPr>
          <w:rFonts w:ascii="宋体" w:eastAsia="宋体" w:hAnsi="宋体"/>
          <w:spacing w:val="-8"/>
          <w:sz w:val="24"/>
          <w:szCs w:val="24"/>
        </w:rPr>
        <w:tab/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824AFD">
        <w:rPr>
          <w:rFonts w:ascii="宋体" w:eastAsia="宋体" w:hAnsi="宋体"/>
          <w:sz w:val="24"/>
          <w:szCs w:val="24"/>
        </w:rPr>
        <w:t>证券简称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824AFD">
        <w:rPr>
          <w:rFonts w:ascii="宋体" w:eastAsia="宋体" w:hAnsi="宋体" w:hint="eastAsia"/>
          <w:sz w:val="24"/>
          <w:szCs w:val="24"/>
        </w:rPr>
        <w:t>交建</w:t>
      </w:r>
      <w:r w:rsidRPr="00824AFD">
        <w:rPr>
          <w:rFonts w:ascii="宋体" w:eastAsia="宋体" w:hAnsi="宋体"/>
          <w:sz w:val="24"/>
          <w:szCs w:val="24"/>
        </w:rPr>
        <w:t>股份</w:t>
      </w:r>
      <w:proofErr w:type="gramEnd"/>
      <w:r w:rsidRPr="00824AFD">
        <w:rPr>
          <w:rFonts w:ascii="宋体" w:eastAsia="宋体" w:hAnsi="宋体"/>
          <w:sz w:val="24"/>
          <w:szCs w:val="24"/>
        </w:rPr>
        <w:tab/>
      </w:r>
      <w:r w:rsidRPr="00824AFD">
        <w:rPr>
          <w:rFonts w:ascii="宋体" w:eastAsia="宋体" w:hAnsi="宋体" w:hint="eastAsia"/>
          <w:sz w:val="24"/>
          <w:szCs w:val="24"/>
        </w:rPr>
        <w:t xml:space="preserve">          </w:t>
      </w:r>
      <w:r w:rsidRPr="00824AFD">
        <w:rPr>
          <w:rFonts w:ascii="宋体" w:eastAsia="宋体" w:hAnsi="宋体"/>
          <w:sz w:val="24"/>
          <w:szCs w:val="24"/>
        </w:rPr>
        <w:t>公告编号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865EAC">
        <w:rPr>
          <w:rFonts w:ascii="宋体" w:eastAsia="宋体" w:hAnsi="宋体" w:hint="eastAsia"/>
          <w:sz w:val="24"/>
          <w:szCs w:val="24"/>
        </w:rPr>
        <w:t>202</w:t>
      </w:r>
      <w:r w:rsidR="00457589">
        <w:rPr>
          <w:rFonts w:ascii="宋体" w:eastAsia="宋体" w:hAnsi="宋体" w:hint="eastAsia"/>
          <w:sz w:val="24"/>
          <w:szCs w:val="24"/>
        </w:rPr>
        <w:t>4</w:t>
      </w:r>
      <w:r w:rsidRPr="00865EAC">
        <w:rPr>
          <w:rFonts w:ascii="宋体" w:eastAsia="宋体" w:hAnsi="宋体"/>
          <w:sz w:val="24"/>
          <w:szCs w:val="24"/>
        </w:rPr>
        <w:t>-</w:t>
      </w:r>
      <w:r w:rsidR="009427F0">
        <w:rPr>
          <w:rFonts w:ascii="宋体" w:eastAsia="宋体" w:hAnsi="宋体" w:hint="eastAsia"/>
          <w:sz w:val="24"/>
          <w:szCs w:val="24"/>
        </w:rPr>
        <w:t>069</w:t>
      </w:r>
    </w:p>
    <w:p w14:paraId="603A29FE" w14:textId="77777777" w:rsidR="00623EBE" w:rsidRPr="00824AFD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3269EAD6" w14:textId="77777777" w:rsidR="00623EBE" w:rsidRPr="000F6CF3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2462ED5C" w14:textId="45FD095B" w:rsidR="00623EBE" w:rsidRPr="00734386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234650">
        <w:rPr>
          <w:rFonts w:ascii="黑体" w:eastAsia="黑体" w:hAnsi="黑体" w:hint="eastAsia"/>
          <w:b/>
          <w:bCs/>
          <w:sz w:val="36"/>
          <w:szCs w:val="36"/>
        </w:rPr>
        <w:t>实际控制人</w:t>
      </w:r>
      <w:r w:rsidR="0083543A">
        <w:rPr>
          <w:rFonts w:ascii="黑体" w:eastAsia="黑体" w:hAnsi="黑体" w:hint="eastAsia"/>
          <w:b/>
          <w:bCs/>
          <w:sz w:val="36"/>
          <w:szCs w:val="36"/>
        </w:rPr>
        <w:t>部分</w:t>
      </w:r>
      <w:r w:rsidRPr="000F6CF3">
        <w:rPr>
          <w:rFonts w:ascii="黑体" w:eastAsia="黑体" w:hAnsi="黑体" w:hint="eastAsia"/>
          <w:b/>
          <w:bCs/>
          <w:sz w:val="36"/>
          <w:szCs w:val="36"/>
        </w:rPr>
        <w:t>股份质押</w:t>
      </w:r>
      <w:r w:rsidR="003630A7">
        <w:rPr>
          <w:rFonts w:ascii="黑体" w:eastAsia="黑体" w:hAnsi="黑体" w:hint="eastAsia"/>
          <w:b/>
          <w:bCs/>
          <w:sz w:val="36"/>
          <w:szCs w:val="36"/>
        </w:rPr>
        <w:t>的补充</w:t>
      </w:r>
      <w:r w:rsidRPr="000F6CF3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02389F31" w14:textId="77CB218F" w:rsidR="00623EBE" w:rsidRPr="00824AFD" w:rsidRDefault="00824AFD" w:rsidP="00D108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4AF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D350D6">
        <w:rPr>
          <w:rFonts w:ascii="宋体" w:eastAsia="宋体" w:hAnsi="宋体" w:hint="eastAsia"/>
          <w:sz w:val="24"/>
          <w:szCs w:val="24"/>
        </w:rPr>
        <w:t>法律</w:t>
      </w:r>
      <w:r w:rsidRPr="00824AFD">
        <w:rPr>
          <w:rFonts w:ascii="宋体" w:eastAsia="宋体" w:hAnsi="宋体" w:hint="eastAsia"/>
          <w:sz w:val="24"/>
          <w:szCs w:val="24"/>
        </w:rPr>
        <w:t>责任。</w:t>
      </w:r>
    </w:p>
    <w:p w14:paraId="513FDA30" w14:textId="77777777" w:rsidR="00623EBE" w:rsidRPr="00824AFD" w:rsidRDefault="00623EBE" w:rsidP="005639B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42FB2599" w14:textId="1768D4E1" w:rsidR="009427F0" w:rsidRDefault="006735E2" w:rsidP="009427F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安徽省交通建设股份有限公司（以下简称“公司”）</w:t>
      </w:r>
      <w:r w:rsidR="004C7669">
        <w:rPr>
          <w:rFonts w:ascii="宋体" w:eastAsia="宋体" w:hAnsi="宋体" w:cs="Times New Roman" w:hint="eastAsia"/>
          <w:bCs/>
          <w:kern w:val="0"/>
          <w:sz w:val="24"/>
          <w:szCs w:val="24"/>
        </w:rPr>
        <w:t>于</w:t>
      </w:r>
      <w:r w:rsidR="004C7669" w:rsidRPr="009427F0">
        <w:rPr>
          <w:rFonts w:ascii="宋体" w:eastAsia="宋体" w:hAnsi="宋体" w:cs="Times New Roman"/>
          <w:bCs/>
          <w:kern w:val="0"/>
          <w:sz w:val="24"/>
          <w:szCs w:val="24"/>
        </w:rPr>
        <w:t>2024</w:t>
      </w:r>
      <w:r w:rsidR="004C7669" w:rsidRPr="009427F0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4C7669" w:rsidRPr="009427F0">
        <w:rPr>
          <w:rFonts w:ascii="宋体" w:eastAsia="宋体" w:hAnsi="宋体" w:cs="Times New Roman"/>
          <w:bCs/>
          <w:kern w:val="0"/>
          <w:sz w:val="24"/>
          <w:szCs w:val="24"/>
        </w:rPr>
        <w:t>9月24</w:t>
      </w:r>
      <w:r w:rsidR="004C7669" w:rsidRPr="009427F0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在</w:t>
      </w:r>
      <w:r w:rsidR="009427F0">
        <w:rPr>
          <w:rFonts w:ascii="宋体" w:eastAsia="宋体" w:hAnsi="宋体" w:cs="Times New Roman" w:hint="eastAsia"/>
          <w:bCs/>
          <w:kern w:val="0"/>
          <w:sz w:val="24"/>
          <w:szCs w:val="24"/>
        </w:rPr>
        <w:t>上海证券交易所网站</w:t>
      </w:r>
      <w:r w:rsidRPr="006735E2">
        <w:rPr>
          <w:rFonts w:ascii="宋体" w:eastAsia="宋体" w:hAnsi="宋体" w:cs="Times New Roman" w:hint="eastAsia"/>
          <w:bCs/>
          <w:kern w:val="0"/>
          <w:sz w:val="24"/>
          <w:szCs w:val="24"/>
        </w:rPr>
        <w:t>（www.sse.com.cn）</w:t>
      </w:r>
      <w:r w:rsidR="009427F0">
        <w:rPr>
          <w:rFonts w:ascii="宋体" w:eastAsia="宋体" w:hAnsi="宋体" w:cs="Times New Roman" w:hint="eastAsia"/>
          <w:bCs/>
          <w:kern w:val="0"/>
          <w:sz w:val="24"/>
          <w:szCs w:val="24"/>
        </w:rPr>
        <w:t>及指定媒体</w:t>
      </w:r>
      <w:r w:rsidR="003630A7" w:rsidRPr="009427F0">
        <w:rPr>
          <w:rFonts w:ascii="宋体" w:eastAsia="宋体" w:hAnsi="宋体" w:cs="Times New Roman" w:hint="eastAsia"/>
          <w:bCs/>
          <w:kern w:val="0"/>
          <w:sz w:val="24"/>
          <w:szCs w:val="24"/>
        </w:rPr>
        <w:t>披露了</w:t>
      </w:r>
      <w:r w:rsidR="003630A7">
        <w:rPr>
          <w:rFonts w:ascii="宋体" w:eastAsia="宋体" w:hAnsi="宋体" w:cs="Times New Roman" w:hint="eastAsia"/>
          <w:bCs/>
          <w:kern w:val="0"/>
          <w:sz w:val="24"/>
          <w:szCs w:val="24"/>
        </w:rPr>
        <w:t>《</w:t>
      </w:r>
      <w:r w:rsidR="00494CF6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</w:t>
      </w:r>
      <w:r w:rsidR="003630A7" w:rsidRPr="009427F0">
        <w:rPr>
          <w:rFonts w:ascii="宋体" w:eastAsia="宋体" w:hAnsi="宋体" w:cs="Times New Roman" w:hint="eastAsia"/>
          <w:bCs/>
          <w:kern w:val="0"/>
          <w:sz w:val="24"/>
          <w:szCs w:val="24"/>
        </w:rPr>
        <w:t>关于实际控制人部分股份质押公告》</w:t>
      </w:r>
      <w:r w:rsidR="009427F0">
        <w:rPr>
          <w:rFonts w:ascii="宋体" w:eastAsia="宋体" w:hAnsi="宋体" w:cs="Times New Roman" w:hint="eastAsia"/>
          <w:bCs/>
          <w:kern w:val="0"/>
          <w:sz w:val="24"/>
          <w:szCs w:val="24"/>
        </w:rPr>
        <w:t>（公告编号2024-068）</w:t>
      </w:r>
      <w:r w:rsidR="003630A7">
        <w:rPr>
          <w:rFonts w:ascii="宋体" w:eastAsia="宋体" w:hAnsi="宋体" w:cs="Times New Roman" w:hint="eastAsia"/>
          <w:bCs/>
          <w:kern w:val="0"/>
          <w:sz w:val="24"/>
          <w:szCs w:val="24"/>
        </w:rPr>
        <w:t>，现针对上述公告补充如下：</w:t>
      </w:r>
    </w:p>
    <w:p w14:paraId="6B4A76C3" w14:textId="7E2112AE" w:rsidR="009A38A3" w:rsidRDefault="003630A7" w:rsidP="009427F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一、</w:t>
      </w:r>
      <w:r w:rsidR="003C5FC5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</w:t>
      </w:r>
      <w:r w:rsidR="003C5FC5" w:rsidRPr="007B496D">
        <w:rPr>
          <w:rFonts w:ascii="宋体" w:hAnsi="宋体" w:hint="eastAsia"/>
          <w:bCs/>
          <w:kern w:val="0"/>
          <w:sz w:val="24"/>
          <w:szCs w:val="24"/>
        </w:rPr>
        <w:t>实际控制人及其一致行动人</w:t>
      </w:r>
      <w:r w:rsidR="001160F3">
        <w:rPr>
          <w:rFonts w:ascii="宋体" w:hAnsi="宋体" w:hint="eastAsia"/>
          <w:bCs/>
          <w:kern w:val="0"/>
          <w:sz w:val="24"/>
          <w:szCs w:val="24"/>
        </w:rPr>
        <w:t>股份</w:t>
      </w:r>
      <w:r w:rsidR="009A38A3">
        <w:rPr>
          <w:rFonts w:ascii="宋体" w:eastAsia="宋体" w:hAnsi="宋体" w:cs="Times New Roman" w:hint="eastAsia"/>
          <w:bCs/>
          <w:kern w:val="0"/>
          <w:sz w:val="24"/>
          <w:szCs w:val="24"/>
        </w:rPr>
        <w:t>质押情况</w:t>
      </w:r>
    </w:p>
    <w:p w14:paraId="61612D57" w14:textId="77777777" w:rsidR="009427F0" w:rsidRDefault="009427F0" w:rsidP="009427F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 w:rsidRPr="00CA3E52">
        <w:rPr>
          <w:rFonts w:ascii="宋体" w:hAnsi="宋体"/>
          <w:bCs/>
          <w:kern w:val="0"/>
          <w:sz w:val="24"/>
          <w:szCs w:val="24"/>
        </w:rPr>
        <w:t>截至本公告披露日，公司</w:t>
      </w:r>
      <w:r w:rsidRPr="007B496D">
        <w:rPr>
          <w:rFonts w:ascii="宋体" w:hAnsi="宋体" w:hint="eastAsia"/>
          <w:bCs/>
          <w:kern w:val="0"/>
          <w:sz w:val="24"/>
          <w:szCs w:val="24"/>
        </w:rPr>
        <w:t>实际控制人及其一致</w:t>
      </w:r>
      <w:bookmarkStart w:id="0" w:name="_GoBack"/>
      <w:bookmarkEnd w:id="0"/>
      <w:r w:rsidRPr="007B496D">
        <w:rPr>
          <w:rFonts w:ascii="宋体" w:hAnsi="宋体" w:hint="eastAsia"/>
          <w:bCs/>
          <w:kern w:val="0"/>
          <w:sz w:val="24"/>
          <w:szCs w:val="24"/>
        </w:rPr>
        <w:t>行动人</w:t>
      </w:r>
      <w:r w:rsidRPr="00CA3E52">
        <w:rPr>
          <w:rFonts w:ascii="宋体" w:hAnsi="宋体"/>
          <w:bCs/>
          <w:kern w:val="0"/>
          <w:sz w:val="24"/>
          <w:szCs w:val="24"/>
        </w:rPr>
        <w:t>合计质押公司股份数量</w:t>
      </w:r>
      <w:r w:rsidRPr="008D6D42">
        <w:rPr>
          <w:rFonts w:ascii="宋体" w:hAnsi="宋体" w:hint="eastAsia"/>
          <w:bCs/>
          <w:kern w:val="0"/>
          <w:sz w:val="24"/>
          <w:szCs w:val="24"/>
        </w:rPr>
        <w:t>为</w:t>
      </w:r>
      <w:r w:rsidRPr="005A02D2">
        <w:rPr>
          <w:rFonts w:ascii="宋体" w:hAnsi="宋体"/>
          <w:bCs/>
          <w:kern w:val="0"/>
          <w:sz w:val="24"/>
          <w:szCs w:val="24"/>
        </w:rPr>
        <w:t>1</w:t>
      </w:r>
      <w:r w:rsidRPr="005A02D2">
        <w:rPr>
          <w:rFonts w:ascii="宋体" w:hAnsi="宋体" w:hint="eastAsia"/>
          <w:bCs/>
          <w:kern w:val="0"/>
          <w:sz w:val="24"/>
          <w:szCs w:val="24"/>
        </w:rPr>
        <w:t>82,18</w:t>
      </w:r>
      <w:r w:rsidRPr="005A02D2">
        <w:rPr>
          <w:rFonts w:ascii="宋体" w:hAnsi="宋体"/>
          <w:bCs/>
          <w:kern w:val="0"/>
          <w:sz w:val="24"/>
          <w:szCs w:val="24"/>
        </w:rPr>
        <w:t>0</w:t>
      </w:r>
      <w:r w:rsidRPr="005A02D2">
        <w:rPr>
          <w:rFonts w:ascii="宋体" w:hAnsi="宋体" w:hint="eastAsia"/>
          <w:bCs/>
          <w:kern w:val="0"/>
          <w:sz w:val="24"/>
          <w:szCs w:val="24"/>
        </w:rPr>
        <w:t>,</w:t>
      </w:r>
      <w:r w:rsidRPr="005A02D2">
        <w:rPr>
          <w:rFonts w:ascii="宋体" w:hAnsi="宋体"/>
          <w:bCs/>
          <w:kern w:val="0"/>
          <w:sz w:val="24"/>
          <w:szCs w:val="24"/>
        </w:rPr>
        <w:t>000</w:t>
      </w:r>
      <w:r w:rsidRPr="005A02D2">
        <w:rPr>
          <w:rFonts w:ascii="宋体" w:hAnsi="宋体" w:hint="eastAsia"/>
          <w:bCs/>
          <w:kern w:val="0"/>
          <w:sz w:val="24"/>
          <w:szCs w:val="24"/>
        </w:rPr>
        <w:t>股，</w:t>
      </w:r>
      <w:r w:rsidRPr="005A02D2">
        <w:rPr>
          <w:rFonts w:ascii="宋体" w:hAnsi="宋体"/>
          <w:bCs/>
          <w:kern w:val="0"/>
          <w:sz w:val="24"/>
          <w:szCs w:val="24"/>
        </w:rPr>
        <w:t>占其所持股份比例</w:t>
      </w:r>
      <w:r w:rsidRPr="005A02D2">
        <w:rPr>
          <w:rFonts w:ascii="宋体" w:hAnsi="宋体" w:hint="eastAsia"/>
          <w:bCs/>
          <w:kern w:val="0"/>
          <w:sz w:val="24"/>
          <w:szCs w:val="24"/>
        </w:rPr>
        <w:t>为58.60</w:t>
      </w:r>
      <w:r w:rsidRPr="005A02D2">
        <w:rPr>
          <w:rFonts w:ascii="宋体" w:hAnsi="宋体"/>
          <w:bCs/>
          <w:kern w:val="0"/>
          <w:sz w:val="24"/>
          <w:szCs w:val="24"/>
        </w:rPr>
        <w:t>%</w:t>
      </w:r>
      <w:r w:rsidRPr="005A02D2">
        <w:rPr>
          <w:rFonts w:ascii="宋体" w:hAnsi="宋体" w:hint="eastAsia"/>
          <w:bCs/>
          <w:kern w:val="0"/>
          <w:sz w:val="24"/>
          <w:szCs w:val="24"/>
        </w:rPr>
        <w:t>，</w:t>
      </w:r>
      <w:r w:rsidRPr="005A02D2">
        <w:rPr>
          <w:rFonts w:ascii="宋体" w:hAnsi="宋体"/>
          <w:bCs/>
          <w:kern w:val="0"/>
          <w:sz w:val="24"/>
          <w:szCs w:val="24"/>
        </w:rPr>
        <w:t>累计质押股份占其合计所持公司股份数量的比例超过50%</w:t>
      </w:r>
      <w:r>
        <w:rPr>
          <w:rFonts w:ascii="宋体" w:hAnsi="宋体"/>
          <w:bCs/>
          <w:kern w:val="0"/>
          <w:sz w:val="24"/>
          <w:szCs w:val="24"/>
        </w:rPr>
        <w:t>。</w:t>
      </w:r>
    </w:p>
    <w:p w14:paraId="68153AF2" w14:textId="77777777" w:rsidR="009427F0" w:rsidRDefault="009427F0" w:rsidP="009427F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/>
          <w:bCs/>
          <w:kern w:val="0"/>
          <w:sz w:val="24"/>
          <w:szCs w:val="24"/>
        </w:rPr>
        <w:t>1、</w:t>
      </w:r>
      <w:r w:rsidRPr="007B496D">
        <w:rPr>
          <w:rFonts w:ascii="宋体" w:hAnsi="宋体" w:hint="eastAsia"/>
          <w:bCs/>
          <w:kern w:val="0"/>
          <w:sz w:val="24"/>
          <w:szCs w:val="24"/>
        </w:rPr>
        <w:t>实际控制人及其一致行动人</w:t>
      </w:r>
      <w:r>
        <w:rPr>
          <w:rFonts w:ascii="宋体" w:hAnsi="宋体"/>
          <w:bCs/>
          <w:kern w:val="0"/>
          <w:sz w:val="24"/>
          <w:szCs w:val="24"/>
        </w:rPr>
        <w:t>未来半年内将到期的质押股数为</w:t>
      </w:r>
      <w:r>
        <w:rPr>
          <w:rFonts w:ascii="宋体" w:hAnsi="宋体" w:hint="eastAsia"/>
          <w:bCs/>
          <w:kern w:val="0"/>
          <w:sz w:val="24"/>
          <w:szCs w:val="24"/>
        </w:rPr>
        <w:t>0</w:t>
      </w:r>
      <w:r>
        <w:rPr>
          <w:rFonts w:ascii="宋体" w:hAnsi="宋体"/>
          <w:bCs/>
          <w:kern w:val="0"/>
          <w:sz w:val="24"/>
          <w:szCs w:val="24"/>
        </w:rPr>
        <w:t>股；一年内（不含半年内到期）将到期的质押股数为</w:t>
      </w:r>
      <w:r>
        <w:rPr>
          <w:rFonts w:ascii="宋体" w:hAnsi="宋体" w:hint="eastAsia"/>
          <w:bCs/>
          <w:kern w:val="0"/>
          <w:sz w:val="24"/>
          <w:szCs w:val="24"/>
        </w:rPr>
        <w:t>29,500,000</w:t>
      </w:r>
      <w:r>
        <w:rPr>
          <w:rFonts w:ascii="宋体" w:hAnsi="宋体"/>
          <w:bCs/>
          <w:kern w:val="0"/>
          <w:sz w:val="24"/>
          <w:szCs w:val="24"/>
        </w:rPr>
        <w:t>股。</w:t>
      </w:r>
    </w:p>
    <w:p w14:paraId="118335AD" w14:textId="77777777" w:rsidR="009427F0" w:rsidRPr="005F650D" w:rsidRDefault="009427F0" w:rsidP="009427F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 w:rsidRPr="007B496D">
        <w:rPr>
          <w:rFonts w:ascii="宋体" w:hAnsi="宋体" w:hint="eastAsia"/>
          <w:bCs/>
          <w:kern w:val="0"/>
          <w:sz w:val="24"/>
          <w:szCs w:val="24"/>
        </w:rPr>
        <w:t>实际控制人及其一致行动人</w:t>
      </w:r>
      <w:r w:rsidRPr="00E92640">
        <w:rPr>
          <w:rFonts w:ascii="宋体" w:hAnsi="宋体"/>
          <w:bCs/>
          <w:kern w:val="0"/>
          <w:sz w:val="24"/>
          <w:szCs w:val="24"/>
        </w:rPr>
        <w:t>资信状况良好，具备相应的资金偿还能力，未来还款资金来源主要包括经营收益、投资收益及其</w:t>
      </w:r>
      <w:proofErr w:type="gramStart"/>
      <w:r w:rsidRPr="00E92640">
        <w:rPr>
          <w:rFonts w:ascii="宋体" w:hAnsi="宋体"/>
          <w:bCs/>
          <w:kern w:val="0"/>
          <w:sz w:val="24"/>
          <w:szCs w:val="24"/>
        </w:rPr>
        <w:t>他收益</w:t>
      </w:r>
      <w:proofErr w:type="gramEnd"/>
      <w:r w:rsidRPr="00E92640">
        <w:rPr>
          <w:rFonts w:ascii="宋体" w:hAnsi="宋体"/>
          <w:bCs/>
          <w:kern w:val="0"/>
          <w:sz w:val="24"/>
          <w:szCs w:val="24"/>
        </w:rPr>
        <w:t>等，质押风险在可控范围之内。</w:t>
      </w:r>
    </w:p>
    <w:p w14:paraId="71AEE691" w14:textId="77777777" w:rsidR="009427F0" w:rsidRDefault="009427F0" w:rsidP="009427F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/>
          <w:bCs/>
          <w:kern w:val="0"/>
          <w:sz w:val="24"/>
          <w:szCs w:val="24"/>
        </w:rPr>
        <w:t>2</w:t>
      </w:r>
      <w:r>
        <w:rPr>
          <w:rFonts w:ascii="宋体" w:hAnsi="宋体" w:hint="eastAsia"/>
          <w:bCs/>
          <w:kern w:val="0"/>
          <w:sz w:val="24"/>
          <w:szCs w:val="24"/>
        </w:rPr>
        <w:t>、</w:t>
      </w:r>
      <w:r w:rsidRPr="007B496D">
        <w:rPr>
          <w:rFonts w:ascii="宋体" w:hAnsi="宋体" w:hint="eastAsia"/>
          <w:bCs/>
          <w:kern w:val="0"/>
          <w:sz w:val="24"/>
          <w:szCs w:val="24"/>
        </w:rPr>
        <w:t>实际控制人及其一致行动人</w:t>
      </w:r>
      <w:r>
        <w:rPr>
          <w:rFonts w:ascii="宋体" w:hAnsi="宋体"/>
          <w:bCs/>
          <w:kern w:val="0"/>
          <w:sz w:val="24"/>
          <w:szCs w:val="24"/>
        </w:rPr>
        <w:t>不存在通过非经营性资金占用、违规担保、关联交易等侵害上市公司利益的情况。</w:t>
      </w:r>
    </w:p>
    <w:p w14:paraId="5DD035C5" w14:textId="77777777" w:rsidR="009427F0" w:rsidRDefault="009427F0" w:rsidP="009427F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/>
          <w:bCs/>
          <w:kern w:val="0"/>
          <w:sz w:val="24"/>
          <w:szCs w:val="24"/>
        </w:rPr>
        <w:t>3、</w:t>
      </w:r>
      <w:r w:rsidRPr="007B496D">
        <w:rPr>
          <w:rFonts w:ascii="宋体" w:hAnsi="宋体" w:hint="eastAsia"/>
          <w:bCs/>
          <w:kern w:val="0"/>
          <w:sz w:val="24"/>
          <w:szCs w:val="24"/>
        </w:rPr>
        <w:t>实际控制人及其一致行动人</w:t>
      </w:r>
      <w:r>
        <w:rPr>
          <w:rFonts w:ascii="宋体" w:hAnsi="宋体"/>
          <w:bCs/>
          <w:kern w:val="0"/>
          <w:sz w:val="24"/>
          <w:szCs w:val="24"/>
        </w:rPr>
        <w:t>股份质押事项对上市公司的影响</w:t>
      </w:r>
    </w:p>
    <w:p w14:paraId="17ABB264" w14:textId="77777777" w:rsidR="009427F0" w:rsidRDefault="009427F0" w:rsidP="009427F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 w:rsidRPr="00E92640">
        <w:rPr>
          <w:rFonts w:ascii="宋体" w:hAnsi="宋体" w:hint="eastAsia"/>
          <w:bCs/>
          <w:kern w:val="0"/>
          <w:sz w:val="24"/>
          <w:szCs w:val="24"/>
        </w:rPr>
        <w:t>（</w:t>
      </w:r>
      <w:r w:rsidRPr="00E92640">
        <w:rPr>
          <w:rFonts w:ascii="宋体" w:hAnsi="宋体"/>
          <w:bCs/>
          <w:kern w:val="0"/>
          <w:sz w:val="24"/>
          <w:szCs w:val="24"/>
        </w:rPr>
        <w:t>1）本次质押不会对公司主营业务、融资授信及融资成本、持续经营能力产生重大影响。</w:t>
      </w:r>
    </w:p>
    <w:p w14:paraId="30E7686B" w14:textId="77777777" w:rsidR="009427F0" w:rsidRDefault="009427F0" w:rsidP="009427F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 w:rsidRPr="00E92640">
        <w:rPr>
          <w:rFonts w:ascii="宋体" w:hAnsi="宋体"/>
          <w:bCs/>
          <w:kern w:val="0"/>
          <w:sz w:val="24"/>
          <w:szCs w:val="24"/>
        </w:rPr>
        <w:lastRenderedPageBreak/>
        <w:t>（2）本次质押不会影响公司董事会组成，不会影响</w:t>
      </w:r>
      <w:r w:rsidRPr="007B496D">
        <w:rPr>
          <w:rFonts w:ascii="宋体" w:hAnsi="宋体" w:hint="eastAsia"/>
          <w:bCs/>
          <w:kern w:val="0"/>
          <w:sz w:val="24"/>
          <w:szCs w:val="24"/>
        </w:rPr>
        <w:t>实际控制人及其一致行动人</w:t>
      </w:r>
      <w:r w:rsidRPr="00E92640">
        <w:rPr>
          <w:rFonts w:ascii="宋体" w:hAnsi="宋体"/>
          <w:bCs/>
          <w:kern w:val="0"/>
          <w:sz w:val="24"/>
          <w:szCs w:val="24"/>
        </w:rPr>
        <w:t>与公司在产权、业务、资产、人员等方面的关联情况，不会导致公司实际控制权的变更，公司的股权结构不会因此发生变化，不会对公司日常管理产生影响。</w:t>
      </w:r>
    </w:p>
    <w:p w14:paraId="33671883" w14:textId="77777777" w:rsidR="00494CF6" w:rsidRDefault="00494CF6" w:rsidP="00494CF6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bCs/>
          <w:kern w:val="0"/>
          <w:sz w:val="24"/>
          <w:szCs w:val="24"/>
        </w:rPr>
      </w:pPr>
      <w:r w:rsidRPr="00494CF6">
        <w:rPr>
          <w:rFonts w:ascii="宋体" w:hAnsi="宋体" w:hint="eastAsia"/>
          <w:bCs/>
          <w:kern w:val="0"/>
          <w:sz w:val="24"/>
          <w:szCs w:val="24"/>
        </w:rPr>
        <w:t>除上述补充内容外，原公告其他内容均保持不变。</w:t>
      </w:r>
    </w:p>
    <w:p w14:paraId="2726A809" w14:textId="77777777" w:rsidR="00494CF6" w:rsidRDefault="00494CF6" w:rsidP="00494CF6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bCs/>
          <w:kern w:val="0"/>
          <w:sz w:val="24"/>
          <w:szCs w:val="24"/>
        </w:rPr>
      </w:pPr>
    </w:p>
    <w:p w14:paraId="389D8C4A" w14:textId="15242831" w:rsidR="009427F0" w:rsidRDefault="009427F0" w:rsidP="00494CF6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4E60B7">
        <w:rPr>
          <w:rFonts w:ascii="宋体" w:hAnsi="宋体"/>
          <w:sz w:val="24"/>
          <w:szCs w:val="24"/>
        </w:rPr>
        <w:t>特此公告。</w:t>
      </w:r>
    </w:p>
    <w:p w14:paraId="452E9F32" w14:textId="77777777"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89E166F" w14:textId="77777777" w:rsidR="000F6CF3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3CF6EEC" w14:textId="3062CB98" w:rsidR="000F6CF3" w:rsidRPr="00824AFD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457589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007550">
        <w:rPr>
          <w:rFonts w:ascii="宋体" w:eastAsia="宋体" w:hAnsi="宋体" w:cs="Times New Roman"/>
          <w:bCs/>
          <w:kern w:val="0"/>
          <w:sz w:val="24"/>
          <w:szCs w:val="24"/>
        </w:rPr>
        <w:t>9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457589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 w:rsidR="00E73FB4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824AFD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8E6C6" w14:textId="77777777" w:rsidR="00F31F3B" w:rsidRDefault="00F31F3B" w:rsidP="000F6CF3">
      <w:r>
        <w:separator/>
      </w:r>
    </w:p>
  </w:endnote>
  <w:endnote w:type="continuationSeparator" w:id="0">
    <w:p w14:paraId="163CA4C8" w14:textId="77777777" w:rsidR="00F31F3B" w:rsidRDefault="00F31F3B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EE337" w14:textId="77777777" w:rsidR="00F31F3B" w:rsidRDefault="00F31F3B" w:rsidP="000F6CF3">
      <w:r>
        <w:separator/>
      </w:r>
    </w:p>
  </w:footnote>
  <w:footnote w:type="continuationSeparator" w:id="0">
    <w:p w14:paraId="13CE80AB" w14:textId="77777777" w:rsidR="00F31F3B" w:rsidRDefault="00F31F3B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028B6"/>
    <w:rsid w:val="00003BF8"/>
    <w:rsid w:val="00007550"/>
    <w:rsid w:val="00035EC5"/>
    <w:rsid w:val="0006129A"/>
    <w:rsid w:val="00065F52"/>
    <w:rsid w:val="00084CCC"/>
    <w:rsid w:val="00087A17"/>
    <w:rsid w:val="00091907"/>
    <w:rsid w:val="000F6CF3"/>
    <w:rsid w:val="00115970"/>
    <w:rsid w:val="001160F3"/>
    <w:rsid w:val="00117071"/>
    <w:rsid w:val="001173B5"/>
    <w:rsid w:val="001737A2"/>
    <w:rsid w:val="001B2205"/>
    <w:rsid w:val="001B4AE4"/>
    <w:rsid w:val="00234650"/>
    <w:rsid w:val="00237CFC"/>
    <w:rsid w:val="00257DFD"/>
    <w:rsid w:val="00260198"/>
    <w:rsid w:val="0026154C"/>
    <w:rsid w:val="002669DA"/>
    <w:rsid w:val="002B1B58"/>
    <w:rsid w:val="002B3A6C"/>
    <w:rsid w:val="002D1CD9"/>
    <w:rsid w:val="002F2F22"/>
    <w:rsid w:val="00306551"/>
    <w:rsid w:val="0034519B"/>
    <w:rsid w:val="0034610C"/>
    <w:rsid w:val="003630A7"/>
    <w:rsid w:val="003C5FC5"/>
    <w:rsid w:val="003D3DB2"/>
    <w:rsid w:val="004067C3"/>
    <w:rsid w:val="0044477F"/>
    <w:rsid w:val="00445FA8"/>
    <w:rsid w:val="00450649"/>
    <w:rsid w:val="0045378A"/>
    <w:rsid w:val="00457589"/>
    <w:rsid w:val="00494CF6"/>
    <w:rsid w:val="004C7669"/>
    <w:rsid w:val="004F0AA8"/>
    <w:rsid w:val="004F1BE7"/>
    <w:rsid w:val="00501827"/>
    <w:rsid w:val="00510DA0"/>
    <w:rsid w:val="00520F56"/>
    <w:rsid w:val="005639B4"/>
    <w:rsid w:val="00571367"/>
    <w:rsid w:val="00571C4D"/>
    <w:rsid w:val="005745ED"/>
    <w:rsid w:val="005828A7"/>
    <w:rsid w:val="00592C27"/>
    <w:rsid w:val="005A5327"/>
    <w:rsid w:val="005D617E"/>
    <w:rsid w:val="005E21C4"/>
    <w:rsid w:val="005E4C67"/>
    <w:rsid w:val="006075A2"/>
    <w:rsid w:val="0062226B"/>
    <w:rsid w:val="00623EBE"/>
    <w:rsid w:val="006342A2"/>
    <w:rsid w:val="00664CAD"/>
    <w:rsid w:val="006735E2"/>
    <w:rsid w:val="00693A3D"/>
    <w:rsid w:val="006B6F57"/>
    <w:rsid w:val="006E2270"/>
    <w:rsid w:val="006E567A"/>
    <w:rsid w:val="00701A8C"/>
    <w:rsid w:val="00731A06"/>
    <w:rsid w:val="00734386"/>
    <w:rsid w:val="0074367C"/>
    <w:rsid w:val="007669D0"/>
    <w:rsid w:val="00776C6E"/>
    <w:rsid w:val="007852A8"/>
    <w:rsid w:val="007B2FCA"/>
    <w:rsid w:val="007E1A44"/>
    <w:rsid w:val="0081094B"/>
    <w:rsid w:val="00813C56"/>
    <w:rsid w:val="00816C4A"/>
    <w:rsid w:val="008176B0"/>
    <w:rsid w:val="00824AFD"/>
    <w:rsid w:val="0083007B"/>
    <w:rsid w:val="0083543A"/>
    <w:rsid w:val="00837C6D"/>
    <w:rsid w:val="00845DFB"/>
    <w:rsid w:val="00852D91"/>
    <w:rsid w:val="00865EAC"/>
    <w:rsid w:val="00875887"/>
    <w:rsid w:val="00893769"/>
    <w:rsid w:val="008B6E18"/>
    <w:rsid w:val="008D20D2"/>
    <w:rsid w:val="008E22C9"/>
    <w:rsid w:val="0091392F"/>
    <w:rsid w:val="00941AF2"/>
    <w:rsid w:val="009427F0"/>
    <w:rsid w:val="009752B1"/>
    <w:rsid w:val="009A38A3"/>
    <w:rsid w:val="009B5301"/>
    <w:rsid w:val="009D7DD6"/>
    <w:rsid w:val="009E04C6"/>
    <w:rsid w:val="009F704E"/>
    <w:rsid w:val="00A06C48"/>
    <w:rsid w:val="00A21A11"/>
    <w:rsid w:val="00A43BAB"/>
    <w:rsid w:val="00A62DCA"/>
    <w:rsid w:val="00A67F6D"/>
    <w:rsid w:val="00AC3163"/>
    <w:rsid w:val="00AC5A7F"/>
    <w:rsid w:val="00AE3AB4"/>
    <w:rsid w:val="00B425E0"/>
    <w:rsid w:val="00B95785"/>
    <w:rsid w:val="00BA7D03"/>
    <w:rsid w:val="00BB1FA9"/>
    <w:rsid w:val="00BE625B"/>
    <w:rsid w:val="00BF3388"/>
    <w:rsid w:val="00C272B4"/>
    <w:rsid w:val="00C66F65"/>
    <w:rsid w:val="00C8176A"/>
    <w:rsid w:val="00CD61AC"/>
    <w:rsid w:val="00D034A3"/>
    <w:rsid w:val="00D10833"/>
    <w:rsid w:val="00D10EDF"/>
    <w:rsid w:val="00D12BA2"/>
    <w:rsid w:val="00D1618B"/>
    <w:rsid w:val="00D350D6"/>
    <w:rsid w:val="00D5009F"/>
    <w:rsid w:val="00D66B45"/>
    <w:rsid w:val="00DB38DB"/>
    <w:rsid w:val="00DC245F"/>
    <w:rsid w:val="00DE3495"/>
    <w:rsid w:val="00E00CFD"/>
    <w:rsid w:val="00E15DCC"/>
    <w:rsid w:val="00E1661B"/>
    <w:rsid w:val="00E172EB"/>
    <w:rsid w:val="00E713E8"/>
    <w:rsid w:val="00E73FB4"/>
    <w:rsid w:val="00E763B6"/>
    <w:rsid w:val="00E85022"/>
    <w:rsid w:val="00E93E87"/>
    <w:rsid w:val="00EA482E"/>
    <w:rsid w:val="00EB45D1"/>
    <w:rsid w:val="00EE3AE4"/>
    <w:rsid w:val="00EE66A9"/>
    <w:rsid w:val="00EE690F"/>
    <w:rsid w:val="00F31F3B"/>
    <w:rsid w:val="00F93295"/>
    <w:rsid w:val="00FA0616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9A38A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0986A-B7E1-4468-A623-544BD3FC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83</cp:revision>
  <dcterms:created xsi:type="dcterms:W3CDTF">2020-02-24T08:42:00Z</dcterms:created>
  <dcterms:modified xsi:type="dcterms:W3CDTF">2024-09-23T12:16:00Z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