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F8DC0" w14:textId="45A6479C" w:rsidR="002B308C" w:rsidRDefault="002B308C" w:rsidP="0003229A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证券代码：603815          证券简称：</w:t>
      </w:r>
      <w:proofErr w:type="gramStart"/>
      <w:r>
        <w:rPr>
          <w:rFonts w:ascii="宋体" w:hAnsi="宋体" w:hint="eastAsia"/>
          <w:sz w:val="24"/>
          <w:szCs w:val="24"/>
        </w:rPr>
        <w:t>交建股份</w:t>
      </w:r>
      <w:proofErr w:type="gramEnd"/>
      <w:r>
        <w:rPr>
          <w:rFonts w:ascii="宋体" w:hAnsi="宋体" w:hint="eastAsia"/>
          <w:sz w:val="24"/>
          <w:szCs w:val="24"/>
        </w:rPr>
        <w:t xml:space="preserve">      公告编号：202</w:t>
      </w:r>
      <w:r w:rsidR="00ED0EE9"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-</w:t>
      </w:r>
      <w:r w:rsidR="00A077FD">
        <w:rPr>
          <w:rFonts w:ascii="宋体" w:hAnsi="宋体" w:hint="eastAsia"/>
          <w:sz w:val="24"/>
          <w:szCs w:val="24"/>
        </w:rPr>
        <w:t>050</w:t>
      </w:r>
    </w:p>
    <w:p w14:paraId="088DE40F" w14:textId="77777777" w:rsidR="002B308C" w:rsidRPr="00523862" w:rsidRDefault="002B308C" w:rsidP="0003229A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p w14:paraId="6CA5324B" w14:textId="77777777" w:rsidR="00B05E61" w:rsidRPr="003E5B72" w:rsidRDefault="002B308C" w:rsidP="0003229A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3E5B72">
        <w:rPr>
          <w:rFonts w:ascii="黑体" w:eastAsia="黑体" w:hAnsi="黑体" w:hint="eastAsia"/>
          <w:b/>
          <w:color w:val="FF0000"/>
          <w:sz w:val="36"/>
          <w:szCs w:val="36"/>
        </w:rPr>
        <w:t>安徽省交通建设股份</w:t>
      </w:r>
      <w:r w:rsidRPr="003E5B72">
        <w:rPr>
          <w:rFonts w:ascii="黑体" w:eastAsia="黑体" w:hAnsi="黑体"/>
          <w:b/>
          <w:color w:val="FF0000"/>
          <w:sz w:val="36"/>
          <w:szCs w:val="36"/>
        </w:rPr>
        <w:t>有限公司</w:t>
      </w:r>
    </w:p>
    <w:p w14:paraId="7D5500CA" w14:textId="77777777" w:rsidR="00A45347" w:rsidRPr="00A45347" w:rsidRDefault="00A45347" w:rsidP="00A45347">
      <w:pPr>
        <w:spacing w:line="360" w:lineRule="auto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A45347">
        <w:rPr>
          <w:rFonts w:ascii="黑体" w:eastAsia="黑体" w:hAnsi="黑体"/>
          <w:b/>
          <w:color w:val="FF0000"/>
          <w:sz w:val="36"/>
          <w:szCs w:val="36"/>
        </w:rPr>
        <w:t>关于回购股份事项前十大股东及前十大无限</w:t>
      </w:r>
      <w:proofErr w:type="gramStart"/>
      <w:r w:rsidRPr="00A45347">
        <w:rPr>
          <w:rFonts w:ascii="黑体" w:eastAsia="黑体" w:hAnsi="黑体"/>
          <w:b/>
          <w:color w:val="FF0000"/>
          <w:sz w:val="36"/>
          <w:szCs w:val="36"/>
        </w:rPr>
        <w:t>售条件</w:t>
      </w:r>
      <w:proofErr w:type="gramEnd"/>
      <w:r w:rsidRPr="00A45347">
        <w:rPr>
          <w:rFonts w:ascii="黑体" w:eastAsia="黑体" w:hAnsi="黑体"/>
          <w:b/>
          <w:color w:val="FF0000"/>
          <w:sz w:val="36"/>
          <w:szCs w:val="36"/>
        </w:rPr>
        <w:t>股东持股情况的公告</w:t>
      </w:r>
    </w:p>
    <w:p w14:paraId="228F79BC" w14:textId="77777777" w:rsidR="00B05E61" w:rsidRPr="00B05E61" w:rsidRDefault="00B05E61" w:rsidP="0003229A">
      <w:pPr>
        <w:spacing w:line="360" w:lineRule="auto"/>
        <w:jc w:val="center"/>
        <w:rPr>
          <w:rFonts w:ascii="黑体" w:eastAsia="黑体" w:hAnsi="黑体"/>
          <w:b/>
          <w:sz w:val="24"/>
          <w:szCs w:val="24"/>
        </w:rPr>
      </w:pPr>
    </w:p>
    <w:tbl>
      <w:tblPr>
        <w:tblStyle w:val="af4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2B308C" w14:paraId="467C597C" w14:textId="77777777" w:rsidTr="00322C40">
        <w:tc>
          <w:tcPr>
            <w:tcW w:w="8364" w:type="dxa"/>
          </w:tcPr>
          <w:p w14:paraId="2AC79A6F" w14:textId="77777777" w:rsidR="002B308C" w:rsidRDefault="002B308C" w:rsidP="0003229A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本公司董事会及全体董事保证本公告内容不存在任何虚假记载、误导性陈述或者重大遗漏，并对其内容的真实性、准确性和完整性承担法律责任。</w:t>
            </w:r>
          </w:p>
        </w:tc>
      </w:tr>
    </w:tbl>
    <w:p w14:paraId="1A7D330B" w14:textId="77777777" w:rsidR="00B05E61" w:rsidRPr="00A45347" w:rsidRDefault="00B05E61" w:rsidP="0003229A">
      <w:pPr>
        <w:pStyle w:val="Default"/>
        <w:autoSpaceDN/>
        <w:spacing w:line="360" w:lineRule="auto"/>
        <w:ind w:firstLineChars="200" w:firstLine="480"/>
        <w:jc w:val="both"/>
        <w:rPr>
          <w:rFonts w:hAnsi="宋体"/>
        </w:rPr>
      </w:pPr>
    </w:p>
    <w:p w14:paraId="7725D7BF" w14:textId="797CF15C" w:rsidR="004473F2" w:rsidRDefault="00A45347" w:rsidP="00344DC8">
      <w:pPr>
        <w:pStyle w:val="Default"/>
        <w:autoSpaceDN/>
        <w:spacing w:line="360" w:lineRule="auto"/>
        <w:ind w:firstLineChars="200" w:firstLine="480"/>
        <w:jc w:val="both"/>
      </w:pPr>
      <w:r>
        <w:rPr>
          <w:rFonts w:hint="eastAsia"/>
        </w:rPr>
        <w:t>安徽省交通建设股份有限公司（以下简称“公司”）于2024年7月</w:t>
      </w:r>
      <w:r w:rsidR="00851DBD">
        <w:rPr>
          <w:rFonts w:hint="eastAsia"/>
        </w:rPr>
        <w:t>10</w:t>
      </w:r>
      <w:r>
        <w:rPr>
          <w:rFonts w:hint="eastAsia"/>
        </w:rPr>
        <w:t>日召开第三届董事会第十三次会议审议通过</w:t>
      </w:r>
      <w:r w:rsidRPr="00A45347">
        <w:rPr>
          <w:rFonts w:hint="eastAsia"/>
        </w:rPr>
        <w:t>《关于以集中竞价交易方式回购股份</w:t>
      </w:r>
      <w:r w:rsidR="00A077FD">
        <w:rPr>
          <w:rFonts w:hint="eastAsia"/>
        </w:rPr>
        <w:t>预案</w:t>
      </w:r>
      <w:r w:rsidRPr="00A45347">
        <w:rPr>
          <w:rFonts w:hint="eastAsia"/>
        </w:rPr>
        <w:t>的议案》</w:t>
      </w:r>
      <w:r>
        <w:rPr>
          <w:rFonts w:hint="eastAsia"/>
        </w:rPr>
        <w:t>，具体内容详见公司于2024年7月1</w:t>
      </w:r>
      <w:r w:rsidR="00851DBD">
        <w:rPr>
          <w:rFonts w:hint="eastAsia"/>
        </w:rPr>
        <w:t>1</w:t>
      </w:r>
      <w:r>
        <w:rPr>
          <w:rFonts w:hint="eastAsia"/>
        </w:rPr>
        <w:t>日在上海证券交易所网站（www.sse.com.cn）披露的</w:t>
      </w:r>
      <w:r w:rsidRPr="00A45347">
        <w:rPr>
          <w:rFonts w:hint="eastAsia"/>
        </w:rPr>
        <w:t>《安徽省交通建设股份有限公司关于以集中竞价交易方式回购股份</w:t>
      </w:r>
      <w:r w:rsidR="00A077FD">
        <w:rPr>
          <w:rFonts w:hint="eastAsia"/>
        </w:rPr>
        <w:t>的预案</w:t>
      </w:r>
      <w:r w:rsidRPr="00A45347">
        <w:rPr>
          <w:rFonts w:hint="eastAsia"/>
        </w:rPr>
        <w:t>》</w:t>
      </w:r>
      <w:r>
        <w:rPr>
          <w:rFonts w:hint="eastAsia"/>
        </w:rPr>
        <w:t>（公告编号：2024-</w:t>
      </w:r>
      <w:r w:rsidR="00A077FD">
        <w:rPr>
          <w:rFonts w:hint="eastAsia"/>
        </w:rPr>
        <w:t>048</w:t>
      </w:r>
      <w:r>
        <w:rPr>
          <w:rFonts w:hint="eastAsia"/>
        </w:rPr>
        <w:t>）。</w:t>
      </w:r>
    </w:p>
    <w:p w14:paraId="34BC6889" w14:textId="45AC1D17" w:rsidR="00A45347" w:rsidRDefault="00A45347" w:rsidP="00344DC8">
      <w:pPr>
        <w:pStyle w:val="Default"/>
        <w:autoSpaceDN/>
        <w:spacing w:line="360" w:lineRule="auto"/>
        <w:ind w:firstLineChars="200" w:firstLine="480"/>
        <w:jc w:val="both"/>
      </w:pPr>
      <w:r>
        <w:t>根据《上市公司股份回购规则》《上海证券交易所上市公司自律监管指引第7 号</w:t>
      </w:r>
      <w:r>
        <w:t>——</w:t>
      </w:r>
      <w:r>
        <w:t>回购股份》等相关规定，现将董事会公告回购股</w:t>
      </w:r>
      <w:proofErr w:type="gramStart"/>
      <w:r>
        <w:t>份决议</w:t>
      </w:r>
      <w:proofErr w:type="gramEnd"/>
      <w:r>
        <w:t>前一个交易日（即2024年</w:t>
      </w:r>
      <w:r w:rsidR="00AE7C6F">
        <w:rPr>
          <w:rFonts w:hint="eastAsia"/>
        </w:rPr>
        <w:t>7</w:t>
      </w:r>
      <w:r>
        <w:t>月</w:t>
      </w:r>
      <w:r w:rsidR="00851DBD">
        <w:rPr>
          <w:rFonts w:hint="eastAsia"/>
        </w:rPr>
        <w:t>10</w:t>
      </w:r>
      <w:r>
        <w:t>日）登记在册的前十大股东和前十大无限</w:t>
      </w:r>
      <w:proofErr w:type="gramStart"/>
      <w:r>
        <w:t>售条件</w:t>
      </w:r>
      <w:proofErr w:type="gramEnd"/>
      <w:r>
        <w:t>股东的名称、持股数量及持股比例情况公告如下：</w:t>
      </w:r>
    </w:p>
    <w:p w14:paraId="59BBCF8C" w14:textId="4D64A144" w:rsidR="00AE7C6F" w:rsidRPr="0087529A" w:rsidRDefault="00AE7C6F" w:rsidP="0087529A">
      <w:pPr>
        <w:pStyle w:val="Default"/>
        <w:autoSpaceDN/>
        <w:spacing w:line="360" w:lineRule="auto"/>
        <w:ind w:firstLineChars="200" w:firstLine="482"/>
        <w:jc w:val="both"/>
        <w:outlineLvl w:val="0"/>
        <w:rPr>
          <w:b/>
          <w:bCs/>
        </w:rPr>
      </w:pPr>
      <w:r w:rsidRPr="0087529A">
        <w:rPr>
          <w:rFonts w:hint="eastAsia"/>
          <w:b/>
          <w:bCs/>
        </w:rPr>
        <w:t>一、前十大股东持股情况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701"/>
        <w:gridCol w:w="1780"/>
      </w:tblGrid>
      <w:tr w:rsidR="00AE7C6F" w14:paraId="622C17AE" w14:textId="77777777" w:rsidTr="00C171FA">
        <w:tc>
          <w:tcPr>
            <w:tcW w:w="704" w:type="dxa"/>
            <w:vAlign w:val="center"/>
          </w:tcPr>
          <w:p w14:paraId="22884E7C" w14:textId="6DC1C43C" w:rsidR="00AE7C6F" w:rsidRDefault="00AE7C6F" w:rsidP="00AE7C6F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11" w:type="dxa"/>
            <w:vAlign w:val="center"/>
          </w:tcPr>
          <w:p w14:paraId="6237A5B7" w14:textId="76D3CAA2" w:rsidR="00AE7C6F" w:rsidRDefault="00AE7C6F" w:rsidP="00AE7C6F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股东姓名</w:t>
            </w:r>
          </w:p>
        </w:tc>
        <w:tc>
          <w:tcPr>
            <w:tcW w:w="1701" w:type="dxa"/>
            <w:vAlign w:val="center"/>
          </w:tcPr>
          <w:p w14:paraId="0BDD3FF1" w14:textId="12693DB9" w:rsidR="00AE7C6F" w:rsidRDefault="00AE7C6F" w:rsidP="00AE7C6F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持股数量（股）</w:t>
            </w:r>
          </w:p>
        </w:tc>
        <w:tc>
          <w:tcPr>
            <w:tcW w:w="1780" w:type="dxa"/>
            <w:vAlign w:val="center"/>
          </w:tcPr>
          <w:p w14:paraId="41EAA797" w14:textId="39AC63AD" w:rsidR="00AE7C6F" w:rsidRDefault="00AE7C6F" w:rsidP="00AE7C6F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占公司总股本的比例（%）</w:t>
            </w:r>
          </w:p>
        </w:tc>
      </w:tr>
      <w:tr w:rsidR="00A077FD" w14:paraId="3C4B8EF1" w14:textId="77777777" w:rsidTr="00C171FA">
        <w:tc>
          <w:tcPr>
            <w:tcW w:w="704" w:type="dxa"/>
            <w:vAlign w:val="center"/>
          </w:tcPr>
          <w:p w14:paraId="05396880" w14:textId="51D73E79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vAlign w:val="center"/>
          </w:tcPr>
          <w:p w14:paraId="066AB658" w14:textId="186B1688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proofErr w:type="gramStart"/>
            <w:r>
              <w:t>祥</w:t>
            </w:r>
            <w:proofErr w:type="gramEnd"/>
            <w:r>
              <w:t>源控股集团有限责任公司</w:t>
            </w:r>
          </w:p>
        </w:tc>
        <w:tc>
          <w:tcPr>
            <w:tcW w:w="1701" w:type="dxa"/>
            <w:vAlign w:val="center"/>
          </w:tcPr>
          <w:p w14:paraId="46E1F827" w14:textId="73235A0E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274,293,290</w:t>
            </w:r>
          </w:p>
        </w:tc>
        <w:tc>
          <w:tcPr>
            <w:tcW w:w="1780" w:type="dxa"/>
            <w:vAlign w:val="center"/>
          </w:tcPr>
          <w:p w14:paraId="65F9D41F" w14:textId="1152F8FB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44.32</w:t>
            </w:r>
          </w:p>
        </w:tc>
      </w:tr>
      <w:tr w:rsidR="00A077FD" w14:paraId="28401956" w14:textId="77777777" w:rsidTr="00C171FA">
        <w:tc>
          <w:tcPr>
            <w:tcW w:w="704" w:type="dxa"/>
            <w:vAlign w:val="center"/>
          </w:tcPr>
          <w:p w14:paraId="32439C57" w14:textId="4984931B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  <w:vAlign w:val="center"/>
          </w:tcPr>
          <w:p w14:paraId="66D196DD" w14:textId="777CBA64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proofErr w:type="gramStart"/>
            <w:r>
              <w:t>俞</w:t>
            </w:r>
            <w:proofErr w:type="gramEnd"/>
            <w:r>
              <w:t>发祥</w:t>
            </w:r>
          </w:p>
        </w:tc>
        <w:tc>
          <w:tcPr>
            <w:tcW w:w="1701" w:type="dxa"/>
            <w:vAlign w:val="center"/>
          </w:tcPr>
          <w:p w14:paraId="1195844A" w14:textId="5366A8AA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15,729,100</w:t>
            </w:r>
          </w:p>
        </w:tc>
        <w:tc>
          <w:tcPr>
            <w:tcW w:w="1780" w:type="dxa"/>
            <w:vAlign w:val="center"/>
          </w:tcPr>
          <w:p w14:paraId="3000C2DB" w14:textId="372665F6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2.54</w:t>
            </w:r>
          </w:p>
        </w:tc>
      </w:tr>
      <w:tr w:rsidR="00A077FD" w14:paraId="1A32B34B" w14:textId="77777777" w:rsidTr="00C171FA">
        <w:tc>
          <w:tcPr>
            <w:tcW w:w="704" w:type="dxa"/>
            <w:vAlign w:val="center"/>
          </w:tcPr>
          <w:p w14:paraId="50956785" w14:textId="7E0C42E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11" w:type="dxa"/>
            <w:vAlign w:val="center"/>
          </w:tcPr>
          <w:p w14:paraId="0EB13615" w14:textId="6CF1C775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t>黄山市为</w:t>
            </w:r>
            <w:proofErr w:type="gramStart"/>
            <w:r>
              <w:t>众投资</w:t>
            </w:r>
            <w:proofErr w:type="gramEnd"/>
            <w:r>
              <w:t>管理中心(有限合伙)</w:t>
            </w:r>
          </w:p>
        </w:tc>
        <w:tc>
          <w:tcPr>
            <w:tcW w:w="1701" w:type="dxa"/>
            <w:vAlign w:val="center"/>
          </w:tcPr>
          <w:p w14:paraId="3F747229" w14:textId="462EEC50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8,690,000</w:t>
            </w:r>
          </w:p>
        </w:tc>
        <w:tc>
          <w:tcPr>
            <w:tcW w:w="1780" w:type="dxa"/>
            <w:vAlign w:val="center"/>
          </w:tcPr>
          <w:p w14:paraId="714C6103" w14:textId="572271B9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1.40</w:t>
            </w:r>
          </w:p>
        </w:tc>
      </w:tr>
      <w:tr w:rsidR="00A077FD" w14:paraId="0C558A11" w14:textId="77777777" w:rsidTr="00C171FA">
        <w:tc>
          <w:tcPr>
            <w:tcW w:w="704" w:type="dxa"/>
            <w:vAlign w:val="center"/>
          </w:tcPr>
          <w:p w14:paraId="2614F9D2" w14:textId="376F9ECA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11" w:type="dxa"/>
            <w:vAlign w:val="center"/>
          </w:tcPr>
          <w:p w14:paraId="0DC0C243" w14:textId="34C8100D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t>俞水祥</w:t>
            </w:r>
          </w:p>
        </w:tc>
        <w:tc>
          <w:tcPr>
            <w:tcW w:w="1701" w:type="dxa"/>
            <w:vAlign w:val="center"/>
          </w:tcPr>
          <w:p w14:paraId="36E93711" w14:textId="783740A0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7,294,930</w:t>
            </w:r>
          </w:p>
        </w:tc>
        <w:tc>
          <w:tcPr>
            <w:tcW w:w="1780" w:type="dxa"/>
            <w:vAlign w:val="center"/>
          </w:tcPr>
          <w:p w14:paraId="2BF25FE4" w14:textId="5F719A80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1.18</w:t>
            </w:r>
          </w:p>
        </w:tc>
      </w:tr>
      <w:tr w:rsidR="00A077FD" w14:paraId="462E9652" w14:textId="77777777" w:rsidTr="00C171FA">
        <w:tc>
          <w:tcPr>
            <w:tcW w:w="704" w:type="dxa"/>
            <w:vAlign w:val="center"/>
          </w:tcPr>
          <w:p w14:paraId="489E78A8" w14:textId="502B836C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11" w:type="dxa"/>
            <w:vAlign w:val="center"/>
          </w:tcPr>
          <w:p w14:paraId="02878DA4" w14:textId="1483E160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t>黄山市行</w:t>
            </w:r>
            <w:proofErr w:type="gramStart"/>
            <w:r>
              <w:t>远投资</w:t>
            </w:r>
            <w:proofErr w:type="gramEnd"/>
            <w:r>
              <w:t>管理中心(有限合伙)</w:t>
            </w:r>
          </w:p>
        </w:tc>
        <w:tc>
          <w:tcPr>
            <w:tcW w:w="1701" w:type="dxa"/>
            <w:vAlign w:val="center"/>
          </w:tcPr>
          <w:p w14:paraId="2551806E" w14:textId="63BE0965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6,965,000</w:t>
            </w:r>
          </w:p>
        </w:tc>
        <w:tc>
          <w:tcPr>
            <w:tcW w:w="1780" w:type="dxa"/>
            <w:vAlign w:val="center"/>
          </w:tcPr>
          <w:p w14:paraId="42B8CA1D" w14:textId="2441079A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1.13</w:t>
            </w:r>
          </w:p>
        </w:tc>
      </w:tr>
      <w:tr w:rsidR="00A077FD" w14:paraId="1F149D73" w14:textId="77777777" w:rsidTr="00C171FA">
        <w:tc>
          <w:tcPr>
            <w:tcW w:w="704" w:type="dxa"/>
            <w:vAlign w:val="center"/>
          </w:tcPr>
          <w:p w14:paraId="0449B530" w14:textId="305DB07C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11" w:type="dxa"/>
            <w:vAlign w:val="center"/>
          </w:tcPr>
          <w:p w14:paraId="1AB8AD69" w14:textId="0150FF4F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t>黄山市启建投资管理中心(有限合伙)</w:t>
            </w:r>
          </w:p>
        </w:tc>
        <w:tc>
          <w:tcPr>
            <w:tcW w:w="1701" w:type="dxa"/>
            <w:vAlign w:val="center"/>
          </w:tcPr>
          <w:p w14:paraId="39E146BF" w14:textId="712BBD74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5,219,500</w:t>
            </w:r>
          </w:p>
        </w:tc>
        <w:tc>
          <w:tcPr>
            <w:tcW w:w="1780" w:type="dxa"/>
            <w:vAlign w:val="center"/>
          </w:tcPr>
          <w:p w14:paraId="1263F0AB" w14:textId="6DCD7662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0.84</w:t>
            </w:r>
          </w:p>
        </w:tc>
      </w:tr>
      <w:tr w:rsidR="00A077FD" w14:paraId="6D592426" w14:textId="77777777" w:rsidTr="00C171FA">
        <w:tc>
          <w:tcPr>
            <w:tcW w:w="704" w:type="dxa"/>
            <w:vAlign w:val="center"/>
          </w:tcPr>
          <w:p w14:paraId="74E909A2" w14:textId="15484E41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11" w:type="dxa"/>
            <w:vAlign w:val="center"/>
          </w:tcPr>
          <w:p w14:paraId="2B238948" w14:textId="648DE4F5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t>金梅恩</w:t>
            </w:r>
          </w:p>
        </w:tc>
        <w:tc>
          <w:tcPr>
            <w:tcW w:w="1701" w:type="dxa"/>
            <w:vAlign w:val="center"/>
          </w:tcPr>
          <w:p w14:paraId="0D566BB2" w14:textId="1DCCE088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4,805,818</w:t>
            </w:r>
          </w:p>
        </w:tc>
        <w:tc>
          <w:tcPr>
            <w:tcW w:w="1780" w:type="dxa"/>
            <w:vAlign w:val="center"/>
          </w:tcPr>
          <w:p w14:paraId="476E4BA7" w14:textId="7E438CD4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0.78</w:t>
            </w:r>
          </w:p>
        </w:tc>
      </w:tr>
      <w:tr w:rsidR="00A077FD" w14:paraId="0121CCA2" w14:textId="77777777" w:rsidTr="00C171FA">
        <w:tc>
          <w:tcPr>
            <w:tcW w:w="704" w:type="dxa"/>
            <w:vAlign w:val="center"/>
          </w:tcPr>
          <w:p w14:paraId="0FCCC7E2" w14:textId="11EED8DA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4111" w:type="dxa"/>
            <w:vAlign w:val="center"/>
          </w:tcPr>
          <w:p w14:paraId="3E1CE92A" w14:textId="79F2A1D1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rPr>
                <w:rFonts w:hint="eastAsia"/>
              </w:rPr>
              <w:t>胡先宽</w:t>
            </w:r>
          </w:p>
        </w:tc>
        <w:tc>
          <w:tcPr>
            <w:tcW w:w="1701" w:type="dxa"/>
            <w:vAlign w:val="center"/>
          </w:tcPr>
          <w:p w14:paraId="7629D5B5" w14:textId="29D38C55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3,827,500</w:t>
            </w:r>
          </w:p>
        </w:tc>
        <w:tc>
          <w:tcPr>
            <w:tcW w:w="1780" w:type="dxa"/>
            <w:vAlign w:val="center"/>
          </w:tcPr>
          <w:p w14:paraId="3DF87EB5" w14:textId="007E8B58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0.62</w:t>
            </w:r>
          </w:p>
        </w:tc>
      </w:tr>
      <w:tr w:rsidR="00A077FD" w14:paraId="6EF63D01" w14:textId="77777777" w:rsidTr="00C171FA">
        <w:tc>
          <w:tcPr>
            <w:tcW w:w="704" w:type="dxa"/>
            <w:vAlign w:val="center"/>
          </w:tcPr>
          <w:p w14:paraId="23100E1A" w14:textId="778F490B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111" w:type="dxa"/>
            <w:vAlign w:val="center"/>
          </w:tcPr>
          <w:p w14:paraId="39F9B212" w14:textId="52A8C967" w:rsidR="00A077FD" w:rsidRDefault="00A077FD" w:rsidP="00A077FD">
            <w:pPr>
              <w:pStyle w:val="Default"/>
              <w:autoSpaceDN/>
              <w:spacing w:line="360" w:lineRule="auto"/>
              <w:jc w:val="both"/>
              <w:rPr>
                <w:rFonts w:hint="eastAsia"/>
              </w:rPr>
            </w:pPr>
            <w:r w:rsidRPr="00A077FD">
              <w:rPr>
                <w:rFonts w:hint="eastAsia"/>
              </w:rPr>
              <w:t>深圳金潮投资有限公司－金</w:t>
            </w:r>
            <w:proofErr w:type="gramStart"/>
            <w:r w:rsidRPr="00A077FD">
              <w:rPr>
                <w:rFonts w:hint="eastAsia"/>
              </w:rPr>
              <w:t>潮誉天成长</w:t>
            </w:r>
            <w:proofErr w:type="gramEnd"/>
            <w:r w:rsidRPr="00A077FD">
              <w:rPr>
                <w:rFonts w:hint="eastAsia"/>
              </w:rPr>
              <w:t>5号私募证券投资基金</w:t>
            </w:r>
          </w:p>
        </w:tc>
        <w:tc>
          <w:tcPr>
            <w:tcW w:w="1701" w:type="dxa"/>
            <w:vAlign w:val="center"/>
          </w:tcPr>
          <w:p w14:paraId="3B312B7A" w14:textId="34B7A1DC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3,682,500</w:t>
            </w:r>
          </w:p>
        </w:tc>
        <w:tc>
          <w:tcPr>
            <w:tcW w:w="1780" w:type="dxa"/>
            <w:vAlign w:val="center"/>
          </w:tcPr>
          <w:p w14:paraId="685DBBB0" w14:textId="11B458DB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0.59</w:t>
            </w:r>
          </w:p>
        </w:tc>
      </w:tr>
      <w:tr w:rsidR="00A077FD" w14:paraId="585803A8" w14:textId="77777777" w:rsidTr="00C171FA">
        <w:tc>
          <w:tcPr>
            <w:tcW w:w="704" w:type="dxa"/>
            <w:vAlign w:val="center"/>
          </w:tcPr>
          <w:p w14:paraId="08B42564" w14:textId="63B9AFA9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111" w:type="dxa"/>
            <w:vAlign w:val="center"/>
          </w:tcPr>
          <w:p w14:paraId="020B2C33" w14:textId="55B8457E" w:rsidR="00A077FD" w:rsidRDefault="00A077FD" w:rsidP="00A077FD">
            <w:pPr>
              <w:pStyle w:val="Default"/>
              <w:autoSpaceDN/>
              <w:spacing w:line="360" w:lineRule="auto"/>
              <w:jc w:val="both"/>
              <w:rPr>
                <w:rFonts w:hint="eastAsia"/>
              </w:rPr>
            </w:pPr>
            <w:r w:rsidRPr="00A077FD">
              <w:rPr>
                <w:rFonts w:hint="eastAsia"/>
              </w:rPr>
              <w:t>上海方圆</w:t>
            </w:r>
            <w:proofErr w:type="gramStart"/>
            <w:r w:rsidRPr="00A077FD">
              <w:rPr>
                <w:rFonts w:hint="eastAsia"/>
              </w:rPr>
              <w:t>达创投资</w:t>
            </w:r>
            <w:proofErr w:type="gramEnd"/>
            <w:r w:rsidRPr="00A077FD">
              <w:rPr>
                <w:rFonts w:hint="eastAsia"/>
              </w:rPr>
              <w:t>合伙企业（有限合伙）－方圆－东方22号私募投资基金</w:t>
            </w:r>
          </w:p>
        </w:tc>
        <w:tc>
          <w:tcPr>
            <w:tcW w:w="1701" w:type="dxa"/>
            <w:vAlign w:val="center"/>
          </w:tcPr>
          <w:p w14:paraId="01AB485B" w14:textId="5AC5D8B2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3,265,300</w:t>
            </w:r>
          </w:p>
        </w:tc>
        <w:tc>
          <w:tcPr>
            <w:tcW w:w="1780" w:type="dxa"/>
            <w:vAlign w:val="center"/>
          </w:tcPr>
          <w:p w14:paraId="23038026" w14:textId="4EC191A4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0.53</w:t>
            </w:r>
          </w:p>
        </w:tc>
      </w:tr>
    </w:tbl>
    <w:p w14:paraId="603A2F3A" w14:textId="160B6F46" w:rsidR="0087529A" w:rsidRPr="0087529A" w:rsidRDefault="0087529A" w:rsidP="0087529A">
      <w:pPr>
        <w:pStyle w:val="Default"/>
        <w:autoSpaceDN/>
        <w:spacing w:line="360" w:lineRule="auto"/>
        <w:ind w:firstLineChars="200" w:firstLine="482"/>
        <w:jc w:val="both"/>
        <w:outlineLvl w:val="0"/>
        <w:rPr>
          <w:b/>
          <w:bCs/>
        </w:rPr>
      </w:pPr>
      <w:r>
        <w:rPr>
          <w:rFonts w:hint="eastAsia"/>
          <w:b/>
          <w:bCs/>
        </w:rPr>
        <w:t>二</w:t>
      </w:r>
      <w:r w:rsidRPr="0087529A">
        <w:rPr>
          <w:rFonts w:hint="eastAsia"/>
          <w:b/>
          <w:bCs/>
        </w:rPr>
        <w:t>、前十大</w:t>
      </w:r>
      <w:r>
        <w:rPr>
          <w:rFonts w:hint="eastAsia"/>
          <w:b/>
          <w:bCs/>
        </w:rPr>
        <w:t>无限</w:t>
      </w:r>
      <w:proofErr w:type="gramStart"/>
      <w:r>
        <w:rPr>
          <w:rFonts w:hint="eastAsia"/>
          <w:b/>
          <w:bCs/>
        </w:rPr>
        <w:t>售条件</w:t>
      </w:r>
      <w:proofErr w:type="gramEnd"/>
      <w:r w:rsidRPr="0087529A">
        <w:rPr>
          <w:rFonts w:hint="eastAsia"/>
          <w:b/>
          <w:bCs/>
        </w:rPr>
        <w:t>股东持股情况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701"/>
        <w:gridCol w:w="1780"/>
      </w:tblGrid>
      <w:tr w:rsidR="0087529A" w:rsidRPr="0087529A" w14:paraId="4BFAAE9F" w14:textId="77777777" w:rsidTr="0087529A">
        <w:tc>
          <w:tcPr>
            <w:tcW w:w="704" w:type="dxa"/>
            <w:vAlign w:val="center"/>
          </w:tcPr>
          <w:p w14:paraId="33E109C0" w14:textId="77777777" w:rsidR="0087529A" w:rsidRDefault="0087529A" w:rsidP="005B2D28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11" w:type="dxa"/>
            <w:vAlign w:val="center"/>
          </w:tcPr>
          <w:p w14:paraId="5B3FEC01" w14:textId="77777777" w:rsidR="0087529A" w:rsidRDefault="0087529A" w:rsidP="005B2D28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股东姓名</w:t>
            </w:r>
          </w:p>
        </w:tc>
        <w:tc>
          <w:tcPr>
            <w:tcW w:w="1701" w:type="dxa"/>
            <w:vAlign w:val="center"/>
          </w:tcPr>
          <w:p w14:paraId="3E4DD9B9" w14:textId="77777777" w:rsidR="0087529A" w:rsidRDefault="0087529A" w:rsidP="005B2D28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持股数量（股）</w:t>
            </w:r>
          </w:p>
        </w:tc>
        <w:tc>
          <w:tcPr>
            <w:tcW w:w="1780" w:type="dxa"/>
            <w:vAlign w:val="center"/>
          </w:tcPr>
          <w:p w14:paraId="4BA6759C" w14:textId="75D23A6A" w:rsidR="0087529A" w:rsidRDefault="0087529A" w:rsidP="005B2D28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占公司无限</w:t>
            </w:r>
            <w:proofErr w:type="gramStart"/>
            <w:r>
              <w:rPr>
                <w:rFonts w:hint="eastAsia"/>
              </w:rPr>
              <w:t>售条件</w:t>
            </w:r>
            <w:proofErr w:type="gramEnd"/>
            <w:r>
              <w:rPr>
                <w:rFonts w:hint="eastAsia"/>
              </w:rPr>
              <w:t>流通股的比例（%）</w:t>
            </w:r>
          </w:p>
        </w:tc>
      </w:tr>
      <w:tr w:rsidR="00A077FD" w14:paraId="55CE1722" w14:textId="77777777" w:rsidTr="0087529A">
        <w:tc>
          <w:tcPr>
            <w:tcW w:w="704" w:type="dxa"/>
            <w:vAlign w:val="center"/>
          </w:tcPr>
          <w:p w14:paraId="6B09F881" w14:textId="7777777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11" w:type="dxa"/>
            <w:vAlign w:val="center"/>
          </w:tcPr>
          <w:p w14:paraId="788F5888" w14:textId="46C8EC74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proofErr w:type="gramStart"/>
            <w:r>
              <w:rPr>
                <w:rFonts w:hint="eastAsia"/>
              </w:rPr>
              <w:t>祥</w:t>
            </w:r>
            <w:proofErr w:type="gramEnd"/>
            <w:r>
              <w:rPr>
                <w:rFonts w:hint="eastAsia"/>
              </w:rPr>
              <w:t>源控股集团有限责任公司</w:t>
            </w:r>
          </w:p>
        </w:tc>
        <w:tc>
          <w:tcPr>
            <w:tcW w:w="1701" w:type="dxa"/>
            <w:vAlign w:val="center"/>
          </w:tcPr>
          <w:p w14:paraId="2E445A5C" w14:textId="6777F3E0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274,293,290</w:t>
            </w:r>
          </w:p>
        </w:tc>
        <w:tc>
          <w:tcPr>
            <w:tcW w:w="1780" w:type="dxa"/>
            <w:vAlign w:val="center"/>
          </w:tcPr>
          <w:p w14:paraId="0F4B4621" w14:textId="4B3C37D3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44.32</w:t>
            </w:r>
          </w:p>
        </w:tc>
      </w:tr>
      <w:tr w:rsidR="00A077FD" w14:paraId="70E42C96" w14:textId="77777777" w:rsidTr="0087529A">
        <w:tc>
          <w:tcPr>
            <w:tcW w:w="704" w:type="dxa"/>
            <w:vAlign w:val="center"/>
          </w:tcPr>
          <w:p w14:paraId="5E5A6790" w14:textId="7777777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11" w:type="dxa"/>
            <w:vAlign w:val="center"/>
          </w:tcPr>
          <w:p w14:paraId="4D43F4F3" w14:textId="2523FB0E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proofErr w:type="gramStart"/>
            <w:r>
              <w:rPr>
                <w:rFonts w:hint="eastAsia"/>
              </w:rPr>
              <w:t>俞</w:t>
            </w:r>
            <w:proofErr w:type="gramEnd"/>
            <w:r>
              <w:rPr>
                <w:rFonts w:hint="eastAsia"/>
              </w:rPr>
              <w:t>发祥</w:t>
            </w:r>
          </w:p>
        </w:tc>
        <w:tc>
          <w:tcPr>
            <w:tcW w:w="1701" w:type="dxa"/>
            <w:vAlign w:val="center"/>
          </w:tcPr>
          <w:p w14:paraId="4318EEDC" w14:textId="7C25C313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15,729,100</w:t>
            </w:r>
          </w:p>
        </w:tc>
        <w:tc>
          <w:tcPr>
            <w:tcW w:w="1780" w:type="dxa"/>
            <w:vAlign w:val="center"/>
          </w:tcPr>
          <w:p w14:paraId="2E904CEF" w14:textId="6036797C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2.54</w:t>
            </w:r>
          </w:p>
        </w:tc>
      </w:tr>
      <w:tr w:rsidR="00A077FD" w14:paraId="3FFE4F3E" w14:textId="77777777" w:rsidTr="0087529A">
        <w:tc>
          <w:tcPr>
            <w:tcW w:w="704" w:type="dxa"/>
            <w:vAlign w:val="center"/>
          </w:tcPr>
          <w:p w14:paraId="7C8F666F" w14:textId="7777777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11" w:type="dxa"/>
            <w:vAlign w:val="center"/>
          </w:tcPr>
          <w:p w14:paraId="2459988D" w14:textId="7063048D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rPr>
                <w:rFonts w:hint="eastAsia"/>
              </w:rPr>
              <w:t>黄山市为</w:t>
            </w:r>
            <w:proofErr w:type="gramStart"/>
            <w:r>
              <w:rPr>
                <w:rFonts w:hint="eastAsia"/>
              </w:rPr>
              <w:t>众投资</w:t>
            </w:r>
            <w:proofErr w:type="gramEnd"/>
            <w:r>
              <w:rPr>
                <w:rFonts w:hint="eastAsia"/>
              </w:rPr>
              <w:t>管理中心（有限合伙）</w:t>
            </w:r>
          </w:p>
        </w:tc>
        <w:tc>
          <w:tcPr>
            <w:tcW w:w="1701" w:type="dxa"/>
            <w:vAlign w:val="center"/>
          </w:tcPr>
          <w:p w14:paraId="1C3E262D" w14:textId="1FABE452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8,690,000</w:t>
            </w:r>
          </w:p>
        </w:tc>
        <w:tc>
          <w:tcPr>
            <w:tcW w:w="1780" w:type="dxa"/>
            <w:vAlign w:val="center"/>
          </w:tcPr>
          <w:p w14:paraId="174B54BB" w14:textId="24DF701A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1.40</w:t>
            </w:r>
          </w:p>
        </w:tc>
      </w:tr>
      <w:tr w:rsidR="00A077FD" w14:paraId="06441EF3" w14:textId="77777777" w:rsidTr="0087529A">
        <w:tc>
          <w:tcPr>
            <w:tcW w:w="704" w:type="dxa"/>
            <w:vAlign w:val="center"/>
          </w:tcPr>
          <w:p w14:paraId="1A32D80A" w14:textId="7777777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11" w:type="dxa"/>
            <w:vAlign w:val="center"/>
          </w:tcPr>
          <w:p w14:paraId="2B96BB4B" w14:textId="21B28578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rPr>
                <w:rFonts w:hint="eastAsia"/>
              </w:rPr>
              <w:t>俞水祥</w:t>
            </w:r>
          </w:p>
        </w:tc>
        <w:tc>
          <w:tcPr>
            <w:tcW w:w="1701" w:type="dxa"/>
            <w:vAlign w:val="center"/>
          </w:tcPr>
          <w:p w14:paraId="509C06E9" w14:textId="0A730A56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7,294,930</w:t>
            </w:r>
          </w:p>
        </w:tc>
        <w:tc>
          <w:tcPr>
            <w:tcW w:w="1780" w:type="dxa"/>
            <w:vAlign w:val="center"/>
          </w:tcPr>
          <w:p w14:paraId="0CC1EA3F" w14:textId="2ADC580F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1.18</w:t>
            </w:r>
          </w:p>
        </w:tc>
      </w:tr>
      <w:tr w:rsidR="00A077FD" w14:paraId="43D6B925" w14:textId="77777777" w:rsidTr="0087529A">
        <w:tc>
          <w:tcPr>
            <w:tcW w:w="704" w:type="dxa"/>
            <w:vAlign w:val="center"/>
          </w:tcPr>
          <w:p w14:paraId="7E63FC42" w14:textId="7777777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11" w:type="dxa"/>
            <w:vAlign w:val="center"/>
          </w:tcPr>
          <w:p w14:paraId="5CD161B7" w14:textId="58B703F7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rPr>
                <w:rFonts w:hint="eastAsia"/>
              </w:rPr>
              <w:t>黄山市行</w:t>
            </w:r>
            <w:proofErr w:type="gramStart"/>
            <w:r>
              <w:rPr>
                <w:rFonts w:hint="eastAsia"/>
              </w:rPr>
              <w:t>远投资</w:t>
            </w:r>
            <w:proofErr w:type="gramEnd"/>
            <w:r>
              <w:rPr>
                <w:rFonts w:hint="eastAsia"/>
              </w:rPr>
              <w:t>管理中心（有限合伙）</w:t>
            </w:r>
          </w:p>
        </w:tc>
        <w:tc>
          <w:tcPr>
            <w:tcW w:w="1701" w:type="dxa"/>
            <w:vAlign w:val="center"/>
          </w:tcPr>
          <w:p w14:paraId="679E9F7E" w14:textId="5744A9D6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6,965,000</w:t>
            </w:r>
          </w:p>
        </w:tc>
        <w:tc>
          <w:tcPr>
            <w:tcW w:w="1780" w:type="dxa"/>
            <w:vAlign w:val="center"/>
          </w:tcPr>
          <w:p w14:paraId="4B5981D6" w14:textId="622AFD48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1.13</w:t>
            </w:r>
          </w:p>
        </w:tc>
      </w:tr>
      <w:tr w:rsidR="00A077FD" w14:paraId="4E82FBF6" w14:textId="77777777" w:rsidTr="0087529A">
        <w:tc>
          <w:tcPr>
            <w:tcW w:w="704" w:type="dxa"/>
            <w:vAlign w:val="center"/>
          </w:tcPr>
          <w:p w14:paraId="1F89A872" w14:textId="7777777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11" w:type="dxa"/>
            <w:vAlign w:val="center"/>
          </w:tcPr>
          <w:p w14:paraId="7F0FD562" w14:textId="001FFD7D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rPr>
                <w:rFonts w:hint="eastAsia"/>
              </w:rPr>
              <w:t>黄山市启建投资管理中心（有限合伙）</w:t>
            </w:r>
          </w:p>
        </w:tc>
        <w:tc>
          <w:tcPr>
            <w:tcW w:w="1701" w:type="dxa"/>
            <w:vAlign w:val="center"/>
          </w:tcPr>
          <w:p w14:paraId="1D7A04BE" w14:textId="7254B22D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5,219,500</w:t>
            </w:r>
          </w:p>
        </w:tc>
        <w:tc>
          <w:tcPr>
            <w:tcW w:w="1780" w:type="dxa"/>
            <w:vAlign w:val="center"/>
          </w:tcPr>
          <w:p w14:paraId="6D14B57A" w14:textId="26439816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0.84</w:t>
            </w:r>
          </w:p>
        </w:tc>
      </w:tr>
      <w:tr w:rsidR="00A077FD" w14:paraId="23B56E9B" w14:textId="77777777" w:rsidTr="0087529A">
        <w:tc>
          <w:tcPr>
            <w:tcW w:w="704" w:type="dxa"/>
            <w:vAlign w:val="center"/>
          </w:tcPr>
          <w:p w14:paraId="1208E2EA" w14:textId="7777777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11" w:type="dxa"/>
            <w:vAlign w:val="center"/>
          </w:tcPr>
          <w:p w14:paraId="79F5D69D" w14:textId="664C6752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rPr>
                <w:rFonts w:hint="eastAsia"/>
              </w:rPr>
              <w:t>金梅恩</w:t>
            </w:r>
          </w:p>
        </w:tc>
        <w:tc>
          <w:tcPr>
            <w:tcW w:w="1701" w:type="dxa"/>
            <w:vAlign w:val="center"/>
          </w:tcPr>
          <w:p w14:paraId="67373A4C" w14:textId="794F0AA5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4,805,818</w:t>
            </w:r>
          </w:p>
        </w:tc>
        <w:tc>
          <w:tcPr>
            <w:tcW w:w="1780" w:type="dxa"/>
            <w:vAlign w:val="center"/>
          </w:tcPr>
          <w:p w14:paraId="4CC459CA" w14:textId="0A2E512C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0.78</w:t>
            </w:r>
          </w:p>
        </w:tc>
      </w:tr>
      <w:tr w:rsidR="00A077FD" w14:paraId="72ED4816" w14:textId="77777777" w:rsidTr="0087529A">
        <w:tc>
          <w:tcPr>
            <w:tcW w:w="704" w:type="dxa"/>
            <w:vAlign w:val="center"/>
          </w:tcPr>
          <w:p w14:paraId="0260EA15" w14:textId="7777777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11" w:type="dxa"/>
            <w:vAlign w:val="center"/>
          </w:tcPr>
          <w:p w14:paraId="5B00DCD4" w14:textId="1C249680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rPr>
                <w:rFonts w:hint="eastAsia"/>
              </w:rPr>
              <w:t>胡先宽</w:t>
            </w:r>
          </w:p>
        </w:tc>
        <w:tc>
          <w:tcPr>
            <w:tcW w:w="1701" w:type="dxa"/>
            <w:vAlign w:val="center"/>
          </w:tcPr>
          <w:p w14:paraId="4B248982" w14:textId="2183213A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3,827,500</w:t>
            </w:r>
          </w:p>
        </w:tc>
        <w:tc>
          <w:tcPr>
            <w:tcW w:w="1780" w:type="dxa"/>
            <w:vAlign w:val="center"/>
          </w:tcPr>
          <w:p w14:paraId="53BC1E8F" w14:textId="2DECBBE9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0.62</w:t>
            </w:r>
          </w:p>
        </w:tc>
      </w:tr>
      <w:tr w:rsidR="00A077FD" w14:paraId="215DBD61" w14:textId="77777777" w:rsidTr="0087529A">
        <w:tc>
          <w:tcPr>
            <w:tcW w:w="704" w:type="dxa"/>
            <w:vAlign w:val="center"/>
          </w:tcPr>
          <w:p w14:paraId="13F362AA" w14:textId="7777777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111" w:type="dxa"/>
            <w:vAlign w:val="center"/>
          </w:tcPr>
          <w:p w14:paraId="7B1CD22B" w14:textId="42AE68F8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rPr>
                <w:rFonts w:hint="eastAsia"/>
              </w:rPr>
              <w:t>深圳金潮投资有限公司－金</w:t>
            </w:r>
            <w:proofErr w:type="gramStart"/>
            <w:r>
              <w:rPr>
                <w:rFonts w:hint="eastAsia"/>
              </w:rPr>
              <w:t>潮誉天成长</w:t>
            </w:r>
            <w:proofErr w:type="gramEnd"/>
            <w:r>
              <w:rPr>
                <w:rFonts w:hint="eastAsia"/>
              </w:rPr>
              <w:t>5号私募证券投资基金</w:t>
            </w:r>
          </w:p>
        </w:tc>
        <w:tc>
          <w:tcPr>
            <w:tcW w:w="1701" w:type="dxa"/>
            <w:vAlign w:val="center"/>
          </w:tcPr>
          <w:p w14:paraId="1BB7C797" w14:textId="5F920CB1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3,682,500</w:t>
            </w:r>
          </w:p>
        </w:tc>
        <w:tc>
          <w:tcPr>
            <w:tcW w:w="1780" w:type="dxa"/>
            <w:vAlign w:val="center"/>
          </w:tcPr>
          <w:p w14:paraId="7470AB04" w14:textId="6DF19296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0.59</w:t>
            </w:r>
          </w:p>
        </w:tc>
      </w:tr>
      <w:tr w:rsidR="00A077FD" w14:paraId="1D576E62" w14:textId="77777777" w:rsidTr="0087529A">
        <w:tc>
          <w:tcPr>
            <w:tcW w:w="704" w:type="dxa"/>
            <w:vAlign w:val="center"/>
          </w:tcPr>
          <w:p w14:paraId="2436EEB5" w14:textId="77777777" w:rsidR="00A077FD" w:rsidRDefault="00A077FD" w:rsidP="00A077FD">
            <w:pPr>
              <w:pStyle w:val="Default"/>
              <w:autoSpaceDN/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111" w:type="dxa"/>
            <w:vAlign w:val="center"/>
          </w:tcPr>
          <w:p w14:paraId="6A705FA2" w14:textId="37FDBBF9" w:rsidR="00A077FD" w:rsidRDefault="00A077FD" w:rsidP="00A077FD">
            <w:pPr>
              <w:pStyle w:val="Default"/>
              <w:autoSpaceDN/>
              <w:spacing w:line="360" w:lineRule="auto"/>
              <w:jc w:val="both"/>
            </w:pPr>
            <w:r>
              <w:rPr>
                <w:rFonts w:hint="eastAsia"/>
              </w:rPr>
              <w:t>上海方圆</w:t>
            </w:r>
            <w:proofErr w:type="gramStart"/>
            <w:r>
              <w:rPr>
                <w:rFonts w:hint="eastAsia"/>
              </w:rPr>
              <w:t>达创投资</w:t>
            </w:r>
            <w:proofErr w:type="gramEnd"/>
            <w:r>
              <w:rPr>
                <w:rFonts w:hint="eastAsia"/>
              </w:rPr>
              <w:t>合伙企业（有限合伙）－方圆－东方22号私募投资基金</w:t>
            </w:r>
          </w:p>
        </w:tc>
        <w:tc>
          <w:tcPr>
            <w:tcW w:w="1701" w:type="dxa"/>
            <w:vAlign w:val="center"/>
          </w:tcPr>
          <w:p w14:paraId="7411A76F" w14:textId="2158608E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3,265,300</w:t>
            </w:r>
          </w:p>
        </w:tc>
        <w:tc>
          <w:tcPr>
            <w:tcW w:w="1780" w:type="dxa"/>
            <w:vAlign w:val="center"/>
          </w:tcPr>
          <w:p w14:paraId="64514881" w14:textId="6791867E" w:rsidR="00A077FD" w:rsidRDefault="00A077FD" w:rsidP="00A077FD">
            <w:pPr>
              <w:pStyle w:val="Default"/>
              <w:autoSpaceDN/>
              <w:spacing w:line="360" w:lineRule="auto"/>
              <w:jc w:val="right"/>
            </w:pPr>
            <w:r>
              <w:rPr>
                <w:rFonts w:hint="eastAsia"/>
              </w:rPr>
              <w:t>0.53</w:t>
            </w:r>
          </w:p>
        </w:tc>
      </w:tr>
    </w:tbl>
    <w:p w14:paraId="08A5560A" w14:textId="77777777" w:rsidR="00AE7C6F" w:rsidRPr="0087529A" w:rsidRDefault="00AE7C6F" w:rsidP="00344DC8">
      <w:pPr>
        <w:pStyle w:val="Default"/>
        <w:autoSpaceDN/>
        <w:spacing w:line="360" w:lineRule="auto"/>
        <w:ind w:firstLineChars="200" w:firstLine="480"/>
        <w:jc w:val="both"/>
      </w:pPr>
    </w:p>
    <w:p w14:paraId="0B391105" w14:textId="70C2503B" w:rsidR="004473F2" w:rsidRPr="004473F2" w:rsidRDefault="004473F2" w:rsidP="00344DC8">
      <w:pPr>
        <w:pStyle w:val="Default"/>
        <w:autoSpaceDN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int="eastAsia"/>
        </w:rPr>
        <w:t>特此公告。</w:t>
      </w:r>
    </w:p>
    <w:p w14:paraId="534AF754" w14:textId="77777777" w:rsidR="00346527" w:rsidRDefault="00346527" w:rsidP="00344DC8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</w:p>
    <w:p w14:paraId="664698A9" w14:textId="77777777" w:rsidR="0012423C" w:rsidRDefault="00325064" w:rsidP="00344DC8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安徽省交通建设</w:t>
      </w:r>
      <w:r w:rsidR="00B646DD">
        <w:rPr>
          <w:rFonts w:hint="eastAsia"/>
          <w:sz w:val="24"/>
          <w:szCs w:val="28"/>
        </w:rPr>
        <w:t>股份有限公司董事会</w:t>
      </w:r>
    </w:p>
    <w:p w14:paraId="0A41D047" w14:textId="75DDB4B1" w:rsidR="00C51CA4" w:rsidRDefault="00C1007B" w:rsidP="00344DC8">
      <w:pPr>
        <w:adjustRightInd w:val="0"/>
        <w:snapToGrid w:val="0"/>
        <w:spacing w:before="120" w:after="120"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</w:t>
      </w:r>
      <w:r w:rsidR="00346527">
        <w:rPr>
          <w:sz w:val="24"/>
          <w:szCs w:val="28"/>
        </w:rPr>
        <w:t>4</w:t>
      </w:r>
      <w:r>
        <w:rPr>
          <w:rFonts w:hint="eastAsia"/>
          <w:sz w:val="24"/>
          <w:szCs w:val="28"/>
        </w:rPr>
        <w:t>年</w:t>
      </w:r>
      <w:r w:rsidR="0087529A">
        <w:rPr>
          <w:rFonts w:hint="eastAsia"/>
          <w:sz w:val="24"/>
          <w:szCs w:val="28"/>
        </w:rPr>
        <w:t>7</w:t>
      </w:r>
      <w:r w:rsidR="00B646DD">
        <w:rPr>
          <w:rFonts w:hint="eastAsia"/>
          <w:sz w:val="24"/>
          <w:szCs w:val="28"/>
        </w:rPr>
        <w:t>月</w:t>
      </w:r>
      <w:r w:rsidR="00B87F00">
        <w:rPr>
          <w:rFonts w:hint="eastAsia"/>
          <w:sz w:val="24"/>
          <w:szCs w:val="28"/>
        </w:rPr>
        <w:t>13</w:t>
      </w:r>
      <w:r w:rsidR="00B646DD">
        <w:rPr>
          <w:rFonts w:hint="eastAsia"/>
          <w:sz w:val="24"/>
          <w:szCs w:val="28"/>
        </w:rPr>
        <w:t>日</w:t>
      </w:r>
    </w:p>
    <w:sectPr w:rsidR="00C51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7B1B0" w14:textId="77777777" w:rsidR="00F11DA9" w:rsidRDefault="00F11DA9">
      <w:r>
        <w:separator/>
      </w:r>
    </w:p>
  </w:endnote>
  <w:endnote w:type="continuationSeparator" w:id="0">
    <w:p w14:paraId="10B5B779" w14:textId="77777777" w:rsidR="00F11DA9" w:rsidRDefault="00F1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E5418" w14:textId="77777777" w:rsidR="00F11DA9" w:rsidRDefault="00F11DA9">
      <w:r>
        <w:separator/>
      </w:r>
    </w:p>
  </w:footnote>
  <w:footnote w:type="continuationSeparator" w:id="0">
    <w:p w14:paraId="01B9E82C" w14:textId="77777777" w:rsidR="00F11DA9" w:rsidRDefault="00F1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7"/>
    <w:rsid w:val="000003CE"/>
    <w:rsid w:val="0000123D"/>
    <w:rsid w:val="000023AD"/>
    <w:rsid w:val="00004A45"/>
    <w:rsid w:val="000050C1"/>
    <w:rsid w:val="00006101"/>
    <w:rsid w:val="00012ABE"/>
    <w:rsid w:val="000218E7"/>
    <w:rsid w:val="00023429"/>
    <w:rsid w:val="000264A0"/>
    <w:rsid w:val="00027AFF"/>
    <w:rsid w:val="0003229A"/>
    <w:rsid w:val="00032CE8"/>
    <w:rsid w:val="00033532"/>
    <w:rsid w:val="0004115B"/>
    <w:rsid w:val="000437AB"/>
    <w:rsid w:val="00044452"/>
    <w:rsid w:val="00044F4E"/>
    <w:rsid w:val="000467D5"/>
    <w:rsid w:val="000471D4"/>
    <w:rsid w:val="00054C8E"/>
    <w:rsid w:val="00057483"/>
    <w:rsid w:val="000606DE"/>
    <w:rsid w:val="00063894"/>
    <w:rsid w:val="00063E05"/>
    <w:rsid w:val="00064D79"/>
    <w:rsid w:val="00065252"/>
    <w:rsid w:val="00067C59"/>
    <w:rsid w:val="00070A9B"/>
    <w:rsid w:val="0007225E"/>
    <w:rsid w:val="00075657"/>
    <w:rsid w:val="00076CEE"/>
    <w:rsid w:val="000776CB"/>
    <w:rsid w:val="00077887"/>
    <w:rsid w:val="00077CEC"/>
    <w:rsid w:val="00080CB0"/>
    <w:rsid w:val="00083CE8"/>
    <w:rsid w:val="00090742"/>
    <w:rsid w:val="0009705F"/>
    <w:rsid w:val="00097E1A"/>
    <w:rsid w:val="000A6401"/>
    <w:rsid w:val="000A7AEC"/>
    <w:rsid w:val="000B05A6"/>
    <w:rsid w:val="000B1148"/>
    <w:rsid w:val="000B2620"/>
    <w:rsid w:val="000B78C3"/>
    <w:rsid w:val="000C1BE1"/>
    <w:rsid w:val="000C5380"/>
    <w:rsid w:val="000D3268"/>
    <w:rsid w:val="000D420B"/>
    <w:rsid w:val="000E14CC"/>
    <w:rsid w:val="000E48C2"/>
    <w:rsid w:val="000E50F9"/>
    <w:rsid w:val="000E67AC"/>
    <w:rsid w:val="000F0981"/>
    <w:rsid w:val="000F4DA7"/>
    <w:rsid w:val="00101F21"/>
    <w:rsid w:val="00110272"/>
    <w:rsid w:val="00113780"/>
    <w:rsid w:val="00114BC3"/>
    <w:rsid w:val="0011784C"/>
    <w:rsid w:val="00122949"/>
    <w:rsid w:val="0012423C"/>
    <w:rsid w:val="0012488A"/>
    <w:rsid w:val="00126B26"/>
    <w:rsid w:val="0012783E"/>
    <w:rsid w:val="001317EC"/>
    <w:rsid w:val="00131E71"/>
    <w:rsid w:val="0014327B"/>
    <w:rsid w:val="0014414B"/>
    <w:rsid w:val="00145FD5"/>
    <w:rsid w:val="00151741"/>
    <w:rsid w:val="00163DCD"/>
    <w:rsid w:val="00172E2F"/>
    <w:rsid w:val="00174911"/>
    <w:rsid w:val="001755DB"/>
    <w:rsid w:val="001817F2"/>
    <w:rsid w:val="0018297A"/>
    <w:rsid w:val="00185E1A"/>
    <w:rsid w:val="00187944"/>
    <w:rsid w:val="001935C8"/>
    <w:rsid w:val="00195151"/>
    <w:rsid w:val="00196807"/>
    <w:rsid w:val="00197E70"/>
    <w:rsid w:val="001A1183"/>
    <w:rsid w:val="001A19FE"/>
    <w:rsid w:val="001B17C0"/>
    <w:rsid w:val="001B3874"/>
    <w:rsid w:val="001B56D3"/>
    <w:rsid w:val="001B5E6F"/>
    <w:rsid w:val="001B5FA8"/>
    <w:rsid w:val="001C2749"/>
    <w:rsid w:val="001C2923"/>
    <w:rsid w:val="001D0EA7"/>
    <w:rsid w:val="001E26B2"/>
    <w:rsid w:val="001E7855"/>
    <w:rsid w:val="001F025C"/>
    <w:rsid w:val="001F2485"/>
    <w:rsid w:val="001F40C1"/>
    <w:rsid w:val="001F731A"/>
    <w:rsid w:val="00201A45"/>
    <w:rsid w:val="0020300E"/>
    <w:rsid w:val="00206556"/>
    <w:rsid w:val="0021090B"/>
    <w:rsid w:val="00213FD4"/>
    <w:rsid w:val="0021626E"/>
    <w:rsid w:val="00216E85"/>
    <w:rsid w:val="00220787"/>
    <w:rsid w:val="00221529"/>
    <w:rsid w:val="0022199A"/>
    <w:rsid w:val="00223722"/>
    <w:rsid w:val="00223B2D"/>
    <w:rsid w:val="00225B5D"/>
    <w:rsid w:val="002260EC"/>
    <w:rsid w:val="00231204"/>
    <w:rsid w:val="002315DF"/>
    <w:rsid w:val="00231A27"/>
    <w:rsid w:val="00231DF7"/>
    <w:rsid w:val="002326B5"/>
    <w:rsid w:val="002352B6"/>
    <w:rsid w:val="00245ECD"/>
    <w:rsid w:val="002469CF"/>
    <w:rsid w:val="002479B4"/>
    <w:rsid w:val="00250415"/>
    <w:rsid w:val="00252D29"/>
    <w:rsid w:val="002537DE"/>
    <w:rsid w:val="00255E5D"/>
    <w:rsid w:val="00256454"/>
    <w:rsid w:val="0026162C"/>
    <w:rsid w:val="002628A2"/>
    <w:rsid w:val="002639DE"/>
    <w:rsid w:val="0027518C"/>
    <w:rsid w:val="0027642B"/>
    <w:rsid w:val="00276A67"/>
    <w:rsid w:val="0028761B"/>
    <w:rsid w:val="00292D08"/>
    <w:rsid w:val="00293228"/>
    <w:rsid w:val="0029588C"/>
    <w:rsid w:val="002974DB"/>
    <w:rsid w:val="002A0D2E"/>
    <w:rsid w:val="002A16A6"/>
    <w:rsid w:val="002A2EA4"/>
    <w:rsid w:val="002A6D4F"/>
    <w:rsid w:val="002B20F4"/>
    <w:rsid w:val="002B308C"/>
    <w:rsid w:val="002B35EC"/>
    <w:rsid w:val="002B45B0"/>
    <w:rsid w:val="002B7333"/>
    <w:rsid w:val="002C13BC"/>
    <w:rsid w:val="002C1FD4"/>
    <w:rsid w:val="002C27B0"/>
    <w:rsid w:val="002C438F"/>
    <w:rsid w:val="002C442C"/>
    <w:rsid w:val="002D0F95"/>
    <w:rsid w:val="002D33FF"/>
    <w:rsid w:val="002D4D42"/>
    <w:rsid w:val="002D588F"/>
    <w:rsid w:val="002D7195"/>
    <w:rsid w:val="002D7644"/>
    <w:rsid w:val="002E0259"/>
    <w:rsid w:val="002E3A8A"/>
    <w:rsid w:val="002F725B"/>
    <w:rsid w:val="003006BF"/>
    <w:rsid w:val="00300809"/>
    <w:rsid w:val="00306B5D"/>
    <w:rsid w:val="00310BAC"/>
    <w:rsid w:val="00310E10"/>
    <w:rsid w:val="003142B6"/>
    <w:rsid w:val="00315D53"/>
    <w:rsid w:val="00322DB2"/>
    <w:rsid w:val="00325064"/>
    <w:rsid w:val="0032654F"/>
    <w:rsid w:val="003341E4"/>
    <w:rsid w:val="003436C6"/>
    <w:rsid w:val="00344DC8"/>
    <w:rsid w:val="00346527"/>
    <w:rsid w:val="0034702B"/>
    <w:rsid w:val="00350A13"/>
    <w:rsid w:val="00356C39"/>
    <w:rsid w:val="003606D8"/>
    <w:rsid w:val="00363408"/>
    <w:rsid w:val="00366B9D"/>
    <w:rsid w:val="00370A31"/>
    <w:rsid w:val="00372597"/>
    <w:rsid w:val="00372DFB"/>
    <w:rsid w:val="00373824"/>
    <w:rsid w:val="00374185"/>
    <w:rsid w:val="00382E02"/>
    <w:rsid w:val="00383F5A"/>
    <w:rsid w:val="00387053"/>
    <w:rsid w:val="00392222"/>
    <w:rsid w:val="00396677"/>
    <w:rsid w:val="003A28BB"/>
    <w:rsid w:val="003A2AA8"/>
    <w:rsid w:val="003A75B9"/>
    <w:rsid w:val="003B12D9"/>
    <w:rsid w:val="003B1BF6"/>
    <w:rsid w:val="003B5781"/>
    <w:rsid w:val="003B619C"/>
    <w:rsid w:val="003C3E3E"/>
    <w:rsid w:val="003C44BC"/>
    <w:rsid w:val="003C67C2"/>
    <w:rsid w:val="003D27A1"/>
    <w:rsid w:val="003D311B"/>
    <w:rsid w:val="003D649D"/>
    <w:rsid w:val="003D6CFC"/>
    <w:rsid w:val="003E3798"/>
    <w:rsid w:val="003E4B8C"/>
    <w:rsid w:val="003E5B72"/>
    <w:rsid w:val="003E7FBB"/>
    <w:rsid w:val="003F61A9"/>
    <w:rsid w:val="003F7B33"/>
    <w:rsid w:val="00407E6B"/>
    <w:rsid w:val="00414C07"/>
    <w:rsid w:val="0042022B"/>
    <w:rsid w:val="004221D1"/>
    <w:rsid w:val="00424810"/>
    <w:rsid w:val="00426D93"/>
    <w:rsid w:val="00431E09"/>
    <w:rsid w:val="004352B1"/>
    <w:rsid w:val="00435869"/>
    <w:rsid w:val="0043599B"/>
    <w:rsid w:val="004363E2"/>
    <w:rsid w:val="004473F2"/>
    <w:rsid w:val="004478B3"/>
    <w:rsid w:val="004506B1"/>
    <w:rsid w:val="00453C99"/>
    <w:rsid w:val="004630E3"/>
    <w:rsid w:val="00466217"/>
    <w:rsid w:val="00466746"/>
    <w:rsid w:val="00473600"/>
    <w:rsid w:val="004737CD"/>
    <w:rsid w:val="00485A74"/>
    <w:rsid w:val="00490B17"/>
    <w:rsid w:val="00490D73"/>
    <w:rsid w:val="00491B07"/>
    <w:rsid w:val="004940AD"/>
    <w:rsid w:val="00494EA9"/>
    <w:rsid w:val="004A0298"/>
    <w:rsid w:val="004A45ED"/>
    <w:rsid w:val="004A651C"/>
    <w:rsid w:val="004B0591"/>
    <w:rsid w:val="004B1724"/>
    <w:rsid w:val="004B230A"/>
    <w:rsid w:val="004B4D96"/>
    <w:rsid w:val="004B6D5F"/>
    <w:rsid w:val="004B7332"/>
    <w:rsid w:val="004C1105"/>
    <w:rsid w:val="004C4023"/>
    <w:rsid w:val="004C6383"/>
    <w:rsid w:val="004D1B5B"/>
    <w:rsid w:val="004D4334"/>
    <w:rsid w:val="004D4418"/>
    <w:rsid w:val="004E092B"/>
    <w:rsid w:val="004E1756"/>
    <w:rsid w:val="004E61F4"/>
    <w:rsid w:val="004E7D6A"/>
    <w:rsid w:val="004F114B"/>
    <w:rsid w:val="004F1C80"/>
    <w:rsid w:val="004F6417"/>
    <w:rsid w:val="004F755B"/>
    <w:rsid w:val="00501831"/>
    <w:rsid w:val="0050441B"/>
    <w:rsid w:val="00505CA5"/>
    <w:rsid w:val="0051718A"/>
    <w:rsid w:val="00523862"/>
    <w:rsid w:val="00524F01"/>
    <w:rsid w:val="00525F90"/>
    <w:rsid w:val="00531F88"/>
    <w:rsid w:val="0053701C"/>
    <w:rsid w:val="00553B00"/>
    <w:rsid w:val="0055418D"/>
    <w:rsid w:val="00555C14"/>
    <w:rsid w:val="00557853"/>
    <w:rsid w:val="0056101B"/>
    <w:rsid w:val="00565E22"/>
    <w:rsid w:val="0056606D"/>
    <w:rsid w:val="00567A8D"/>
    <w:rsid w:val="005703CD"/>
    <w:rsid w:val="0057115E"/>
    <w:rsid w:val="00571CFD"/>
    <w:rsid w:val="0057343E"/>
    <w:rsid w:val="00573E86"/>
    <w:rsid w:val="00574315"/>
    <w:rsid w:val="005748B6"/>
    <w:rsid w:val="00575147"/>
    <w:rsid w:val="00575216"/>
    <w:rsid w:val="00580375"/>
    <w:rsid w:val="00580C09"/>
    <w:rsid w:val="00585E5F"/>
    <w:rsid w:val="00593E38"/>
    <w:rsid w:val="005969A2"/>
    <w:rsid w:val="005B1AA3"/>
    <w:rsid w:val="005B25F6"/>
    <w:rsid w:val="005B4404"/>
    <w:rsid w:val="005B4B4D"/>
    <w:rsid w:val="005B6F68"/>
    <w:rsid w:val="005C5F15"/>
    <w:rsid w:val="005C703A"/>
    <w:rsid w:val="005C7D88"/>
    <w:rsid w:val="005D13DF"/>
    <w:rsid w:val="005D24D7"/>
    <w:rsid w:val="005D3C96"/>
    <w:rsid w:val="005D4ABB"/>
    <w:rsid w:val="005D58F6"/>
    <w:rsid w:val="005D6D4B"/>
    <w:rsid w:val="005E0FD8"/>
    <w:rsid w:val="005E2310"/>
    <w:rsid w:val="005E263C"/>
    <w:rsid w:val="005E5D10"/>
    <w:rsid w:val="005E68C0"/>
    <w:rsid w:val="005E7A48"/>
    <w:rsid w:val="005F00DB"/>
    <w:rsid w:val="005F3603"/>
    <w:rsid w:val="005F59A8"/>
    <w:rsid w:val="005F7638"/>
    <w:rsid w:val="00604D83"/>
    <w:rsid w:val="00606F90"/>
    <w:rsid w:val="00612657"/>
    <w:rsid w:val="00613FB8"/>
    <w:rsid w:val="0062192D"/>
    <w:rsid w:val="00624429"/>
    <w:rsid w:val="00626129"/>
    <w:rsid w:val="00626A71"/>
    <w:rsid w:val="00630A59"/>
    <w:rsid w:val="00636809"/>
    <w:rsid w:val="00640A23"/>
    <w:rsid w:val="00647329"/>
    <w:rsid w:val="00652D3B"/>
    <w:rsid w:val="006648EA"/>
    <w:rsid w:val="00664AE4"/>
    <w:rsid w:val="006655CE"/>
    <w:rsid w:val="00667F26"/>
    <w:rsid w:val="0067279A"/>
    <w:rsid w:val="0067584C"/>
    <w:rsid w:val="0067615A"/>
    <w:rsid w:val="0068298F"/>
    <w:rsid w:val="00683612"/>
    <w:rsid w:val="00685C97"/>
    <w:rsid w:val="006A49EE"/>
    <w:rsid w:val="006A5F16"/>
    <w:rsid w:val="006A6C56"/>
    <w:rsid w:val="006A719F"/>
    <w:rsid w:val="006B690D"/>
    <w:rsid w:val="006C11D2"/>
    <w:rsid w:val="006C3C1B"/>
    <w:rsid w:val="006C54C4"/>
    <w:rsid w:val="006C6349"/>
    <w:rsid w:val="006C6418"/>
    <w:rsid w:val="006C654B"/>
    <w:rsid w:val="006C65B1"/>
    <w:rsid w:val="006E3274"/>
    <w:rsid w:val="006E34F1"/>
    <w:rsid w:val="006E7614"/>
    <w:rsid w:val="006F5F0B"/>
    <w:rsid w:val="0070047D"/>
    <w:rsid w:val="00701AC0"/>
    <w:rsid w:val="00707264"/>
    <w:rsid w:val="007111A5"/>
    <w:rsid w:val="00712EFB"/>
    <w:rsid w:val="00715A7B"/>
    <w:rsid w:val="0072178E"/>
    <w:rsid w:val="00726EAE"/>
    <w:rsid w:val="00730CF4"/>
    <w:rsid w:val="00733479"/>
    <w:rsid w:val="007339F0"/>
    <w:rsid w:val="0073571E"/>
    <w:rsid w:val="00735A0D"/>
    <w:rsid w:val="00740F7D"/>
    <w:rsid w:val="00742F46"/>
    <w:rsid w:val="00743CF2"/>
    <w:rsid w:val="00744EC0"/>
    <w:rsid w:val="00747A98"/>
    <w:rsid w:val="0075193D"/>
    <w:rsid w:val="00763F2E"/>
    <w:rsid w:val="0076530A"/>
    <w:rsid w:val="007665FF"/>
    <w:rsid w:val="00770CF5"/>
    <w:rsid w:val="00774E8F"/>
    <w:rsid w:val="00784ADD"/>
    <w:rsid w:val="0079292E"/>
    <w:rsid w:val="007A29B8"/>
    <w:rsid w:val="007A5F0C"/>
    <w:rsid w:val="007A7D91"/>
    <w:rsid w:val="007C19FE"/>
    <w:rsid w:val="007C665C"/>
    <w:rsid w:val="007D1A44"/>
    <w:rsid w:val="007D1E97"/>
    <w:rsid w:val="007D6C85"/>
    <w:rsid w:val="007E33F1"/>
    <w:rsid w:val="007E494C"/>
    <w:rsid w:val="007E4E6E"/>
    <w:rsid w:val="007E5729"/>
    <w:rsid w:val="007E5779"/>
    <w:rsid w:val="007E6A38"/>
    <w:rsid w:val="007E6E46"/>
    <w:rsid w:val="007F18F0"/>
    <w:rsid w:val="007F29FB"/>
    <w:rsid w:val="007F6CED"/>
    <w:rsid w:val="007F785A"/>
    <w:rsid w:val="00801887"/>
    <w:rsid w:val="0080444B"/>
    <w:rsid w:val="008103C1"/>
    <w:rsid w:val="008150DB"/>
    <w:rsid w:val="00820492"/>
    <w:rsid w:val="0082145C"/>
    <w:rsid w:val="00822ED7"/>
    <w:rsid w:val="00823579"/>
    <w:rsid w:val="008235B5"/>
    <w:rsid w:val="00825392"/>
    <w:rsid w:val="00825E11"/>
    <w:rsid w:val="008263E5"/>
    <w:rsid w:val="00830538"/>
    <w:rsid w:val="00832030"/>
    <w:rsid w:val="00832460"/>
    <w:rsid w:val="008416F0"/>
    <w:rsid w:val="00841B54"/>
    <w:rsid w:val="0084317A"/>
    <w:rsid w:val="00851033"/>
    <w:rsid w:val="00851CCD"/>
    <w:rsid w:val="00851DBD"/>
    <w:rsid w:val="008550AB"/>
    <w:rsid w:val="008631A3"/>
    <w:rsid w:val="008653FF"/>
    <w:rsid w:val="00865C15"/>
    <w:rsid w:val="0086674E"/>
    <w:rsid w:val="00867979"/>
    <w:rsid w:val="00873158"/>
    <w:rsid w:val="0087334E"/>
    <w:rsid w:val="00874688"/>
    <w:rsid w:val="0087529A"/>
    <w:rsid w:val="00876A7C"/>
    <w:rsid w:val="008772AC"/>
    <w:rsid w:val="00880D97"/>
    <w:rsid w:val="00882AA0"/>
    <w:rsid w:val="008834CC"/>
    <w:rsid w:val="008841B5"/>
    <w:rsid w:val="008918B0"/>
    <w:rsid w:val="008A0518"/>
    <w:rsid w:val="008A0604"/>
    <w:rsid w:val="008A3107"/>
    <w:rsid w:val="008A4A9C"/>
    <w:rsid w:val="008A5E09"/>
    <w:rsid w:val="008B0231"/>
    <w:rsid w:val="008C3142"/>
    <w:rsid w:val="008C416C"/>
    <w:rsid w:val="008D3730"/>
    <w:rsid w:val="008E2195"/>
    <w:rsid w:val="008E37CF"/>
    <w:rsid w:val="008E6155"/>
    <w:rsid w:val="008E6556"/>
    <w:rsid w:val="008F1B92"/>
    <w:rsid w:val="008F31C3"/>
    <w:rsid w:val="008F49CF"/>
    <w:rsid w:val="008F74A8"/>
    <w:rsid w:val="00901F0A"/>
    <w:rsid w:val="00903133"/>
    <w:rsid w:val="00903E5A"/>
    <w:rsid w:val="00912BD0"/>
    <w:rsid w:val="00922A42"/>
    <w:rsid w:val="0092329D"/>
    <w:rsid w:val="0092541C"/>
    <w:rsid w:val="0093364D"/>
    <w:rsid w:val="0093513C"/>
    <w:rsid w:val="00940E60"/>
    <w:rsid w:val="00941EED"/>
    <w:rsid w:val="009427D0"/>
    <w:rsid w:val="0094377E"/>
    <w:rsid w:val="0094453B"/>
    <w:rsid w:val="009457AA"/>
    <w:rsid w:val="00952913"/>
    <w:rsid w:val="00960C4F"/>
    <w:rsid w:val="00962B92"/>
    <w:rsid w:val="00966039"/>
    <w:rsid w:val="00967918"/>
    <w:rsid w:val="00970B69"/>
    <w:rsid w:val="00980B8D"/>
    <w:rsid w:val="00981EE8"/>
    <w:rsid w:val="00983648"/>
    <w:rsid w:val="0098430E"/>
    <w:rsid w:val="009901F6"/>
    <w:rsid w:val="00994674"/>
    <w:rsid w:val="009978C9"/>
    <w:rsid w:val="009B2E51"/>
    <w:rsid w:val="009B3DBE"/>
    <w:rsid w:val="009B6F8D"/>
    <w:rsid w:val="009B786F"/>
    <w:rsid w:val="009C3562"/>
    <w:rsid w:val="009C5B83"/>
    <w:rsid w:val="009C647B"/>
    <w:rsid w:val="009C66A7"/>
    <w:rsid w:val="009C74C3"/>
    <w:rsid w:val="009D2A0F"/>
    <w:rsid w:val="009E15DE"/>
    <w:rsid w:val="009E589D"/>
    <w:rsid w:val="009E69D3"/>
    <w:rsid w:val="009F2817"/>
    <w:rsid w:val="009F2A48"/>
    <w:rsid w:val="00A03D42"/>
    <w:rsid w:val="00A03F75"/>
    <w:rsid w:val="00A048EE"/>
    <w:rsid w:val="00A05F70"/>
    <w:rsid w:val="00A077FD"/>
    <w:rsid w:val="00A13B82"/>
    <w:rsid w:val="00A13E06"/>
    <w:rsid w:val="00A20F69"/>
    <w:rsid w:val="00A2249B"/>
    <w:rsid w:val="00A243CF"/>
    <w:rsid w:val="00A24916"/>
    <w:rsid w:val="00A25CB1"/>
    <w:rsid w:val="00A26F0D"/>
    <w:rsid w:val="00A30049"/>
    <w:rsid w:val="00A31FCD"/>
    <w:rsid w:val="00A3384D"/>
    <w:rsid w:val="00A3789F"/>
    <w:rsid w:val="00A41DA1"/>
    <w:rsid w:val="00A45347"/>
    <w:rsid w:val="00A55367"/>
    <w:rsid w:val="00A5613B"/>
    <w:rsid w:val="00A56662"/>
    <w:rsid w:val="00A56F22"/>
    <w:rsid w:val="00A57CA7"/>
    <w:rsid w:val="00A61E6A"/>
    <w:rsid w:val="00A63F93"/>
    <w:rsid w:val="00A76E05"/>
    <w:rsid w:val="00A77259"/>
    <w:rsid w:val="00A77D39"/>
    <w:rsid w:val="00A77D62"/>
    <w:rsid w:val="00A809E5"/>
    <w:rsid w:val="00A8338A"/>
    <w:rsid w:val="00A92EDB"/>
    <w:rsid w:val="00A93673"/>
    <w:rsid w:val="00A9462B"/>
    <w:rsid w:val="00A9510B"/>
    <w:rsid w:val="00A9778E"/>
    <w:rsid w:val="00AA11B5"/>
    <w:rsid w:val="00AA12E1"/>
    <w:rsid w:val="00AB1979"/>
    <w:rsid w:val="00AB272B"/>
    <w:rsid w:val="00AB2BD1"/>
    <w:rsid w:val="00AB2C70"/>
    <w:rsid w:val="00AB3A7F"/>
    <w:rsid w:val="00AC2B44"/>
    <w:rsid w:val="00AC4C86"/>
    <w:rsid w:val="00AD14EE"/>
    <w:rsid w:val="00AD3001"/>
    <w:rsid w:val="00AD4421"/>
    <w:rsid w:val="00AD573C"/>
    <w:rsid w:val="00AD5C9A"/>
    <w:rsid w:val="00AE7C6F"/>
    <w:rsid w:val="00AF0FF0"/>
    <w:rsid w:val="00AF150C"/>
    <w:rsid w:val="00AF2EE6"/>
    <w:rsid w:val="00AF4C4E"/>
    <w:rsid w:val="00AF76CD"/>
    <w:rsid w:val="00B014DA"/>
    <w:rsid w:val="00B02E4D"/>
    <w:rsid w:val="00B043E4"/>
    <w:rsid w:val="00B0445B"/>
    <w:rsid w:val="00B04B81"/>
    <w:rsid w:val="00B05000"/>
    <w:rsid w:val="00B05E61"/>
    <w:rsid w:val="00B113B3"/>
    <w:rsid w:val="00B2365E"/>
    <w:rsid w:val="00B300F5"/>
    <w:rsid w:val="00B31CC4"/>
    <w:rsid w:val="00B376D6"/>
    <w:rsid w:val="00B402FE"/>
    <w:rsid w:val="00B40F25"/>
    <w:rsid w:val="00B457B1"/>
    <w:rsid w:val="00B469BA"/>
    <w:rsid w:val="00B522AF"/>
    <w:rsid w:val="00B54764"/>
    <w:rsid w:val="00B61134"/>
    <w:rsid w:val="00B62D84"/>
    <w:rsid w:val="00B63DB3"/>
    <w:rsid w:val="00B646DD"/>
    <w:rsid w:val="00B70B39"/>
    <w:rsid w:val="00B725DB"/>
    <w:rsid w:val="00B778BF"/>
    <w:rsid w:val="00B801A7"/>
    <w:rsid w:val="00B80EB0"/>
    <w:rsid w:val="00B81022"/>
    <w:rsid w:val="00B819E7"/>
    <w:rsid w:val="00B82B62"/>
    <w:rsid w:val="00B86142"/>
    <w:rsid w:val="00B871D0"/>
    <w:rsid w:val="00B87F00"/>
    <w:rsid w:val="00B93142"/>
    <w:rsid w:val="00B931D8"/>
    <w:rsid w:val="00B953F6"/>
    <w:rsid w:val="00B96526"/>
    <w:rsid w:val="00B968B0"/>
    <w:rsid w:val="00BA2680"/>
    <w:rsid w:val="00BA4127"/>
    <w:rsid w:val="00BB01D5"/>
    <w:rsid w:val="00BB3BED"/>
    <w:rsid w:val="00BB78A0"/>
    <w:rsid w:val="00BC2429"/>
    <w:rsid w:val="00BC358D"/>
    <w:rsid w:val="00BC5452"/>
    <w:rsid w:val="00BD37F9"/>
    <w:rsid w:val="00BD4CE1"/>
    <w:rsid w:val="00BD65FC"/>
    <w:rsid w:val="00BE0780"/>
    <w:rsid w:val="00BE2583"/>
    <w:rsid w:val="00BE3184"/>
    <w:rsid w:val="00BE68B4"/>
    <w:rsid w:val="00BE725E"/>
    <w:rsid w:val="00BF031A"/>
    <w:rsid w:val="00BF0527"/>
    <w:rsid w:val="00BF1B43"/>
    <w:rsid w:val="00BF724A"/>
    <w:rsid w:val="00C010CA"/>
    <w:rsid w:val="00C02686"/>
    <w:rsid w:val="00C04420"/>
    <w:rsid w:val="00C075DF"/>
    <w:rsid w:val="00C1007B"/>
    <w:rsid w:val="00C11CBA"/>
    <w:rsid w:val="00C13E4F"/>
    <w:rsid w:val="00C14068"/>
    <w:rsid w:val="00C16600"/>
    <w:rsid w:val="00C16E84"/>
    <w:rsid w:val="00C171FA"/>
    <w:rsid w:val="00C17D8C"/>
    <w:rsid w:val="00C22116"/>
    <w:rsid w:val="00C23415"/>
    <w:rsid w:val="00C26459"/>
    <w:rsid w:val="00C27282"/>
    <w:rsid w:val="00C401D4"/>
    <w:rsid w:val="00C42962"/>
    <w:rsid w:val="00C441F2"/>
    <w:rsid w:val="00C45B1D"/>
    <w:rsid w:val="00C4722C"/>
    <w:rsid w:val="00C50CEE"/>
    <w:rsid w:val="00C51CA4"/>
    <w:rsid w:val="00C520D4"/>
    <w:rsid w:val="00C5315A"/>
    <w:rsid w:val="00C5375F"/>
    <w:rsid w:val="00C54297"/>
    <w:rsid w:val="00C55BFE"/>
    <w:rsid w:val="00C6252A"/>
    <w:rsid w:val="00C63116"/>
    <w:rsid w:val="00C749EA"/>
    <w:rsid w:val="00C90D46"/>
    <w:rsid w:val="00C93F68"/>
    <w:rsid w:val="00CA2050"/>
    <w:rsid w:val="00CA38DC"/>
    <w:rsid w:val="00CA42C9"/>
    <w:rsid w:val="00CB10F6"/>
    <w:rsid w:val="00CB21A0"/>
    <w:rsid w:val="00CB6B97"/>
    <w:rsid w:val="00CC09E2"/>
    <w:rsid w:val="00CC1FA9"/>
    <w:rsid w:val="00CC3A36"/>
    <w:rsid w:val="00CC6F3D"/>
    <w:rsid w:val="00CE22A6"/>
    <w:rsid w:val="00CF2AEA"/>
    <w:rsid w:val="00CF31A6"/>
    <w:rsid w:val="00CF3421"/>
    <w:rsid w:val="00CF4657"/>
    <w:rsid w:val="00CF5692"/>
    <w:rsid w:val="00CF657E"/>
    <w:rsid w:val="00D02509"/>
    <w:rsid w:val="00D04C99"/>
    <w:rsid w:val="00D10CC5"/>
    <w:rsid w:val="00D25B5C"/>
    <w:rsid w:val="00D273A3"/>
    <w:rsid w:val="00D44193"/>
    <w:rsid w:val="00D44DEC"/>
    <w:rsid w:val="00D44EF6"/>
    <w:rsid w:val="00D47CF5"/>
    <w:rsid w:val="00D501D9"/>
    <w:rsid w:val="00D531E3"/>
    <w:rsid w:val="00D611F6"/>
    <w:rsid w:val="00D6690E"/>
    <w:rsid w:val="00D84EA3"/>
    <w:rsid w:val="00D85046"/>
    <w:rsid w:val="00D9438A"/>
    <w:rsid w:val="00D96C8A"/>
    <w:rsid w:val="00DA1182"/>
    <w:rsid w:val="00DA3250"/>
    <w:rsid w:val="00DA4C86"/>
    <w:rsid w:val="00DA5C53"/>
    <w:rsid w:val="00DB0D5F"/>
    <w:rsid w:val="00DB53FE"/>
    <w:rsid w:val="00DB73C1"/>
    <w:rsid w:val="00DC1FA2"/>
    <w:rsid w:val="00DC3380"/>
    <w:rsid w:val="00DC4E80"/>
    <w:rsid w:val="00DD1052"/>
    <w:rsid w:val="00DD19C0"/>
    <w:rsid w:val="00DD1B5F"/>
    <w:rsid w:val="00DD226F"/>
    <w:rsid w:val="00DD2F44"/>
    <w:rsid w:val="00DD3D02"/>
    <w:rsid w:val="00DE3B2E"/>
    <w:rsid w:val="00DE673A"/>
    <w:rsid w:val="00DF3227"/>
    <w:rsid w:val="00DF617F"/>
    <w:rsid w:val="00DF62D7"/>
    <w:rsid w:val="00DF6A5C"/>
    <w:rsid w:val="00E01046"/>
    <w:rsid w:val="00E028B1"/>
    <w:rsid w:val="00E04414"/>
    <w:rsid w:val="00E050C7"/>
    <w:rsid w:val="00E111EC"/>
    <w:rsid w:val="00E17580"/>
    <w:rsid w:val="00E23567"/>
    <w:rsid w:val="00E24A68"/>
    <w:rsid w:val="00E2512C"/>
    <w:rsid w:val="00E26BA6"/>
    <w:rsid w:val="00E314B3"/>
    <w:rsid w:val="00E358B7"/>
    <w:rsid w:val="00E372EC"/>
    <w:rsid w:val="00E41918"/>
    <w:rsid w:val="00E44D5A"/>
    <w:rsid w:val="00E47DC9"/>
    <w:rsid w:val="00E52684"/>
    <w:rsid w:val="00E526F2"/>
    <w:rsid w:val="00E57334"/>
    <w:rsid w:val="00E62392"/>
    <w:rsid w:val="00E630FB"/>
    <w:rsid w:val="00E66972"/>
    <w:rsid w:val="00E7268E"/>
    <w:rsid w:val="00E732D2"/>
    <w:rsid w:val="00E7758E"/>
    <w:rsid w:val="00E836AD"/>
    <w:rsid w:val="00E84FBF"/>
    <w:rsid w:val="00E91319"/>
    <w:rsid w:val="00E93D8B"/>
    <w:rsid w:val="00EA3E4F"/>
    <w:rsid w:val="00EB1FEE"/>
    <w:rsid w:val="00EB3536"/>
    <w:rsid w:val="00EB4CB3"/>
    <w:rsid w:val="00EB5C3B"/>
    <w:rsid w:val="00EB6D69"/>
    <w:rsid w:val="00EC1994"/>
    <w:rsid w:val="00EC306E"/>
    <w:rsid w:val="00EC5BFA"/>
    <w:rsid w:val="00EC6878"/>
    <w:rsid w:val="00EC75AF"/>
    <w:rsid w:val="00ED0EE9"/>
    <w:rsid w:val="00ED2BCD"/>
    <w:rsid w:val="00EE1523"/>
    <w:rsid w:val="00EE1BAA"/>
    <w:rsid w:val="00EE2621"/>
    <w:rsid w:val="00EE4C72"/>
    <w:rsid w:val="00EE6D5D"/>
    <w:rsid w:val="00EE75F1"/>
    <w:rsid w:val="00EF008E"/>
    <w:rsid w:val="00F0012A"/>
    <w:rsid w:val="00F0068E"/>
    <w:rsid w:val="00F00ED1"/>
    <w:rsid w:val="00F102D0"/>
    <w:rsid w:val="00F10D6F"/>
    <w:rsid w:val="00F11DA9"/>
    <w:rsid w:val="00F15B8C"/>
    <w:rsid w:val="00F212DC"/>
    <w:rsid w:val="00F26CBD"/>
    <w:rsid w:val="00F271B7"/>
    <w:rsid w:val="00F300D2"/>
    <w:rsid w:val="00F30DA4"/>
    <w:rsid w:val="00F348C9"/>
    <w:rsid w:val="00F370A5"/>
    <w:rsid w:val="00F409E0"/>
    <w:rsid w:val="00F427A1"/>
    <w:rsid w:val="00F43013"/>
    <w:rsid w:val="00F503BC"/>
    <w:rsid w:val="00F51B85"/>
    <w:rsid w:val="00F543AC"/>
    <w:rsid w:val="00F56FAF"/>
    <w:rsid w:val="00F6272E"/>
    <w:rsid w:val="00F6297A"/>
    <w:rsid w:val="00F64361"/>
    <w:rsid w:val="00F64A4A"/>
    <w:rsid w:val="00F66331"/>
    <w:rsid w:val="00F70996"/>
    <w:rsid w:val="00F70A47"/>
    <w:rsid w:val="00F71C1D"/>
    <w:rsid w:val="00F73562"/>
    <w:rsid w:val="00F8105B"/>
    <w:rsid w:val="00F8298B"/>
    <w:rsid w:val="00F876D1"/>
    <w:rsid w:val="00F91C4B"/>
    <w:rsid w:val="00F927D1"/>
    <w:rsid w:val="00F93A12"/>
    <w:rsid w:val="00F93C08"/>
    <w:rsid w:val="00F9572C"/>
    <w:rsid w:val="00F95963"/>
    <w:rsid w:val="00F95AEB"/>
    <w:rsid w:val="00F96F88"/>
    <w:rsid w:val="00F97637"/>
    <w:rsid w:val="00FA322F"/>
    <w:rsid w:val="00FA38C1"/>
    <w:rsid w:val="00FA4647"/>
    <w:rsid w:val="00FA4BF2"/>
    <w:rsid w:val="00FB10B6"/>
    <w:rsid w:val="00FB34FE"/>
    <w:rsid w:val="00FB6D60"/>
    <w:rsid w:val="00FB721A"/>
    <w:rsid w:val="00FB7BD8"/>
    <w:rsid w:val="00FC074F"/>
    <w:rsid w:val="00FC0B0B"/>
    <w:rsid w:val="00FC3BDC"/>
    <w:rsid w:val="00FC3C42"/>
    <w:rsid w:val="00FC53AA"/>
    <w:rsid w:val="00FC5919"/>
    <w:rsid w:val="00FC7A71"/>
    <w:rsid w:val="00FD0824"/>
    <w:rsid w:val="00FD1BB9"/>
    <w:rsid w:val="00FE3885"/>
    <w:rsid w:val="00FE3ECC"/>
    <w:rsid w:val="00FE6976"/>
    <w:rsid w:val="00FE7A0B"/>
    <w:rsid w:val="00FE7B5F"/>
    <w:rsid w:val="00FF210D"/>
    <w:rsid w:val="00FF6B58"/>
    <w:rsid w:val="0C1B6CE1"/>
    <w:rsid w:val="144C7D30"/>
    <w:rsid w:val="1AB76731"/>
    <w:rsid w:val="1BEE6F92"/>
    <w:rsid w:val="1C1F2800"/>
    <w:rsid w:val="1FBE48BA"/>
    <w:rsid w:val="22563835"/>
    <w:rsid w:val="2FF663DD"/>
    <w:rsid w:val="354D40F4"/>
    <w:rsid w:val="4D4F18D9"/>
    <w:rsid w:val="64667B70"/>
    <w:rsid w:val="69431269"/>
    <w:rsid w:val="69A231A7"/>
    <w:rsid w:val="73191698"/>
    <w:rsid w:val="7A1613C5"/>
    <w:rsid w:val="7BB6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8DAC0F"/>
  <w15:docId w15:val="{A0C680A7-F52A-4A2C-BA4C-4A89DDEC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link w:val="10"/>
    <w:uiPriority w:val="9"/>
    <w:qFormat/>
    <w:locked/>
    <w:rsid w:val="00ED0EE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link w:val="a6"/>
    <w:uiPriority w:val="99"/>
    <w:qFormat/>
    <w:pPr>
      <w:spacing w:line="520" w:lineRule="exact"/>
      <w:ind w:firstLine="567"/>
    </w:pPr>
    <w:rPr>
      <w:sz w:val="30"/>
      <w:szCs w:val="30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qFormat/>
    <w:rPr>
      <w:b/>
      <w:bCs/>
    </w:rPr>
  </w:style>
  <w:style w:type="character" w:styleId="af1">
    <w:name w:val="page number"/>
    <w:uiPriority w:val="99"/>
    <w:qFormat/>
    <w:rPr>
      <w:rFonts w:cs="Times New Roman"/>
    </w:rPr>
  </w:style>
  <w:style w:type="character" w:styleId="af2">
    <w:name w:val="annotation reference"/>
    <w:qFormat/>
    <w:rPr>
      <w:rFonts w:cs="Times New Roman"/>
      <w:sz w:val="21"/>
      <w:szCs w:val="21"/>
    </w:rPr>
  </w:style>
  <w:style w:type="paragraph" w:customStyle="1" w:styleId="Char">
    <w:name w:val="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ae">
    <w:name w:val="页眉 字符"/>
    <w:link w:val="ad"/>
    <w:uiPriority w:val="99"/>
    <w:semiHidden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uiPriority w:val="99"/>
    <w:semiHidden/>
    <w:qFormat/>
    <w:locked/>
    <w:rPr>
      <w:rFonts w:cs="Times New Roman"/>
      <w:sz w:val="18"/>
      <w:szCs w:val="18"/>
    </w:rPr>
  </w:style>
  <w:style w:type="paragraph" w:customStyle="1" w:styleId="1CharCharCharChar">
    <w:name w:val="1 Char Char Char 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a4">
    <w:name w:val="批注文字 字符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af0">
    <w:name w:val="批注主题 字符"/>
    <w:link w:val="af"/>
    <w:uiPriority w:val="99"/>
    <w:semiHidden/>
    <w:qFormat/>
    <w:locked/>
    <w:rPr>
      <w:rFonts w:cs="Times New Roman"/>
      <w:b/>
      <w:bCs/>
      <w:sz w:val="24"/>
      <w:szCs w:val="24"/>
    </w:rPr>
  </w:style>
  <w:style w:type="character" w:customStyle="1" w:styleId="aa">
    <w:name w:val="批注框文本 字符"/>
    <w:link w:val="a9"/>
    <w:uiPriority w:val="99"/>
    <w:semiHidden/>
    <w:qFormat/>
    <w:locked/>
    <w:rPr>
      <w:rFonts w:cs="Times New Roman"/>
      <w:sz w:val="2"/>
      <w:szCs w:val="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正文文本缩进 字符"/>
    <w:link w:val="a5"/>
    <w:uiPriority w:val="99"/>
    <w:qFormat/>
    <w:locked/>
    <w:rPr>
      <w:rFonts w:cs="Times New Roman"/>
      <w:kern w:val="2"/>
      <w:sz w:val="30"/>
    </w:rPr>
  </w:style>
  <w:style w:type="character" w:customStyle="1" w:styleId="Char0">
    <w:name w:val="正文文本缩进 Char"/>
    <w:uiPriority w:val="99"/>
    <w:semiHidden/>
    <w:qFormat/>
    <w:locked/>
    <w:rPr>
      <w:rFonts w:cs="Times New Roman"/>
      <w:kern w:val="2"/>
      <w:sz w:val="21"/>
      <w:szCs w:val="21"/>
    </w:rPr>
  </w:style>
  <w:style w:type="character" w:customStyle="1" w:styleId="a8">
    <w:name w:val="日期 字符"/>
    <w:link w:val="a7"/>
    <w:uiPriority w:val="99"/>
    <w:semiHidden/>
    <w:qFormat/>
    <w:locked/>
    <w:rPr>
      <w:rFonts w:cs="Times New Roman"/>
      <w:sz w:val="21"/>
      <w:szCs w:val="21"/>
    </w:rPr>
  </w:style>
  <w:style w:type="paragraph" w:customStyle="1" w:styleId="txt">
    <w:name w:val="txt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批注文字 Char1"/>
    <w:basedOn w:val="a0"/>
    <w:qFormat/>
    <w:rPr>
      <w:rFonts w:ascii="Times New Roman" w:hAnsi="Times New Roman"/>
      <w:kern w:val="2"/>
      <w:sz w:val="21"/>
      <w:szCs w:val="22"/>
    </w:rPr>
  </w:style>
  <w:style w:type="table" w:styleId="af4">
    <w:name w:val="Table Grid"/>
    <w:basedOn w:val="a1"/>
    <w:uiPriority w:val="39"/>
    <w:qFormat/>
    <w:locked/>
    <w:rsid w:val="002B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B308C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D0EE9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90A0E24E-EC30-41CE-87AB-E9DA129C7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186</Words>
  <Characters>1065</Characters>
  <Application>Microsoft Office Word</Application>
  <DocSecurity>0</DocSecurity>
  <Lines>8</Lines>
  <Paragraphs>2</Paragraphs>
  <ScaleCrop>false</ScaleCrop>
  <Company>微软中国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张家港海陆锅炉有限公司</dc:title>
  <dc:creator>周茹洁</dc:creator>
  <cp:lastModifiedBy>德轩 许</cp:lastModifiedBy>
  <cp:revision>21</cp:revision>
  <cp:lastPrinted>2020-04-25T09:40:00Z</cp:lastPrinted>
  <dcterms:created xsi:type="dcterms:W3CDTF">2024-06-24T08:17:00Z</dcterms:created>
  <dcterms:modified xsi:type="dcterms:W3CDTF">2024-07-12T03:27:00Z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