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5C4EB" w14:textId="2E9C57D1" w:rsidR="00342A1A" w:rsidRDefault="00FF6AAB">
      <w:pPr>
        <w:pStyle w:val="a3"/>
        <w:tabs>
          <w:tab w:val="left" w:pos="3045"/>
          <w:tab w:val="left" w:pos="6120"/>
        </w:tabs>
        <w:spacing w:before="82"/>
        <w:ind w:left="220"/>
        <w:rPr>
          <w:rFonts w:ascii="Times New Roman" w:hAnsi="Times New Roman" w:cs="Times New Roman"/>
        </w:rPr>
      </w:pPr>
      <w:r>
        <w:rPr>
          <w:rFonts w:ascii="Times New Roman" w:hAnsi="Times New Roman" w:cs="Times New Roman"/>
        </w:rPr>
        <w:t>证券代码</w:t>
      </w:r>
      <w:r>
        <w:rPr>
          <w:rFonts w:ascii="Times New Roman" w:hAnsi="Times New Roman" w:cs="Times New Roman"/>
          <w:spacing w:val="-8"/>
        </w:rPr>
        <w:t>：</w:t>
      </w:r>
      <w:r>
        <w:rPr>
          <w:rFonts w:ascii="Times New Roman" w:hAnsi="Times New Roman" w:cs="Times New Roman"/>
          <w:spacing w:val="-8"/>
        </w:rPr>
        <w:t>603</w:t>
      </w:r>
      <w:r>
        <w:rPr>
          <w:rFonts w:ascii="Times New Roman" w:hAnsi="Times New Roman" w:cs="Times New Roman" w:hint="eastAsia"/>
          <w:spacing w:val="-8"/>
        </w:rPr>
        <w:t>8</w:t>
      </w:r>
      <w:r>
        <w:rPr>
          <w:rFonts w:ascii="Times New Roman" w:hAnsi="Times New Roman" w:cs="Times New Roman"/>
          <w:spacing w:val="-8"/>
        </w:rPr>
        <w:t>15</w:t>
      </w:r>
      <w:r>
        <w:rPr>
          <w:rFonts w:ascii="Times New Roman" w:hAnsi="Times New Roman" w:cs="Times New Roman"/>
          <w:spacing w:val="-8"/>
        </w:rPr>
        <w:tab/>
      </w:r>
      <w:r>
        <w:rPr>
          <w:rFonts w:ascii="Times New Roman" w:hAnsi="Times New Roman" w:cs="Times New Roman"/>
        </w:rPr>
        <w:t>证券简称</w:t>
      </w:r>
      <w:r>
        <w:rPr>
          <w:rFonts w:ascii="Times New Roman" w:hAnsi="Times New Roman" w:cs="Times New Roman"/>
          <w:spacing w:val="-51"/>
        </w:rPr>
        <w:t>：</w:t>
      </w:r>
      <w:proofErr w:type="gramStart"/>
      <w:r>
        <w:rPr>
          <w:rFonts w:ascii="Times New Roman" w:hAnsi="Times New Roman" w:cs="Times New Roman" w:hint="eastAsia"/>
        </w:rPr>
        <w:t>交建</w:t>
      </w:r>
      <w:r>
        <w:rPr>
          <w:rFonts w:ascii="Times New Roman" w:hAnsi="Times New Roman" w:cs="Times New Roman"/>
        </w:rPr>
        <w:t>股份</w:t>
      </w:r>
      <w:proofErr w:type="gramEnd"/>
      <w:r>
        <w:rPr>
          <w:rFonts w:ascii="Times New Roman" w:hAnsi="Times New Roman" w:cs="Times New Roman"/>
        </w:rPr>
        <w:tab/>
      </w:r>
      <w:r>
        <w:rPr>
          <w:rFonts w:ascii="Times New Roman" w:hAnsi="Times New Roman" w:cs="Times New Roman"/>
        </w:rPr>
        <w:t>公告编号</w:t>
      </w:r>
      <w:r>
        <w:rPr>
          <w:rFonts w:ascii="Times New Roman" w:hAnsi="Times New Roman" w:cs="Times New Roman"/>
          <w:spacing w:val="-51"/>
        </w:rPr>
        <w:t>：</w:t>
      </w:r>
      <w:r>
        <w:rPr>
          <w:rFonts w:ascii="Times New Roman" w:hAnsi="Times New Roman" w:cs="Times New Roman"/>
        </w:rPr>
        <w:t>20</w:t>
      </w:r>
      <w:r>
        <w:rPr>
          <w:rFonts w:ascii="Times New Roman" w:hAnsi="Times New Roman" w:cs="Times New Roman" w:hint="eastAsia"/>
        </w:rPr>
        <w:t>2</w:t>
      </w:r>
      <w:r w:rsidR="00367D43">
        <w:rPr>
          <w:rFonts w:ascii="Times New Roman" w:hAnsi="Times New Roman" w:cs="Times New Roman" w:hint="eastAsia"/>
        </w:rPr>
        <w:t>4</w:t>
      </w:r>
      <w:r w:rsidR="00687475">
        <w:rPr>
          <w:rFonts w:ascii="Times New Roman" w:hAnsi="Times New Roman" w:cs="Times New Roman"/>
        </w:rPr>
        <w:t>-</w:t>
      </w:r>
      <w:r w:rsidR="00C92519">
        <w:rPr>
          <w:rFonts w:ascii="Times New Roman" w:hAnsi="Times New Roman" w:cs="Times New Roman" w:hint="eastAsia"/>
        </w:rPr>
        <w:t>0</w:t>
      </w:r>
      <w:r w:rsidR="00367D43">
        <w:rPr>
          <w:rFonts w:ascii="Times New Roman" w:hAnsi="Times New Roman" w:cs="Times New Roman" w:hint="eastAsia"/>
        </w:rPr>
        <w:t>38</w:t>
      </w:r>
    </w:p>
    <w:p w14:paraId="6EB041D6" w14:textId="77777777" w:rsidR="00342A1A" w:rsidRDefault="00342A1A">
      <w:pPr>
        <w:jc w:val="center"/>
        <w:rPr>
          <w:rFonts w:ascii="黑体" w:eastAsia="黑体" w:hAnsi="黑体"/>
          <w:b/>
          <w:bCs/>
          <w:sz w:val="36"/>
          <w:szCs w:val="36"/>
        </w:rPr>
      </w:pPr>
    </w:p>
    <w:p w14:paraId="7ADAA01B" w14:textId="77777777" w:rsidR="00342A1A" w:rsidRDefault="00FF6AAB">
      <w:pPr>
        <w:jc w:val="center"/>
        <w:rPr>
          <w:rFonts w:ascii="黑体" w:eastAsia="黑体" w:hAnsi="黑体"/>
          <w:b/>
          <w:bCs/>
          <w:sz w:val="36"/>
          <w:szCs w:val="36"/>
        </w:rPr>
      </w:pPr>
      <w:r>
        <w:rPr>
          <w:rFonts w:ascii="黑体" w:eastAsia="黑体" w:hAnsi="黑体" w:hint="eastAsia"/>
          <w:b/>
          <w:bCs/>
          <w:sz w:val="36"/>
          <w:szCs w:val="36"/>
        </w:rPr>
        <w:t>安徽省交通建设股份有限公司</w:t>
      </w:r>
    </w:p>
    <w:p w14:paraId="303D2545" w14:textId="42200D00" w:rsidR="00342A1A" w:rsidRDefault="00FF6AAB">
      <w:pPr>
        <w:jc w:val="center"/>
        <w:rPr>
          <w:rFonts w:ascii="黑体" w:eastAsia="黑体" w:hAnsi="黑体"/>
          <w:b/>
          <w:bCs/>
          <w:sz w:val="36"/>
          <w:szCs w:val="36"/>
        </w:rPr>
      </w:pPr>
      <w:r>
        <w:rPr>
          <w:rFonts w:ascii="黑体" w:eastAsia="黑体" w:hAnsi="黑体"/>
          <w:b/>
          <w:bCs/>
          <w:noProof/>
          <w:sz w:val="36"/>
          <w:szCs w:val="36"/>
        </w:rPr>
        <mc:AlternateContent>
          <mc:Choice Requires="wps">
            <w:drawing>
              <wp:anchor distT="0" distB="0" distL="0" distR="0" simplePos="0" relativeHeight="251659264" behindDoc="1" locked="0" layoutInCell="1" allowOverlap="1" wp14:anchorId="1876E59E" wp14:editId="2453A4FC">
                <wp:simplePos x="0" y="0"/>
                <wp:positionH relativeFrom="page">
                  <wp:posOffset>1266825</wp:posOffset>
                </wp:positionH>
                <wp:positionV relativeFrom="paragraph">
                  <wp:posOffset>728980</wp:posOffset>
                </wp:positionV>
                <wp:extent cx="5419090" cy="882015"/>
                <wp:effectExtent l="0" t="0" r="10160" b="13335"/>
                <wp:wrapThrough wrapText="bothSides">
                  <wp:wrapPolygon edited="0">
                    <wp:start x="0" y="0"/>
                    <wp:lineTo x="0" y="21460"/>
                    <wp:lineTo x="21565" y="21460"/>
                    <wp:lineTo x="21565" y="0"/>
                    <wp:lineTo x="0" y="0"/>
                  </wp:wrapPolygon>
                </wp:wrapThrough>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882015"/>
                        </a:xfrm>
                        <a:prstGeom prst="rect">
                          <a:avLst/>
                        </a:prstGeom>
                        <a:noFill/>
                        <a:ln w="6096">
                          <a:solidFill>
                            <a:srgbClr val="000000"/>
                          </a:solidFill>
                          <a:miter lim="800000"/>
                        </a:ln>
                      </wps:spPr>
                      <wps:txbx>
                        <w:txbxContent>
                          <w:p w14:paraId="37ED0F12" w14:textId="5675B522" w:rsidR="00342A1A" w:rsidRDefault="00FF6AAB">
                            <w:pPr>
                              <w:pStyle w:val="a3"/>
                              <w:spacing w:line="602" w:lineRule="exact"/>
                              <w:ind w:left="108" w:right="108" w:firstLine="476"/>
                            </w:pPr>
                            <w:r>
                              <w:rPr>
                                <w:spacing w:val="-5"/>
                              </w:rPr>
                              <w:t>本公司董事会及全体董事保证本公告内容不存在任何虚假记载、误导性陈述</w:t>
                            </w:r>
                            <w:r>
                              <w:t>或者重大遗漏，并对其内容的真实性、准确性和完整性承担</w:t>
                            </w:r>
                            <w:r w:rsidR="008254EC">
                              <w:rPr>
                                <w:rFonts w:hint="eastAsia"/>
                              </w:rPr>
                              <w:t>法律</w:t>
                            </w:r>
                            <w:r>
                              <w:t>责任。</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9.75pt;margin-top:57.4pt;width:426.7pt;height:69.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" filled="f" strokeweight=".48pt">
                <v:textbox inset="0,0,0,0">
                  <w:txbxContent>
                    <w:p w14:paraId="37ED0F12" w14:textId="5675B522" w:rsidR="00342A1A" w:rsidRDefault="00FF6AAB">
                      <w:pPr>
                        <w:pStyle w:val="a3"/>
                        <w:spacing w:line="602" w:lineRule="exact"/>
                        <w:ind w:left="108" w:right="108" w:firstLine="476"/>
                      </w:pPr>
                      <w:r>
                        <w:rPr>
                          <w:spacing w:val="-5"/>
                        </w:rPr>
                        <w:t>本公司董事会及全体董事保证本公告内容不存在任何虚假记载、误导性陈述</w:t>
                      </w:r>
                      <w:r>
                        <w:t>或者重大遗漏，并对其内容的真实性、准确性和完整性承担</w:t>
                      </w:r>
                      <w:r w:rsidR="008254EC">
                        <w:rPr>
                          <w:rFonts w:hint="eastAsia"/>
                        </w:rPr>
                        <w:t>法律</w:t>
                      </w:r>
                      <w:r>
                        <w:t>责任。</w:t>
                      </w:r>
                    </w:p>
                  </w:txbxContent>
                </v:textbox>
                <w10:wrap type="through" anchorx="page"/>
              </v:shape>
            </w:pict>
          </mc:Fallback>
        </mc:AlternateContent>
      </w:r>
      <w:r>
        <w:rPr>
          <w:rFonts w:ascii="黑体" w:eastAsia="黑体" w:hAnsi="黑体" w:hint="eastAsia"/>
          <w:b/>
          <w:bCs/>
          <w:sz w:val="36"/>
          <w:szCs w:val="36"/>
        </w:rPr>
        <w:t>关于2</w:t>
      </w:r>
      <w:r>
        <w:rPr>
          <w:rFonts w:ascii="黑体" w:eastAsia="黑体" w:hAnsi="黑体"/>
          <w:b/>
          <w:bCs/>
          <w:sz w:val="36"/>
          <w:szCs w:val="36"/>
        </w:rPr>
        <w:t>02</w:t>
      </w:r>
      <w:r w:rsidR="00367D43">
        <w:rPr>
          <w:rFonts w:ascii="黑体" w:eastAsia="黑体" w:hAnsi="黑体" w:hint="eastAsia"/>
          <w:b/>
          <w:bCs/>
          <w:sz w:val="36"/>
          <w:szCs w:val="36"/>
        </w:rPr>
        <w:t>3</w:t>
      </w:r>
      <w:r>
        <w:rPr>
          <w:rFonts w:ascii="黑体" w:eastAsia="黑体" w:hAnsi="黑体" w:hint="eastAsia"/>
          <w:b/>
          <w:bCs/>
          <w:sz w:val="36"/>
          <w:szCs w:val="36"/>
        </w:rPr>
        <w:t>年度网上业绩说明会召开情况的公告</w:t>
      </w:r>
    </w:p>
    <w:p w14:paraId="34CB8C7A" w14:textId="2819D3DC" w:rsidR="00342A1A" w:rsidRPr="00687475" w:rsidRDefault="00342A1A">
      <w:pPr>
        <w:rPr>
          <w:rFonts w:ascii="宋体" w:eastAsia="宋体" w:hAnsi="宋体"/>
          <w:b/>
          <w:bCs/>
          <w:sz w:val="24"/>
          <w:szCs w:val="24"/>
        </w:rPr>
      </w:pPr>
    </w:p>
    <w:p w14:paraId="7FD8F7F0" w14:textId="4C4D4937" w:rsidR="00342A1A" w:rsidRPr="00245BCA" w:rsidRDefault="00FF6AAB">
      <w:pPr>
        <w:spacing w:line="480" w:lineRule="exact"/>
        <w:ind w:firstLineChars="200" w:firstLine="480"/>
        <w:rPr>
          <w:rFonts w:ascii="宋体" w:eastAsia="宋体" w:hAnsi="宋体"/>
          <w:sz w:val="24"/>
          <w:szCs w:val="24"/>
        </w:rPr>
      </w:pPr>
      <w:r>
        <w:rPr>
          <w:rFonts w:ascii="宋体" w:eastAsia="宋体" w:hAnsi="宋体" w:hint="eastAsia"/>
          <w:sz w:val="24"/>
          <w:szCs w:val="24"/>
        </w:rPr>
        <w:t>安徽省交通建设股份有限公司（以下简称“公司”）于202</w:t>
      </w:r>
      <w:r w:rsidR="00367D43">
        <w:rPr>
          <w:rFonts w:ascii="宋体" w:eastAsia="宋体" w:hAnsi="宋体" w:hint="eastAsia"/>
          <w:sz w:val="24"/>
          <w:szCs w:val="24"/>
        </w:rPr>
        <w:t>4</w:t>
      </w:r>
      <w:r>
        <w:rPr>
          <w:rFonts w:ascii="宋体" w:eastAsia="宋体" w:hAnsi="宋体" w:hint="eastAsia"/>
          <w:sz w:val="24"/>
          <w:szCs w:val="24"/>
        </w:rPr>
        <w:t>年5月1</w:t>
      </w:r>
      <w:r w:rsidR="00367D43">
        <w:rPr>
          <w:rFonts w:ascii="宋体" w:eastAsia="宋体" w:hAnsi="宋体" w:hint="eastAsia"/>
          <w:sz w:val="24"/>
          <w:szCs w:val="24"/>
        </w:rPr>
        <w:t>4</w:t>
      </w:r>
      <w:r>
        <w:rPr>
          <w:rFonts w:ascii="宋体" w:eastAsia="宋体" w:hAnsi="宋体" w:hint="eastAsia"/>
          <w:sz w:val="24"/>
          <w:szCs w:val="24"/>
        </w:rPr>
        <w:t>日（星期</w:t>
      </w:r>
      <w:r w:rsidR="00367D43">
        <w:rPr>
          <w:rFonts w:ascii="宋体" w:eastAsia="宋体" w:hAnsi="宋体" w:hint="eastAsia"/>
          <w:sz w:val="24"/>
          <w:szCs w:val="24"/>
        </w:rPr>
        <w:t>二</w:t>
      </w:r>
      <w:r>
        <w:rPr>
          <w:rFonts w:ascii="宋体" w:eastAsia="宋体" w:hAnsi="宋体" w:hint="eastAsia"/>
          <w:sz w:val="24"/>
          <w:szCs w:val="24"/>
        </w:rPr>
        <w:t>）15:</w:t>
      </w:r>
      <w:r>
        <w:rPr>
          <w:rFonts w:ascii="宋体" w:eastAsia="宋体" w:hAnsi="宋体"/>
          <w:sz w:val="24"/>
          <w:szCs w:val="24"/>
        </w:rPr>
        <w:t>0</w:t>
      </w:r>
      <w:r>
        <w:rPr>
          <w:rFonts w:ascii="宋体" w:eastAsia="宋体" w:hAnsi="宋体" w:hint="eastAsia"/>
          <w:sz w:val="24"/>
          <w:szCs w:val="24"/>
        </w:rPr>
        <w:t>0-16:</w:t>
      </w:r>
      <w:r w:rsidR="00245BCA">
        <w:rPr>
          <w:rFonts w:ascii="宋体" w:eastAsia="宋体" w:hAnsi="宋体"/>
          <w:sz w:val="24"/>
          <w:szCs w:val="24"/>
        </w:rPr>
        <w:t>3</w:t>
      </w:r>
      <w:r>
        <w:rPr>
          <w:rFonts w:ascii="宋体" w:eastAsia="宋体" w:hAnsi="宋体" w:hint="eastAsia"/>
          <w:sz w:val="24"/>
          <w:szCs w:val="24"/>
        </w:rPr>
        <w:t>0，通过上海证券交易所</w:t>
      </w:r>
      <w:r>
        <w:rPr>
          <w:rFonts w:ascii="宋体" w:eastAsia="宋体" w:hAnsi="宋体"/>
          <w:sz w:val="24"/>
          <w:szCs w:val="24"/>
        </w:rPr>
        <w:t>“上证e互动”网络平台（http://sns.sseinfo.com）</w:t>
      </w:r>
      <w:r>
        <w:rPr>
          <w:rFonts w:ascii="宋体" w:eastAsia="宋体" w:hAnsi="宋体" w:hint="eastAsia"/>
          <w:sz w:val="24"/>
          <w:szCs w:val="24"/>
        </w:rPr>
        <w:t>召开了2</w:t>
      </w:r>
      <w:r>
        <w:rPr>
          <w:rFonts w:ascii="宋体" w:eastAsia="宋体" w:hAnsi="宋体"/>
          <w:sz w:val="24"/>
          <w:szCs w:val="24"/>
        </w:rPr>
        <w:t>02</w:t>
      </w:r>
      <w:r w:rsidR="00367D43">
        <w:rPr>
          <w:rFonts w:ascii="宋体" w:eastAsia="宋体" w:hAnsi="宋体" w:hint="eastAsia"/>
          <w:sz w:val="24"/>
          <w:szCs w:val="24"/>
        </w:rPr>
        <w:t>3</w:t>
      </w:r>
      <w:r>
        <w:rPr>
          <w:rFonts w:ascii="宋体" w:eastAsia="宋体" w:hAnsi="宋体" w:hint="eastAsia"/>
          <w:sz w:val="24"/>
          <w:szCs w:val="24"/>
        </w:rPr>
        <w:t>年度网上业绩说明会，现将说明会情况公告如下：</w:t>
      </w:r>
    </w:p>
    <w:p w14:paraId="41ACA74D" w14:textId="77777777" w:rsidR="00342A1A" w:rsidRDefault="00FF6AAB" w:rsidP="007E5AF5">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一、本次说明会人员参加情况</w:t>
      </w:r>
    </w:p>
    <w:p w14:paraId="179B0B38" w14:textId="1C5675DB" w:rsidR="00342A1A" w:rsidRDefault="00FF6AAB">
      <w:pPr>
        <w:spacing w:line="480" w:lineRule="exact"/>
        <w:ind w:firstLineChars="200" w:firstLine="480"/>
        <w:rPr>
          <w:rFonts w:ascii="宋体" w:eastAsia="宋体" w:hAnsi="宋体"/>
          <w:sz w:val="24"/>
          <w:szCs w:val="24"/>
        </w:rPr>
      </w:pPr>
      <w:r>
        <w:rPr>
          <w:rFonts w:ascii="宋体" w:eastAsia="宋体" w:hAnsi="宋体" w:hint="eastAsia"/>
          <w:sz w:val="24"/>
          <w:szCs w:val="24"/>
        </w:rPr>
        <w:t>公司董事长胡先宽、董事会秘书曹振明、财务总监施秀莹</w:t>
      </w:r>
      <w:r w:rsidR="00245BCA">
        <w:rPr>
          <w:rFonts w:ascii="宋体" w:eastAsia="宋体" w:hAnsi="宋体" w:hint="eastAsia"/>
          <w:sz w:val="24"/>
          <w:szCs w:val="24"/>
        </w:rPr>
        <w:t>、独立董事</w:t>
      </w:r>
      <w:r w:rsidR="00367D43">
        <w:rPr>
          <w:rFonts w:ascii="宋体" w:eastAsia="宋体" w:hAnsi="宋体" w:hint="eastAsia"/>
          <w:sz w:val="24"/>
          <w:szCs w:val="24"/>
        </w:rPr>
        <w:t>陈亮</w:t>
      </w:r>
      <w:r>
        <w:rPr>
          <w:rFonts w:ascii="宋体" w:eastAsia="宋体" w:hAnsi="宋体" w:hint="eastAsia"/>
          <w:sz w:val="24"/>
          <w:szCs w:val="24"/>
        </w:rPr>
        <w:t>参加了本次说明会，并对投资者提出的问题进行了回答。</w:t>
      </w:r>
    </w:p>
    <w:p w14:paraId="320A1971" w14:textId="41ED23EB" w:rsidR="00342A1A" w:rsidRDefault="00FF6AAB" w:rsidP="007E5AF5">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二、投资者提出的主要问题及公司回答情况</w:t>
      </w:r>
    </w:p>
    <w:p w14:paraId="64EE40A9" w14:textId="77777777"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bCs/>
          <w:sz w:val="24"/>
          <w:szCs w:val="24"/>
        </w:rPr>
        <w:t>1、</w:t>
      </w:r>
      <w:proofErr w:type="gramStart"/>
      <w:r w:rsidRPr="00A930CF">
        <w:rPr>
          <w:rFonts w:ascii="宋体" w:eastAsia="宋体" w:hAnsi="宋体"/>
          <w:bCs/>
          <w:sz w:val="24"/>
          <w:szCs w:val="24"/>
        </w:rPr>
        <w:t>交建股份</w:t>
      </w:r>
      <w:proofErr w:type="gramEnd"/>
      <w:r w:rsidRPr="00A930CF">
        <w:rPr>
          <w:rFonts w:ascii="宋体" w:eastAsia="宋体" w:hAnsi="宋体"/>
          <w:bCs/>
          <w:sz w:val="24"/>
          <w:szCs w:val="24"/>
        </w:rPr>
        <w:t>2023年年报显示，净利润同比下降了4.39%，同时三费（销售费用、管理费用、财务费用）占比上升明显。请问，净利润下滑的主要原因是什么？三费占比的上升是由于哪些具体费用的增加导致的，公司计划采取哪些措施优化成本结构，以应对这一挑战</w:t>
      </w:r>
    </w:p>
    <w:p w14:paraId="23338450" w14:textId="77777777"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hint="eastAsia"/>
          <w:bCs/>
          <w:sz w:val="24"/>
          <w:szCs w:val="24"/>
        </w:rPr>
        <w:t>答：报告期内公司净利润略有下降，主要原因系营业收入下降。由于业务结构的原因，</w:t>
      </w:r>
      <w:r w:rsidRPr="00A930CF">
        <w:rPr>
          <w:rFonts w:ascii="宋体" w:eastAsia="宋体" w:hAnsi="宋体"/>
          <w:bCs/>
          <w:sz w:val="24"/>
          <w:szCs w:val="24"/>
        </w:rPr>
        <w:t>2023年公路项目</w:t>
      </w:r>
      <w:proofErr w:type="gramStart"/>
      <w:r w:rsidRPr="00A930CF">
        <w:rPr>
          <w:rFonts w:ascii="宋体" w:eastAsia="宋体" w:hAnsi="宋体"/>
          <w:bCs/>
          <w:sz w:val="24"/>
          <w:szCs w:val="24"/>
        </w:rPr>
        <w:t>占比较</w:t>
      </w:r>
      <w:proofErr w:type="gramEnd"/>
      <w:r w:rsidRPr="00A930CF">
        <w:rPr>
          <w:rFonts w:ascii="宋体" w:eastAsia="宋体" w:hAnsi="宋体"/>
          <w:bCs/>
          <w:sz w:val="24"/>
          <w:szCs w:val="24"/>
        </w:rPr>
        <w:t>多，且该类项目前期征地拆迁、报批报建等相关工作程序较为漫长，影响产值的转换和提升，但报告期公司整体毛利率水平高于往年。此外，2023年，公司在盈利能力和现金流管理等方面表现相对稳健。</w:t>
      </w:r>
    </w:p>
    <w:p w14:paraId="0A67C0A4" w14:textId="77777777"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hint="eastAsia"/>
          <w:bCs/>
          <w:sz w:val="24"/>
          <w:szCs w:val="24"/>
        </w:rPr>
        <w:t>报告期内，公司管理费用增加主要系新增子公司及重大资产重组中介机构费用增加所致；销售费用增加主要系新增子公司产生费用及销售人员薪酬增加所致；财务费用增加主要系利息支出增加所致。公司将在经营工作、项目管理、成本管</w:t>
      </w:r>
      <w:r w:rsidRPr="00A930CF">
        <w:rPr>
          <w:rFonts w:ascii="宋体" w:eastAsia="宋体" w:hAnsi="宋体" w:hint="eastAsia"/>
          <w:bCs/>
          <w:sz w:val="24"/>
          <w:szCs w:val="24"/>
        </w:rPr>
        <w:lastRenderedPageBreak/>
        <w:t>控、人力资源、运营管理等领域全面开展降本增效工作。公司将通过提高标</w:t>
      </w:r>
      <w:proofErr w:type="gramStart"/>
      <w:r w:rsidRPr="00A930CF">
        <w:rPr>
          <w:rFonts w:ascii="宋体" w:eastAsia="宋体" w:hAnsi="宋体" w:hint="eastAsia"/>
          <w:bCs/>
          <w:sz w:val="24"/>
          <w:szCs w:val="24"/>
        </w:rPr>
        <w:t>前成本</w:t>
      </w:r>
      <w:proofErr w:type="gramEnd"/>
      <w:r w:rsidRPr="00A930CF">
        <w:rPr>
          <w:rFonts w:ascii="宋体" w:eastAsia="宋体" w:hAnsi="宋体" w:hint="eastAsia"/>
          <w:bCs/>
          <w:sz w:val="24"/>
          <w:szCs w:val="24"/>
        </w:rPr>
        <w:t>测算水平，提升项目全案策划实效，抓好项目成本预算执行，实施动态成本管控，优化人才匹配和绩效考核，加强运营评价机制等精细化管理措施，实现降本、提质、增效的目标。</w:t>
      </w:r>
    </w:p>
    <w:p w14:paraId="4956034F" w14:textId="77777777"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bCs/>
          <w:sz w:val="24"/>
          <w:szCs w:val="24"/>
        </w:rPr>
        <w:t>2、面对2023年营业收入和净利润的下滑，</w:t>
      </w:r>
      <w:proofErr w:type="gramStart"/>
      <w:r w:rsidRPr="00A930CF">
        <w:rPr>
          <w:rFonts w:ascii="宋体" w:eastAsia="宋体" w:hAnsi="宋体"/>
          <w:bCs/>
          <w:sz w:val="24"/>
          <w:szCs w:val="24"/>
        </w:rPr>
        <w:t>交建股份</w:t>
      </w:r>
      <w:proofErr w:type="gramEnd"/>
      <w:r w:rsidRPr="00A930CF">
        <w:rPr>
          <w:rFonts w:ascii="宋体" w:eastAsia="宋体" w:hAnsi="宋体"/>
          <w:bCs/>
          <w:sz w:val="24"/>
          <w:szCs w:val="24"/>
        </w:rPr>
        <w:t>是否已制定或实施了具体的应对策略来提升业绩？这些策略包括市场拓展、成本控制、或是业务结构调整等方面的内容。另外，公司对于2024年的业绩展望如何，有哪些关键的增长点或投资项目可能带动公司业绩回暖？</w:t>
      </w:r>
    </w:p>
    <w:p w14:paraId="03C9BC3A" w14:textId="77777777"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hint="eastAsia"/>
          <w:bCs/>
          <w:sz w:val="24"/>
          <w:szCs w:val="24"/>
        </w:rPr>
        <w:t>答：</w:t>
      </w:r>
      <w:r w:rsidRPr="00A930CF">
        <w:rPr>
          <w:rFonts w:ascii="宋体" w:eastAsia="宋体" w:hAnsi="宋体"/>
          <w:bCs/>
          <w:sz w:val="24"/>
          <w:szCs w:val="24"/>
        </w:rPr>
        <w:t>2024年，公司将采用积极的政策和措施，提升公司市场经营拓展能力，重点推进特许经营类项目，在巩固重点市场优势地位的同时，积极推动经营工作向“三大工程”为代表的细分市场转型，加大保障性住房建设、“平急两用”公共基础设施建设、城中村改造等项目承揽力度，努力实现业务承揽质与量的双提升。公司将打造“重谋划、快反应、勇创新、有特色、树信用”的项目管理能力，全面提升项目前期的全案策划实效，持续优化项目成本管控工作。</w:t>
      </w:r>
    </w:p>
    <w:p w14:paraId="4E00A4BC" w14:textId="6F71A946"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hint="eastAsia"/>
          <w:bCs/>
          <w:sz w:val="24"/>
          <w:szCs w:val="24"/>
        </w:rPr>
        <w:t>今年以来，各省、自治区、直辖市发布了重大项目投资计划，从项目计划中可以看出，</w:t>
      </w:r>
      <w:r w:rsidRPr="00A930CF">
        <w:rPr>
          <w:rFonts w:ascii="宋体" w:eastAsia="宋体" w:hAnsi="宋体"/>
          <w:bCs/>
          <w:sz w:val="24"/>
          <w:szCs w:val="24"/>
        </w:rPr>
        <w:t>2024年基建项目储备较为充足，投资力度较大，基建持续增长的预期较为明确。公司所在的安徽省也发布了相应基础设施建设规划，“轨道上的安徽”今年将再扩容。2024年，公司将积极拓展特许经营类项目、“三大工程”类项目，同时，严守质量和安全的项目管理底限，积极开展效能建设，实现降本增效，努力实现年度经营业绩指标。</w:t>
      </w:r>
    </w:p>
    <w:p w14:paraId="09BCA2AE" w14:textId="77777777"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bCs/>
          <w:sz w:val="24"/>
          <w:szCs w:val="24"/>
        </w:rPr>
        <w:t>3、</w:t>
      </w:r>
      <w:proofErr w:type="gramStart"/>
      <w:r w:rsidRPr="00A930CF">
        <w:rPr>
          <w:rFonts w:ascii="宋体" w:eastAsia="宋体" w:hAnsi="宋体"/>
          <w:bCs/>
          <w:sz w:val="24"/>
          <w:szCs w:val="24"/>
        </w:rPr>
        <w:t>交建股份</w:t>
      </w:r>
      <w:proofErr w:type="gramEnd"/>
      <w:r w:rsidRPr="00A930CF">
        <w:rPr>
          <w:rFonts w:ascii="宋体" w:eastAsia="宋体" w:hAnsi="宋体"/>
          <w:bCs/>
          <w:sz w:val="24"/>
          <w:szCs w:val="24"/>
        </w:rPr>
        <w:t>在2023年参与国家新基建项目的情况如何？公司承接了多少相关项目，比如5G基站建设、城际高铁</w:t>
      </w:r>
      <w:proofErr w:type="gramStart"/>
      <w:r w:rsidRPr="00A930CF">
        <w:rPr>
          <w:rFonts w:ascii="宋体" w:eastAsia="宋体" w:hAnsi="宋体"/>
          <w:bCs/>
          <w:sz w:val="24"/>
          <w:szCs w:val="24"/>
        </w:rPr>
        <w:t>和城轨交通</w:t>
      </w:r>
      <w:proofErr w:type="gramEnd"/>
      <w:r w:rsidRPr="00A930CF">
        <w:rPr>
          <w:rFonts w:ascii="宋体" w:eastAsia="宋体" w:hAnsi="宋体"/>
          <w:bCs/>
          <w:sz w:val="24"/>
          <w:szCs w:val="24"/>
        </w:rPr>
        <w:t>、新能源充电桩基础设施等？针对新基建的巨大发展潜力，</w:t>
      </w:r>
      <w:proofErr w:type="gramStart"/>
      <w:r w:rsidRPr="00A930CF">
        <w:rPr>
          <w:rFonts w:ascii="宋体" w:eastAsia="宋体" w:hAnsi="宋体"/>
          <w:bCs/>
          <w:sz w:val="24"/>
          <w:szCs w:val="24"/>
        </w:rPr>
        <w:t>交建股份</w:t>
      </w:r>
      <w:proofErr w:type="gramEnd"/>
      <w:r w:rsidRPr="00A930CF">
        <w:rPr>
          <w:rFonts w:ascii="宋体" w:eastAsia="宋体" w:hAnsi="宋体"/>
          <w:bCs/>
          <w:sz w:val="24"/>
          <w:szCs w:val="24"/>
        </w:rPr>
        <w:t>是否有针对性的战略规划或调整，以进一步提升在新基建领域的市场份额和技术竞争力？请分享公司在新基建领域的标志性项目或未来的发展蓝图。</w:t>
      </w:r>
    </w:p>
    <w:p w14:paraId="032D90E5" w14:textId="7677D152"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hint="eastAsia"/>
          <w:bCs/>
          <w:sz w:val="24"/>
          <w:szCs w:val="24"/>
        </w:rPr>
        <w:t>答：</w:t>
      </w:r>
      <w:r w:rsidRPr="00A930CF">
        <w:rPr>
          <w:rFonts w:ascii="宋体" w:eastAsia="宋体" w:hAnsi="宋体"/>
          <w:bCs/>
          <w:sz w:val="24"/>
          <w:szCs w:val="24"/>
        </w:rPr>
        <w:t>2023年，公司积极围绕基础设施建设主线提质增效，推动业务向新基建等领域产业延伸，深化上市公司产业链。报告期内，公司新承揽合肥新桥机场S1线岗集车辆段土建施工总承包工程、合肥市轨道交通 8 号线一期 110kV 主变电所系统集成1标等城市轨道交通等项目。公司围绕新基建、新能源施工业务，</w:t>
      </w:r>
      <w:r w:rsidRPr="00A930CF">
        <w:rPr>
          <w:rFonts w:ascii="宋体" w:eastAsia="宋体" w:hAnsi="宋体"/>
          <w:bCs/>
          <w:sz w:val="24"/>
          <w:szCs w:val="24"/>
        </w:rPr>
        <w:lastRenderedPageBreak/>
        <w:t>积极探索和实践产业转型升级计划，布局未来业务创新</w:t>
      </w:r>
      <w:proofErr w:type="gramStart"/>
      <w:r w:rsidRPr="00A930CF">
        <w:rPr>
          <w:rFonts w:ascii="宋体" w:eastAsia="宋体" w:hAnsi="宋体"/>
          <w:bCs/>
          <w:sz w:val="24"/>
          <w:szCs w:val="24"/>
        </w:rPr>
        <w:t>极</w:t>
      </w:r>
      <w:proofErr w:type="gramEnd"/>
      <w:r w:rsidRPr="00A930CF">
        <w:rPr>
          <w:rFonts w:ascii="宋体" w:eastAsia="宋体" w:hAnsi="宋体"/>
          <w:bCs/>
          <w:sz w:val="24"/>
          <w:szCs w:val="24"/>
        </w:rPr>
        <w:t>和增长点。报告期内公司新取得电力工程施工总承包贰级资质，并组建电力施工技术团队，努力拓展承接电力工程项目，积极探索新基建、新能源施工业务，促进公司产业转型升级；公司聚焦建筑</w:t>
      </w:r>
      <w:r w:rsidRPr="00A930CF">
        <w:rPr>
          <w:rFonts w:ascii="宋体" w:eastAsia="宋体" w:hAnsi="宋体" w:hint="eastAsia"/>
          <w:bCs/>
          <w:sz w:val="24"/>
          <w:szCs w:val="24"/>
        </w:rPr>
        <w:t>工业化、产业化和低碳型产业，对外投资设立</w:t>
      </w:r>
      <w:proofErr w:type="gramStart"/>
      <w:r w:rsidRPr="00A930CF">
        <w:rPr>
          <w:rFonts w:ascii="宋体" w:eastAsia="宋体" w:hAnsi="宋体" w:hint="eastAsia"/>
          <w:bCs/>
          <w:sz w:val="24"/>
          <w:szCs w:val="24"/>
        </w:rPr>
        <w:t>浙江交建城市</w:t>
      </w:r>
      <w:proofErr w:type="gramEnd"/>
      <w:r w:rsidRPr="00A930CF">
        <w:rPr>
          <w:rFonts w:ascii="宋体" w:eastAsia="宋体" w:hAnsi="宋体" w:hint="eastAsia"/>
          <w:bCs/>
          <w:sz w:val="24"/>
          <w:szCs w:val="24"/>
        </w:rPr>
        <w:t>服务科技集团有限公司，主要从事建筑新材料及工业化产品，基础设施养护等业务。</w:t>
      </w:r>
      <w:r w:rsidRPr="00A930CF">
        <w:rPr>
          <w:rFonts w:ascii="宋体" w:eastAsia="宋体" w:hAnsi="宋体"/>
          <w:bCs/>
          <w:sz w:val="24"/>
          <w:szCs w:val="24"/>
        </w:rPr>
        <w:t>2023 年 9 月，公司召开第三届董事会第八次会议和第三届监事会第七次会议，审议通过《安徽省交通建设股份有限公司发行股份及支付现金购买资产并募集配套资金暨关联交易预案》等议案，拟以发行股份及支付现金的方式购买无锡博达新</w:t>
      </w:r>
      <w:proofErr w:type="gramStart"/>
      <w:r w:rsidRPr="00A930CF">
        <w:rPr>
          <w:rFonts w:ascii="宋体" w:eastAsia="宋体" w:hAnsi="宋体"/>
          <w:bCs/>
          <w:sz w:val="24"/>
          <w:szCs w:val="24"/>
        </w:rPr>
        <w:t>能科技</w:t>
      </w:r>
      <w:proofErr w:type="gramEnd"/>
      <w:r w:rsidRPr="00A930CF">
        <w:rPr>
          <w:rFonts w:ascii="宋体" w:eastAsia="宋体" w:hAnsi="宋体"/>
          <w:bCs/>
          <w:sz w:val="24"/>
          <w:szCs w:val="24"/>
        </w:rPr>
        <w:t>有限公司 70% 股权，并募集配套资金；上述交易若完成，公司将产业链延伸至光伏领域，探索产业发展新模式，进一步扩展上市公司的业务范围，增强上市公司的可持续发展能</w:t>
      </w:r>
      <w:r w:rsidRPr="00A930CF">
        <w:rPr>
          <w:rFonts w:ascii="宋体" w:eastAsia="宋体" w:hAnsi="宋体" w:hint="eastAsia"/>
          <w:bCs/>
          <w:sz w:val="24"/>
          <w:szCs w:val="24"/>
        </w:rPr>
        <w:t>力和抗风险能力，进而提升上市公司核心竞争力。</w:t>
      </w:r>
    </w:p>
    <w:p w14:paraId="061C4D67" w14:textId="77777777"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bCs/>
          <w:sz w:val="24"/>
          <w:szCs w:val="24"/>
        </w:rPr>
        <w:t>4、资本市场新“国九条”强化上市公司现金分红监管，要求上市公司增强分红稳定性、持续性和</w:t>
      </w:r>
      <w:proofErr w:type="gramStart"/>
      <w:r w:rsidRPr="00A930CF">
        <w:rPr>
          <w:rFonts w:ascii="宋体" w:eastAsia="宋体" w:hAnsi="宋体"/>
          <w:bCs/>
          <w:sz w:val="24"/>
          <w:szCs w:val="24"/>
        </w:rPr>
        <w:t>可</w:t>
      </w:r>
      <w:proofErr w:type="gramEnd"/>
      <w:r w:rsidRPr="00A930CF">
        <w:rPr>
          <w:rFonts w:ascii="宋体" w:eastAsia="宋体" w:hAnsi="宋体"/>
          <w:bCs/>
          <w:sz w:val="24"/>
          <w:szCs w:val="24"/>
        </w:rPr>
        <w:t>预期性，请问公司现金分红水平如何？</w:t>
      </w:r>
    </w:p>
    <w:p w14:paraId="06D22258" w14:textId="77777777"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hint="eastAsia"/>
          <w:bCs/>
          <w:sz w:val="24"/>
          <w:szCs w:val="24"/>
        </w:rPr>
        <w:t>公司积极响应现金分红监管政策，高度重视保障股东特别是中小股东的利益，积极回报投资者，上市后连年持续较高比例现金分红。自</w:t>
      </w:r>
      <w:r w:rsidRPr="00A930CF">
        <w:rPr>
          <w:rFonts w:ascii="宋体" w:eastAsia="宋体" w:hAnsi="宋体"/>
          <w:bCs/>
          <w:sz w:val="24"/>
          <w:szCs w:val="24"/>
        </w:rPr>
        <w:t>2019年上市以来，公司坚持每年现金分红，2019年至2022年度现金分红分别占当期</w:t>
      </w:r>
      <w:proofErr w:type="gramStart"/>
      <w:r w:rsidRPr="00A930CF">
        <w:rPr>
          <w:rFonts w:ascii="宋体" w:eastAsia="宋体" w:hAnsi="宋体"/>
          <w:bCs/>
          <w:sz w:val="24"/>
          <w:szCs w:val="24"/>
        </w:rPr>
        <w:t>归母净利润</w:t>
      </w:r>
      <w:proofErr w:type="gramEnd"/>
      <w:r w:rsidRPr="00A930CF">
        <w:rPr>
          <w:rFonts w:ascii="宋体" w:eastAsia="宋体" w:hAnsi="宋体"/>
          <w:bCs/>
          <w:sz w:val="24"/>
          <w:szCs w:val="24"/>
        </w:rPr>
        <w:t>的比例为：46.75%、30.83%、41.65%、34.09%。</w:t>
      </w:r>
    </w:p>
    <w:p w14:paraId="467C3DBD" w14:textId="77777777"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bCs/>
          <w:sz w:val="24"/>
          <w:szCs w:val="24"/>
        </w:rPr>
        <w:t>2023年度，公司拟向全体股东每10股派发现金股利人民币0.85元（含税），派发现金股利总额为52,608,559.98元，本年度公司现金分红数额占2023年度归属于母公司股东净利润的比例为30.30%。</w:t>
      </w:r>
    </w:p>
    <w:p w14:paraId="27596195" w14:textId="77777777" w:rsidR="00A930CF"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bCs/>
          <w:sz w:val="24"/>
          <w:szCs w:val="24"/>
        </w:rPr>
        <w:t>5、请问公司人才储备方面情况怎么样？</w:t>
      </w:r>
    </w:p>
    <w:p w14:paraId="742CA534" w14:textId="6DA63065" w:rsidR="00893387" w:rsidRPr="00A930CF" w:rsidRDefault="00A930CF" w:rsidP="00A930CF">
      <w:pPr>
        <w:spacing w:line="480" w:lineRule="exact"/>
        <w:ind w:firstLineChars="200" w:firstLine="480"/>
        <w:rPr>
          <w:rFonts w:ascii="宋体" w:eastAsia="宋体" w:hAnsi="宋体"/>
          <w:bCs/>
          <w:sz w:val="24"/>
          <w:szCs w:val="24"/>
        </w:rPr>
      </w:pPr>
      <w:r w:rsidRPr="00A930CF">
        <w:rPr>
          <w:rFonts w:ascii="宋体" w:eastAsia="宋体" w:hAnsi="宋体" w:hint="eastAsia"/>
          <w:bCs/>
          <w:sz w:val="24"/>
          <w:szCs w:val="24"/>
        </w:rPr>
        <w:t>答：您好</w:t>
      </w:r>
      <w:r w:rsidRPr="00A930CF">
        <w:rPr>
          <w:rFonts w:ascii="宋体" w:eastAsia="宋体" w:hAnsi="宋体"/>
          <w:bCs/>
          <w:sz w:val="24"/>
          <w:szCs w:val="24"/>
        </w:rPr>
        <w:t>!公司不断完善人力资源标准化体系建设，人才梯队专业全面、结构合理：公司 35 岁以下员工占比 75%，拥有中、高级工程师 111 人，一、二级建造师330 人，注册造价师、注册安全工程师、试验检测工程师、注册会计师等职/执业资格人员 133 人。公司结合业务发展需求，不断优化激励及考核体系，营造人才发展良好生态环境，提升团队凝聚力与战斗力，全面建设满足公司高质量发展的人才队伍。谢谢！</w:t>
      </w:r>
    </w:p>
    <w:p w14:paraId="3754C06A" w14:textId="77777777" w:rsidR="00342A1A" w:rsidRDefault="00FF6AAB" w:rsidP="007E5AF5">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 xml:space="preserve">三、其他事项 </w:t>
      </w:r>
    </w:p>
    <w:p w14:paraId="496668DD" w14:textId="4A71914B" w:rsidR="00342A1A" w:rsidRDefault="00FF6AAB">
      <w:pPr>
        <w:spacing w:line="360" w:lineRule="auto"/>
        <w:ind w:firstLineChars="200" w:firstLine="480"/>
        <w:rPr>
          <w:rFonts w:ascii="宋体" w:eastAsia="宋体" w:hAnsi="宋体"/>
          <w:sz w:val="24"/>
          <w:szCs w:val="24"/>
        </w:rPr>
      </w:pPr>
      <w:r>
        <w:rPr>
          <w:rFonts w:ascii="宋体" w:eastAsia="宋体" w:hAnsi="宋体" w:hint="eastAsia"/>
          <w:sz w:val="24"/>
          <w:szCs w:val="24"/>
        </w:rPr>
        <w:t>本次公司202</w:t>
      </w:r>
      <w:r w:rsidR="0024426D">
        <w:rPr>
          <w:rFonts w:ascii="宋体" w:eastAsia="宋体" w:hAnsi="宋体" w:hint="eastAsia"/>
          <w:sz w:val="24"/>
          <w:szCs w:val="24"/>
        </w:rPr>
        <w:t>3</w:t>
      </w:r>
      <w:r>
        <w:rPr>
          <w:rFonts w:ascii="宋体" w:eastAsia="宋体" w:hAnsi="宋体" w:hint="eastAsia"/>
          <w:sz w:val="24"/>
          <w:szCs w:val="24"/>
        </w:rPr>
        <w:t>年度业绩说明会的详细情况，投资者可以通过上海证券交易</w:t>
      </w:r>
      <w:r>
        <w:rPr>
          <w:rFonts w:ascii="宋体" w:eastAsia="宋体" w:hAnsi="宋体" w:hint="eastAsia"/>
          <w:sz w:val="24"/>
          <w:szCs w:val="24"/>
        </w:rPr>
        <w:lastRenderedPageBreak/>
        <w:t>所 “上证e互动”网络平台（http://sns.sseinfo.com）查看本次业绩说明会的召开情况及主要内容。公司对积极参与本次说明会以及长期以来关注、支持公司发展的各位投资者表示衷心感谢！</w:t>
      </w:r>
    </w:p>
    <w:p w14:paraId="2A1F3E50" w14:textId="77777777" w:rsidR="00115CA7" w:rsidRDefault="00115CA7">
      <w:pPr>
        <w:spacing w:line="360" w:lineRule="auto"/>
        <w:ind w:firstLineChars="200" w:firstLine="480"/>
        <w:rPr>
          <w:rFonts w:ascii="宋体" w:eastAsia="宋体" w:hAnsi="宋体"/>
          <w:sz w:val="24"/>
          <w:szCs w:val="24"/>
        </w:rPr>
      </w:pPr>
    </w:p>
    <w:p w14:paraId="78D1D5A0" w14:textId="77777777" w:rsidR="00342A1A" w:rsidRDefault="00FF6AAB">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14:paraId="24FD582F" w14:textId="77777777" w:rsidR="00342A1A" w:rsidRDefault="00342A1A">
      <w:pPr>
        <w:spacing w:line="480" w:lineRule="exact"/>
        <w:jc w:val="right"/>
        <w:rPr>
          <w:rFonts w:ascii="宋体" w:eastAsia="宋体" w:hAnsi="宋体"/>
          <w:sz w:val="24"/>
          <w:szCs w:val="24"/>
        </w:rPr>
      </w:pPr>
    </w:p>
    <w:p w14:paraId="262CBCB2" w14:textId="77777777" w:rsidR="00342A1A" w:rsidRDefault="00FF6AAB">
      <w:pPr>
        <w:spacing w:line="480" w:lineRule="exact"/>
        <w:jc w:val="right"/>
        <w:rPr>
          <w:rFonts w:ascii="宋体" w:eastAsia="宋体" w:hAnsi="宋体"/>
          <w:sz w:val="24"/>
          <w:szCs w:val="24"/>
        </w:rPr>
      </w:pPr>
      <w:r>
        <w:rPr>
          <w:rFonts w:ascii="宋体" w:eastAsia="宋体" w:hAnsi="宋体" w:hint="eastAsia"/>
          <w:sz w:val="24"/>
          <w:szCs w:val="24"/>
        </w:rPr>
        <w:t>安徽省交通建设股份有限公司董事会</w:t>
      </w:r>
      <w:bookmarkStart w:id="0" w:name="_GoBack"/>
      <w:bookmarkEnd w:id="0"/>
    </w:p>
    <w:p w14:paraId="1D4FC64B" w14:textId="306B1572" w:rsidR="00342A1A" w:rsidRDefault="00FF6AAB">
      <w:pPr>
        <w:spacing w:line="480" w:lineRule="exact"/>
        <w:jc w:val="righ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w:t>
      </w:r>
      <w:r w:rsidR="00893387">
        <w:rPr>
          <w:rFonts w:ascii="宋体" w:eastAsia="宋体" w:hAnsi="宋体" w:hint="eastAsia"/>
          <w:sz w:val="24"/>
          <w:szCs w:val="24"/>
        </w:rPr>
        <w:t>4</w:t>
      </w:r>
      <w:r>
        <w:rPr>
          <w:rFonts w:ascii="宋体" w:eastAsia="宋体" w:hAnsi="宋体" w:hint="eastAsia"/>
          <w:sz w:val="24"/>
          <w:szCs w:val="24"/>
        </w:rPr>
        <w:t>年5月</w:t>
      </w:r>
      <w:r w:rsidR="00245BCA">
        <w:rPr>
          <w:rFonts w:ascii="宋体" w:eastAsia="宋体" w:hAnsi="宋体"/>
          <w:sz w:val="24"/>
          <w:szCs w:val="24"/>
        </w:rPr>
        <w:t>1</w:t>
      </w:r>
      <w:r w:rsidR="00893387">
        <w:rPr>
          <w:rFonts w:ascii="宋体" w:eastAsia="宋体" w:hAnsi="宋体" w:hint="eastAsia"/>
          <w:sz w:val="24"/>
          <w:szCs w:val="24"/>
        </w:rPr>
        <w:t>5</w:t>
      </w:r>
      <w:r>
        <w:rPr>
          <w:rFonts w:ascii="宋体" w:eastAsia="宋体" w:hAnsi="宋体" w:hint="eastAsia"/>
          <w:sz w:val="24"/>
          <w:szCs w:val="24"/>
        </w:rPr>
        <w:t>日</w:t>
      </w:r>
    </w:p>
    <w:sectPr w:rsidR="00342A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7C8FF" w14:textId="77777777" w:rsidR="00086797" w:rsidRDefault="00086797" w:rsidP="00650FC0">
      <w:r>
        <w:separator/>
      </w:r>
    </w:p>
  </w:endnote>
  <w:endnote w:type="continuationSeparator" w:id="0">
    <w:p w14:paraId="63D74E20" w14:textId="77777777" w:rsidR="00086797" w:rsidRDefault="00086797" w:rsidP="0065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2A425" w14:textId="77777777" w:rsidR="00086797" w:rsidRDefault="00086797" w:rsidP="00650FC0">
      <w:r>
        <w:separator/>
      </w:r>
    </w:p>
  </w:footnote>
  <w:footnote w:type="continuationSeparator" w:id="0">
    <w:p w14:paraId="107CB17A" w14:textId="77777777" w:rsidR="00086797" w:rsidRDefault="00086797" w:rsidP="0065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89"/>
    <w:rsid w:val="00076D70"/>
    <w:rsid w:val="00086797"/>
    <w:rsid w:val="00115CA7"/>
    <w:rsid w:val="001257C0"/>
    <w:rsid w:val="00145FF2"/>
    <w:rsid w:val="00146062"/>
    <w:rsid w:val="0019004C"/>
    <w:rsid w:val="001E6CC8"/>
    <w:rsid w:val="002136CD"/>
    <w:rsid w:val="0024426D"/>
    <w:rsid w:val="00245BCA"/>
    <w:rsid w:val="002C12B5"/>
    <w:rsid w:val="002D567A"/>
    <w:rsid w:val="002E1B4C"/>
    <w:rsid w:val="00342A1A"/>
    <w:rsid w:val="00367D43"/>
    <w:rsid w:val="003A6856"/>
    <w:rsid w:val="003C68BA"/>
    <w:rsid w:val="00513633"/>
    <w:rsid w:val="005C4971"/>
    <w:rsid w:val="005F4E04"/>
    <w:rsid w:val="00650FC0"/>
    <w:rsid w:val="00687475"/>
    <w:rsid w:val="006F398B"/>
    <w:rsid w:val="00771FE3"/>
    <w:rsid w:val="00774CD8"/>
    <w:rsid w:val="007E5AF5"/>
    <w:rsid w:val="0081055F"/>
    <w:rsid w:val="008254EC"/>
    <w:rsid w:val="00893387"/>
    <w:rsid w:val="008E18ED"/>
    <w:rsid w:val="00946C03"/>
    <w:rsid w:val="0095477E"/>
    <w:rsid w:val="0098421A"/>
    <w:rsid w:val="00991A46"/>
    <w:rsid w:val="009A4429"/>
    <w:rsid w:val="009C193A"/>
    <w:rsid w:val="009F4F77"/>
    <w:rsid w:val="00A3036B"/>
    <w:rsid w:val="00A930CF"/>
    <w:rsid w:val="00B2791E"/>
    <w:rsid w:val="00B629D5"/>
    <w:rsid w:val="00BF0B7B"/>
    <w:rsid w:val="00C92519"/>
    <w:rsid w:val="00DB6789"/>
    <w:rsid w:val="00DF6C29"/>
    <w:rsid w:val="00E2515A"/>
    <w:rsid w:val="00E626C6"/>
    <w:rsid w:val="00EE540E"/>
    <w:rsid w:val="00F22140"/>
    <w:rsid w:val="00F41717"/>
    <w:rsid w:val="00F63A06"/>
    <w:rsid w:val="00F64283"/>
    <w:rsid w:val="00F857F8"/>
    <w:rsid w:val="00FA623B"/>
    <w:rsid w:val="00FA625E"/>
    <w:rsid w:val="00FF6AAB"/>
    <w:rsid w:val="4C58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F7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eastAsia="宋体" w:hAnsi="宋体" w:cs="宋体"/>
      <w:kern w:val="0"/>
      <w:sz w:val="24"/>
      <w:szCs w:val="24"/>
      <w:lang w:val="zh-CN" w:bidi="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563C1" w:themeColor="hyperlink"/>
      <w:u w:val="single"/>
    </w:rPr>
  </w:style>
  <w:style w:type="character" w:customStyle="1" w:styleId="a7">
    <w:name w:val="正文文本 字符"/>
    <w:basedOn w:val="a0"/>
    <w:uiPriority w:val="99"/>
    <w:semiHidden/>
    <w:qFormat/>
  </w:style>
  <w:style w:type="character" w:customStyle="1" w:styleId="Char">
    <w:name w:val="正文文本 Char"/>
    <w:link w:val="a3"/>
    <w:uiPriority w:val="1"/>
    <w:rPr>
      <w:rFonts w:ascii="宋体" w:eastAsia="宋体" w:hAnsi="宋体" w:cs="宋体"/>
      <w:kern w:val="0"/>
      <w:sz w:val="24"/>
      <w:szCs w:val="24"/>
      <w:lang w:val="zh-CN" w:bidi="zh-CN"/>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Balloon Text"/>
    <w:basedOn w:val="a"/>
    <w:link w:val="Char2"/>
    <w:uiPriority w:val="99"/>
    <w:semiHidden/>
    <w:unhideWhenUsed/>
    <w:rsid w:val="001257C0"/>
    <w:rPr>
      <w:sz w:val="18"/>
      <w:szCs w:val="18"/>
    </w:rPr>
  </w:style>
  <w:style w:type="character" w:customStyle="1" w:styleId="Char2">
    <w:name w:val="批注框文本 Char"/>
    <w:basedOn w:val="a0"/>
    <w:link w:val="a8"/>
    <w:uiPriority w:val="99"/>
    <w:semiHidden/>
    <w:rsid w:val="001257C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eastAsia="宋体" w:hAnsi="宋体" w:cs="宋体"/>
      <w:kern w:val="0"/>
      <w:sz w:val="24"/>
      <w:szCs w:val="24"/>
      <w:lang w:val="zh-CN" w:bidi="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563C1" w:themeColor="hyperlink"/>
      <w:u w:val="single"/>
    </w:rPr>
  </w:style>
  <w:style w:type="character" w:customStyle="1" w:styleId="a7">
    <w:name w:val="正文文本 字符"/>
    <w:basedOn w:val="a0"/>
    <w:uiPriority w:val="99"/>
    <w:semiHidden/>
    <w:qFormat/>
  </w:style>
  <w:style w:type="character" w:customStyle="1" w:styleId="Char">
    <w:name w:val="正文文本 Char"/>
    <w:link w:val="a3"/>
    <w:uiPriority w:val="1"/>
    <w:rPr>
      <w:rFonts w:ascii="宋体" w:eastAsia="宋体" w:hAnsi="宋体" w:cs="宋体"/>
      <w:kern w:val="0"/>
      <w:sz w:val="24"/>
      <w:szCs w:val="24"/>
      <w:lang w:val="zh-CN" w:bidi="zh-CN"/>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Balloon Text"/>
    <w:basedOn w:val="a"/>
    <w:link w:val="Char2"/>
    <w:uiPriority w:val="99"/>
    <w:semiHidden/>
    <w:unhideWhenUsed/>
    <w:rsid w:val="001257C0"/>
    <w:rPr>
      <w:sz w:val="18"/>
      <w:szCs w:val="18"/>
    </w:rPr>
  </w:style>
  <w:style w:type="character" w:customStyle="1" w:styleId="Char2">
    <w:name w:val="批注框文本 Char"/>
    <w:basedOn w:val="a0"/>
    <w:link w:val="a8"/>
    <w:uiPriority w:val="99"/>
    <w:semiHidden/>
    <w:rsid w:val="001257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林玲</dc:creator>
  <cp:lastModifiedBy>林玲</cp:lastModifiedBy>
  <cp:revision>26</cp:revision>
  <cp:lastPrinted>2023-05-15T08:52:00Z</cp:lastPrinted>
  <dcterms:created xsi:type="dcterms:W3CDTF">2020-05-13T07:12:00Z</dcterms:created>
  <dcterms:modified xsi:type="dcterms:W3CDTF">2024-05-14T08:31:00Z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E4F079D664684B7AB4F4A6F8700392C4</vt:lpwstr>
  </property>
</Properties>
</file>