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DCE8F" w14:textId="07ECF278" w:rsidR="00F706EE" w:rsidRPr="0085471E" w:rsidRDefault="00F706EE" w:rsidP="00F706EE">
      <w:pPr>
        <w:adjustRightInd w:val="0"/>
        <w:snapToGrid w:val="0"/>
        <w:spacing w:line="360" w:lineRule="auto"/>
        <w:rPr>
          <w:rFonts w:ascii="宋体" w:hAnsi="宋体"/>
          <w:sz w:val="24"/>
        </w:rPr>
      </w:pPr>
      <w:r w:rsidRPr="0085471E">
        <w:rPr>
          <w:rFonts w:ascii="宋体" w:hAnsi="宋体" w:hint="eastAsia"/>
          <w:sz w:val="24"/>
        </w:rPr>
        <w:t>证券代码：</w:t>
      </w:r>
      <w:r w:rsidR="007B2E77">
        <w:rPr>
          <w:rFonts w:ascii="宋体" w:hAnsi="宋体" w:hint="eastAsia"/>
          <w:sz w:val="24"/>
        </w:rPr>
        <w:t>60381</w:t>
      </w:r>
      <w:r w:rsidR="00C252E9" w:rsidRPr="0085471E">
        <w:rPr>
          <w:rFonts w:ascii="宋体" w:hAnsi="宋体" w:hint="eastAsia"/>
          <w:sz w:val="24"/>
        </w:rPr>
        <w:t xml:space="preserve">5     </w:t>
      </w:r>
      <w:r w:rsidR="007B2E77">
        <w:rPr>
          <w:rFonts w:ascii="宋体" w:hAnsi="宋体"/>
          <w:sz w:val="24"/>
        </w:rPr>
        <w:t xml:space="preserve"> </w:t>
      </w:r>
      <w:r w:rsidR="0085471E">
        <w:rPr>
          <w:rFonts w:ascii="宋体" w:hAnsi="宋体" w:hint="eastAsia"/>
          <w:sz w:val="24"/>
        </w:rPr>
        <w:t xml:space="preserve">  </w:t>
      </w:r>
      <w:r w:rsidR="00D63081" w:rsidRPr="0085471E">
        <w:rPr>
          <w:rFonts w:ascii="宋体" w:hAnsi="宋体" w:hint="eastAsia"/>
          <w:sz w:val="24"/>
        </w:rPr>
        <w:t xml:space="preserve"> </w:t>
      </w:r>
      <w:r w:rsidRPr="0085471E">
        <w:rPr>
          <w:rFonts w:ascii="宋体" w:hAnsi="宋体" w:hint="eastAsia"/>
          <w:sz w:val="24"/>
        </w:rPr>
        <w:t>证券简称：</w:t>
      </w:r>
      <w:proofErr w:type="gramStart"/>
      <w:r w:rsidR="00C252E9" w:rsidRPr="0085471E">
        <w:rPr>
          <w:rFonts w:ascii="宋体" w:hAnsi="宋体" w:hint="eastAsia"/>
          <w:sz w:val="24"/>
        </w:rPr>
        <w:t>交建股份</w:t>
      </w:r>
      <w:proofErr w:type="gramEnd"/>
      <w:r w:rsidR="00D63081" w:rsidRPr="0085471E">
        <w:rPr>
          <w:rFonts w:ascii="宋体" w:hAnsi="宋体" w:hint="eastAsia"/>
          <w:sz w:val="24"/>
        </w:rPr>
        <w:t xml:space="preserve">    </w:t>
      </w:r>
      <w:r w:rsidR="00C252E9" w:rsidRPr="0085471E">
        <w:rPr>
          <w:rFonts w:ascii="宋体" w:hAnsi="宋体" w:hint="eastAsia"/>
          <w:sz w:val="24"/>
        </w:rPr>
        <w:t xml:space="preserve">  </w:t>
      </w:r>
      <w:r w:rsidR="0085471E">
        <w:rPr>
          <w:rFonts w:ascii="宋体" w:hAnsi="宋体" w:hint="eastAsia"/>
          <w:sz w:val="24"/>
        </w:rPr>
        <w:t xml:space="preserve">  </w:t>
      </w:r>
      <w:r w:rsidR="00C252E9" w:rsidRPr="0085471E">
        <w:rPr>
          <w:rFonts w:ascii="宋体" w:hAnsi="宋体" w:hint="eastAsia"/>
          <w:sz w:val="24"/>
        </w:rPr>
        <w:t xml:space="preserve"> </w:t>
      </w:r>
      <w:r w:rsidRPr="00C83A94">
        <w:rPr>
          <w:rFonts w:ascii="宋体" w:hAnsi="宋体" w:hint="eastAsia"/>
          <w:sz w:val="24"/>
        </w:rPr>
        <w:t>公告编号：</w:t>
      </w:r>
      <w:r w:rsidR="00186051" w:rsidRPr="00C83A94">
        <w:rPr>
          <w:rFonts w:ascii="宋体" w:hAnsi="宋体"/>
          <w:sz w:val="24"/>
        </w:rPr>
        <w:t>20</w:t>
      </w:r>
      <w:r w:rsidR="00186051" w:rsidRPr="00C83A94">
        <w:rPr>
          <w:rFonts w:ascii="宋体" w:hAnsi="宋体" w:hint="eastAsia"/>
          <w:sz w:val="24"/>
        </w:rPr>
        <w:t>2</w:t>
      </w:r>
      <w:r w:rsidR="00761B0A">
        <w:rPr>
          <w:rFonts w:ascii="宋体" w:hAnsi="宋体" w:hint="eastAsia"/>
          <w:sz w:val="24"/>
        </w:rPr>
        <w:t>4</w:t>
      </w:r>
      <w:r w:rsidR="00C83A94" w:rsidRPr="00C83A94">
        <w:rPr>
          <w:rFonts w:ascii="宋体" w:hAnsi="宋体"/>
          <w:sz w:val="24"/>
        </w:rPr>
        <w:t>-</w:t>
      </w:r>
      <w:r w:rsidR="00F93CB5">
        <w:rPr>
          <w:rFonts w:ascii="宋体" w:hAnsi="宋体" w:hint="eastAsia"/>
          <w:sz w:val="24"/>
        </w:rPr>
        <w:t>023</w:t>
      </w:r>
    </w:p>
    <w:p w14:paraId="368A28F4" w14:textId="77777777" w:rsidR="00F706EE" w:rsidRDefault="00F706EE" w:rsidP="007B796E">
      <w:pPr>
        <w:adjustRightInd w:val="0"/>
        <w:snapToGrid w:val="0"/>
        <w:spacing w:line="360" w:lineRule="auto"/>
        <w:jc w:val="center"/>
        <w:rPr>
          <w:rFonts w:ascii="仿宋_GB2312" w:eastAsia="仿宋_GB2312" w:hAnsi="宋体"/>
          <w:sz w:val="30"/>
          <w:szCs w:val="30"/>
        </w:rPr>
      </w:pPr>
    </w:p>
    <w:p w14:paraId="6D51ECC8" w14:textId="77777777" w:rsidR="007B796E" w:rsidRPr="008F3C19" w:rsidRDefault="000E3C25" w:rsidP="009C5E1F">
      <w:pPr>
        <w:snapToGrid w:val="0"/>
        <w:spacing w:line="360" w:lineRule="auto"/>
        <w:jc w:val="center"/>
        <w:rPr>
          <w:rFonts w:ascii="黑体" w:eastAsia="黑体" w:hAnsi="黑体"/>
          <w:b/>
          <w:bCs/>
          <w:sz w:val="36"/>
          <w:szCs w:val="36"/>
        </w:rPr>
      </w:pPr>
      <w:r w:rsidRPr="008F3C19">
        <w:rPr>
          <w:rFonts w:ascii="黑体" w:eastAsia="黑体" w:hAnsi="黑体" w:hint="eastAsia"/>
          <w:b/>
          <w:bCs/>
          <w:sz w:val="36"/>
          <w:szCs w:val="36"/>
        </w:rPr>
        <w:t>安徽省交通建设</w:t>
      </w:r>
      <w:r w:rsidR="00D6509C" w:rsidRPr="008F3C19">
        <w:rPr>
          <w:rFonts w:ascii="黑体" w:eastAsia="黑体" w:hAnsi="黑体" w:hint="eastAsia"/>
          <w:b/>
          <w:bCs/>
          <w:sz w:val="36"/>
          <w:szCs w:val="36"/>
        </w:rPr>
        <w:t>股份有限公司</w:t>
      </w:r>
      <w:bookmarkStart w:id="0" w:name="_GoBack"/>
      <w:bookmarkEnd w:id="0"/>
    </w:p>
    <w:p w14:paraId="7AF5B42E" w14:textId="77777777" w:rsidR="00F706EE" w:rsidRPr="008F3C19" w:rsidRDefault="007B796E" w:rsidP="009C5E1F">
      <w:pPr>
        <w:snapToGrid w:val="0"/>
        <w:spacing w:line="360" w:lineRule="auto"/>
        <w:jc w:val="center"/>
        <w:rPr>
          <w:rFonts w:ascii="黑体" w:eastAsia="黑体" w:hAnsi="黑体"/>
          <w:b/>
          <w:bCs/>
          <w:sz w:val="36"/>
          <w:szCs w:val="36"/>
        </w:rPr>
      </w:pPr>
      <w:r w:rsidRPr="008F3C19">
        <w:rPr>
          <w:rFonts w:ascii="黑体" w:eastAsia="黑体" w:hAnsi="黑体" w:hint="eastAsia"/>
          <w:b/>
          <w:bCs/>
          <w:sz w:val="36"/>
          <w:szCs w:val="36"/>
        </w:rPr>
        <w:t>关于</w:t>
      </w:r>
      <w:r w:rsidR="00EA657D" w:rsidRPr="008F3C19">
        <w:rPr>
          <w:rFonts w:ascii="黑体" w:eastAsia="黑体" w:hAnsi="黑体" w:hint="eastAsia"/>
          <w:b/>
          <w:bCs/>
          <w:sz w:val="36"/>
          <w:szCs w:val="36"/>
        </w:rPr>
        <w:t>续聘</w:t>
      </w:r>
      <w:r w:rsidR="00F706EE" w:rsidRPr="008F3C19">
        <w:rPr>
          <w:rFonts w:ascii="黑体" w:eastAsia="黑体" w:hAnsi="黑体" w:hint="eastAsia"/>
          <w:b/>
          <w:bCs/>
          <w:sz w:val="36"/>
          <w:szCs w:val="36"/>
        </w:rPr>
        <w:t>会计师事务所</w:t>
      </w:r>
      <w:r w:rsidRPr="008F3C19">
        <w:rPr>
          <w:rFonts w:ascii="黑体" w:eastAsia="黑体" w:hAnsi="黑体" w:hint="eastAsia"/>
          <w:b/>
          <w:bCs/>
          <w:sz w:val="36"/>
          <w:szCs w:val="36"/>
        </w:rPr>
        <w:t>的</w:t>
      </w:r>
      <w:r w:rsidR="00F706EE" w:rsidRPr="008F3C19">
        <w:rPr>
          <w:rFonts w:ascii="黑体" w:eastAsia="黑体" w:hAnsi="黑体" w:hint="eastAsia"/>
          <w:b/>
          <w:bCs/>
          <w:sz w:val="36"/>
          <w:szCs w:val="36"/>
        </w:rPr>
        <w:t>公告</w:t>
      </w:r>
    </w:p>
    <w:p w14:paraId="3F0E4EE8" w14:textId="569ABCF2" w:rsidR="00F706EE" w:rsidRPr="00600AB3" w:rsidRDefault="00F706EE" w:rsidP="000E3C25">
      <w:pPr>
        <w:pBdr>
          <w:top w:val="single" w:sz="4" w:space="1" w:color="auto"/>
          <w:left w:val="single" w:sz="4" w:space="4" w:color="auto"/>
          <w:bottom w:val="single" w:sz="4" w:space="1" w:color="auto"/>
          <w:right w:val="single" w:sz="4" w:space="17" w:color="auto"/>
        </w:pBdr>
        <w:adjustRightInd w:val="0"/>
        <w:snapToGrid w:val="0"/>
        <w:spacing w:line="360" w:lineRule="auto"/>
        <w:rPr>
          <w:rFonts w:ascii="宋体" w:hAnsi="宋体"/>
          <w:color w:val="000000"/>
          <w:sz w:val="24"/>
        </w:rPr>
      </w:pPr>
      <w:r>
        <w:rPr>
          <w:rFonts w:ascii="仿宋_GB2312" w:eastAsia="仿宋_GB2312" w:hAnsi="宋体" w:hint="eastAsia"/>
          <w:color w:val="000000"/>
          <w:sz w:val="30"/>
          <w:szCs w:val="30"/>
        </w:rPr>
        <w:t xml:space="preserve"> </w:t>
      </w:r>
      <w:r w:rsidRPr="000E3C25">
        <w:rPr>
          <w:rFonts w:ascii="宋体" w:hAnsi="宋体" w:hint="eastAsia"/>
          <w:color w:val="000000"/>
          <w:sz w:val="28"/>
          <w:szCs w:val="28"/>
        </w:rPr>
        <w:t xml:space="preserve">  </w:t>
      </w:r>
      <w:r w:rsidRPr="00600AB3">
        <w:rPr>
          <w:rFonts w:ascii="宋体" w:hAnsi="宋体" w:hint="eastAsia"/>
          <w:color w:val="000000"/>
          <w:sz w:val="24"/>
        </w:rPr>
        <w:t xml:space="preserve"> 本公司董事会及全体董事保证本公告内容不存在任何虚假记载、误导性陈述或者重大遗漏，并对其内容的真实性、准确性和完整性承担</w:t>
      </w:r>
      <w:r w:rsidR="00137A88">
        <w:rPr>
          <w:rFonts w:ascii="宋体" w:hAnsi="宋体" w:hint="eastAsia"/>
          <w:color w:val="000000"/>
          <w:sz w:val="24"/>
        </w:rPr>
        <w:t>法律</w:t>
      </w:r>
      <w:r w:rsidRPr="00600AB3">
        <w:rPr>
          <w:rFonts w:ascii="宋体" w:hAnsi="宋体" w:hint="eastAsia"/>
          <w:color w:val="000000"/>
          <w:sz w:val="24"/>
        </w:rPr>
        <w:t>责任。</w:t>
      </w:r>
    </w:p>
    <w:p w14:paraId="22F60069" w14:textId="77777777" w:rsidR="007B796E" w:rsidRPr="00600AB3" w:rsidRDefault="007B796E" w:rsidP="00600AB3">
      <w:pPr>
        <w:adjustRightInd w:val="0"/>
        <w:snapToGrid w:val="0"/>
        <w:spacing w:line="360" w:lineRule="auto"/>
        <w:ind w:firstLineChars="200" w:firstLine="480"/>
        <w:rPr>
          <w:rFonts w:ascii="宋体" w:hAnsi="宋体"/>
          <w:sz w:val="24"/>
        </w:rPr>
      </w:pPr>
    </w:p>
    <w:p w14:paraId="527A85B9" w14:textId="77777777" w:rsidR="00F706EE" w:rsidRPr="00600AB3" w:rsidRDefault="00F706EE"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重要内容提示：</w:t>
      </w:r>
    </w:p>
    <w:p w14:paraId="4168F248" w14:textId="77777777" w:rsidR="00F706EE" w:rsidRDefault="00195D1C" w:rsidP="00600AB3">
      <w:pPr>
        <w:numPr>
          <w:ilvl w:val="0"/>
          <w:numId w:val="2"/>
        </w:numPr>
        <w:adjustRightInd w:val="0"/>
        <w:snapToGrid w:val="0"/>
        <w:spacing w:line="360" w:lineRule="auto"/>
        <w:ind w:left="0" w:firstLineChars="200" w:firstLine="480"/>
        <w:rPr>
          <w:rFonts w:ascii="宋体" w:hAnsi="宋体"/>
          <w:sz w:val="24"/>
        </w:rPr>
      </w:pPr>
      <w:r w:rsidRPr="00600AB3">
        <w:rPr>
          <w:rFonts w:ascii="宋体" w:hAnsi="宋体" w:hint="eastAsia"/>
          <w:sz w:val="24"/>
        </w:rPr>
        <w:t>拟</w:t>
      </w:r>
      <w:r w:rsidR="001E7847" w:rsidRPr="00600AB3">
        <w:rPr>
          <w:rFonts w:ascii="宋体" w:hAnsi="宋体" w:hint="eastAsia"/>
          <w:sz w:val="24"/>
        </w:rPr>
        <w:t>聘任</w:t>
      </w:r>
      <w:r w:rsidRPr="00600AB3">
        <w:rPr>
          <w:rFonts w:ascii="宋体" w:hAnsi="宋体" w:hint="eastAsia"/>
          <w:sz w:val="24"/>
        </w:rPr>
        <w:t>的会计师事务所名称</w:t>
      </w:r>
      <w:r w:rsidR="007B796E" w:rsidRPr="00600AB3">
        <w:rPr>
          <w:rFonts w:ascii="宋体" w:hAnsi="宋体" w:hint="eastAsia"/>
          <w:sz w:val="24"/>
        </w:rPr>
        <w:t>：容诚会计师事务所（特殊普通合伙）</w:t>
      </w:r>
    </w:p>
    <w:p w14:paraId="72239975" w14:textId="77777777" w:rsidR="00786708" w:rsidRDefault="00786708" w:rsidP="00786708">
      <w:pPr>
        <w:adjustRightInd w:val="0"/>
        <w:snapToGrid w:val="0"/>
        <w:spacing w:line="360" w:lineRule="auto"/>
        <w:ind w:left="480"/>
        <w:rPr>
          <w:rFonts w:ascii="宋体" w:hAnsi="宋体"/>
          <w:sz w:val="24"/>
        </w:rPr>
      </w:pPr>
    </w:p>
    <w:p w14:paraId="5AC30D85" w14:textId="3CDD7DFB" w:rsidR="00786708" w:rsidRPr="00600AB3" w:rsidRDefault="00786708" w:rsidP="00786708">
      <w:pPr>
        <w:adjustRightInd w:val="0"/>
        <w:snapToGrid w:val="0"/>
        <w:spacing w:line="360" w:lineRule="auto"/>
        <w:ind w:firstLineChars="200" w:firstLine="480"/>
        <w:rPr>
          <w:rFonts w:ascii="宋体" w:hAnsi="宋体"/>
          <w:sz w:val="24"/>
        </w:rPr>
      </w:pPr>
      <w:r>
        <w:rPr>
          <w:rFonts w:ascii="宋体" w:hAnsi="宋体" w:hint="eastAsia"/>
          <w:sz w:val="24"/>
        </w:rPr>
        <w:t>安徽省交通建设股份有限公司</w:t>
      </w:r>
      <w:r w:rsidRPr="00786708">
        <w:rPr>
          <w:rFonts w:ascii="宋体" w:hAnsi="宋体" w:hint="eastAsia"/>
          <w:sz w:val="24"/>
        </w:rPr>
        <w:t>（以下简称“公司”）202</w:t>
      </w:r>
      <w:r w:rsidR="00761B0A">
        <w:rPr>
          <w:rFonts w:ascii="宋体" w:hAnsi="宋体" w:hint="eastAsia"/>
          <w:sz w:val="24"/>
        </w:rPr>
        <w:t>4</w:t>
      </w:r>
      <w:r w:rsidRPr="00786708">
        <w:rPr>
          <w:rFonts w:ascii="宋体" w:hAnsi="宋体" w:hint="eastAsia"/>
          <w:sz w:val="24"/>
        </w:rPr>
        <w:t xml:space="preserve">年 </w:t>
      </w:r>
      <w:r>
        <w:rPr>
          <w:rFonts w:ascii="宋体" w:hAnsi="宋体" w:hint="eastAsia"/>
          <w:sz w:val="24"/>
        </w:rPr>
        <w:t>4</w:t>
      </w:r>
      <w:r w:rsidRPr="00786708">
        <w:rPr>
          <w:rFonts w:ascii="宋体" w:hAnsi="宋体" w:hint="eastAsia"/>
          <w:sz w:val="24"/>
        </w:rPr>
        <w:t>月</w:t>
      </w:r>
      <w:r w:rsidR="002064A1">
        <w:rPr>
          <w:rFonts w:ascii="宋体" w:hAnsi="宋体" w:hint="eastAsia"/>
          <w:sz w:val="24"/>
        </w:rPr>
        <w:t>1</w:t>
      </w:r>
      <w:r w:rsidR="00BE5AD5">
        <w:rPr>
          <w:rFonts w:ascii="宋体" w:hAnsi="宋体" w:hint="eastAsia"/>
          <w:sz w:val="24"/>
        </w:rPr>
        <w:t>8</w:t>
      </w:r>
      <w:r w:rsidRPr="00786708">
        <w:rPr>
          <w:rFonts w:ascii="宋体" w:hAnsi="宋体" w:hint="eastAsia"/>
          <w:sz w:val="24"/>
        </w:rPr>
        <w:t>日召开第</w:t>
      </w:r>
      <w:r w:rsidR="00137A88">
        <w:rPr>
          <w:rFonts w:ascii="宋体" w:hAnsi="宋体" w:hint="eastAsia"/>
          <w:sz w:val="24"/>
        </w:rPr>
        <w:t>三</w:t>
      </w:r>
      <w:r w:rsidRPr="00786708">
        <w:rPr>
          <w:rFonts w:ascii="宋体" w:hAnsi="宋体" w:hint="eastAsia"/>
          <w:sz w:val="24"/>
        </w:rPr>
        <w:t>届董事会第</w:t>
      </w:r>
      <w:r w:rsidR="00761B0A">
        <w:rPr>
          <w:rFonts w:ascii="宋体" w:hAnsi="宋体" w:hint="eastAsia"/>
          <w:sz w:val="24"/>
        </w:rPr>
        <w:t>十一</w:t>
      </w:r>
      <w:r w:rsidRPr="00786708">
        <w:rPr>
          <w:rFonts w:ascii="宋体" w:hAnsi="宋体" w:hint="eastAsia"/>
          <w:sz w:val="24"/>
        </w:rPr>
        <w:t>次会议，审议通过了</w:t>
      </w:r>
      <w:r w:rsidR="00C6644A" w:rsidRPr="00C6644A">
        <w:rPr>
          <w:rFonts w:ascii="宋体" w:hAnsi="宋体" w:hint="eastAsia"/>
          <w:sz w:val="24"/>
        </w:rPr>
        <w:t>《关于公司续聘会计师事务所的议案》</w:t>
      </w:r>
      <w:r w:rsidRPr="00786708">
        <w:rPr>
          <w:rFonts w:ascii="宋体" w:hAnsi="宋体" w:hint="eastAsia"/>
          <w:sz w:val="24"/>
        </w:rPr>
        <w:t>，拟续聘</w:t>
      </w:r>
      <w:r w:rsidRPr="00786708">
        <w:rPr>
          <w:rFonts w:ascii="宋体" w:hAnsi="宋体"/>
          <w:sz w:val="24"/>
        </w:rPr>
        <w:t>容诚会计师事务所</w:t>
      </w:r>
      <w:r w:rsidRPr="00786708">
        <w:rPr>
          <w:rFonts w:ascii="宋体" w:hAnsi="宋体" w:hint="eastAsia"/>
          <w:sz w:val="24"/>
        </w:rPr>
        <w:t>（特殊普通合伙）</w:t>
      </w:r>
      <w:r w:rsidR="00BE5AD5">
        <w:rPr>
          <w:rFonts w:ascii="宋体" w:hAnsi="宋体" w:hint="eastAsia"/>
          <w:sz w:val="24"/>
        </w:rPr>
        <w:t>（以下简称“容诚所”）</w:t>
      </w:r>
      <w:r w:rsidR="00C6644A" w:rsidRPr="005604D2">
        <w:rPr>
          <w:rFonts w:ascii="宋体" w:hAnsi="宋体" w:hint="eastAsia"/>
          <w:sz w:val="24"/>
        </w:rPr>
        <w:t>为公司2</w:t>
      </w:r>
      <w:r w:rsidR="00C6644A" w:rsidRPr="005604D2">
        <w:rPr>
          <w:rFonts w:ascii="宋体" w:hAnsi="宋体"/>
          <w:sz w:val="24"/>
        </w:rPr>
        <w:t>02</w:t>
      </w:r>
      <w:r w:rsidR="00761B0A">
        <w:rPr>
          <w:rFonts w:ascii="宋体" w:hAnsi="宋体" w:hint="eastAsia"/>
          <w:sz w:val="24"/>
        </w:rPr>
        <w:t>4</w:t>
      </w:r>
      <w:r w:rsidR="00C6644A" w:rsidRPr="005604D2">
        <w:rPr>
          <w:rFonts w:ascii="宋体" w:hAnsi="宋体" w:hint="eastAsia"/>
          <w:sz w:val="24"/>
        </w:rPr>
        <w:t>年度审计机构，负责为公司提供各项审计及相关服务</w:t>
      </w:r>
      <w:r w:rsidR="00C6644A">
        <w:rPr>
          <w:rFonts w:ascii="宋体" w:hAnsi="宋体" w:hint="eastAsia"/>
          <w:sz w:val="24"/>
        </w:rPr>
        <w:t>。</w:t>
      </w:r>
      <w:r w:rsidRPr="00786708">
        <w:rPr>
          <w:rFonts w:ascii="宋体" w:hAnsi="宋体" w:hint="eastAsia"/>
          <w:sz w:val="24"/>
        </w:rPr>
        <w:t>该事项尚须提交公司</w:t>
      </w:r>
      <w:r w:rsidR="00B61EC9">
        <w:rPr>
          <w:rFonts w:ascii="宋体" w:hAnsi="宋体" w:hint="eastAsia"/>
          <w:sz w:val="24"/>
        </w:rPr>
        <w:t>202</w:t>
      </w:r>
      <w:r w:rsidR="00761B0A">
        <w:rPr>
          <w:rFonts w:ascii="宋体" w:hAnsi="宋体" w:hint="eastAsia"/>
          <w:sz w:val="24"/>
        </w:rPr>
        <w:t>3</w:t>
      </w:r>
      <w:r w:rsidR="00B61EC9">
        <w:rPr>
          <w:rFonts w:ascii="宋体" w:hAnsi="宋体" w:hint="eastAsia"/>
          <w:sz w:val="24"/>
        </w:rPr>
        <w:t>年年度</w:t>
      </w:r>
      <w:r w:rsidRPr="00786708">
        <w:rPr>
          <w:rFonts w:ascii="宋体" w:hAnsi="宋体" w:hint="eastAsia"/>
          <w:sz w:val="24"/>
        </w:rPr>
        <w:t>股东大会审议，现将有关事宜公告如下：</w:t>
      </w:r>
    </w:p>
    <w:p w14:paraId="07EA9670" w14:textId="77777777" w:rsidR="008625DC" w:rsidRPr="00600AB3" w:rsidRDefault="008625DC" w:rsidP="00CE1E99">
      <w:pPr>
        <w:adjustRightInd w:val="0"/>
        <w:snapToGrid w:val="0"/>
        <w:spacing w:line="360" w:lineRule="auto"/>
        <w:outlineLvl w:val="0"/>
        <w:rPr>
          <w:rFonts w:ascii="宋体" w:hAnsi="宋体"/>
          <w:b/>
          <w:sz w:val="24"/>
        </w:rPr>
      </w:pPr>
      <w:r w:rsidRPr="00600AB3">
        <w:rPr>
          <w:rFonts w:ascii="宋体" w:hAnsi="宋体" w:hint="eastAsia"/>
          <w:sz w:val="24"/>
        </w:rPr>
        <w:t xml:space="preserve">    </w:t>
      </w:r>
      <w:r w:rsidRPr="00600AB3">
        <w:rPr>
          <w:rFonts w:ascii="宋体" w:hAnsi="宋体" w:hint="eastAsia"/>
          <w:b/>
          <w:sz w:val="24"/>
        </w:rPr>
        <w:t>一、拟</w:t>
      </w:r>
      <w:r w:rsidR="001E7847" w:rsidRPr="00600AB3">
        <w:rPr>
          <w:rFonts w:ascii="宋体" w:hAnsi="宋体" w:hint="eastAsia"/>
          <w:b/>
          <w:sz w:val="24"/>
        </w:rPr>
        <w:t>聘任</w:t>
      </w:r>
      <w:r w:rsidRPr="00600AB3">
        <w:rPr>
          <w:rFonts w:ascii="宋体" w:hAnsi="宋体" w:hint="eastAsia"/>
          <w:b/>
          <w:sz w:val="24"/>
        </w:rPr>
        <w:t>会计师事务所的基本情况</w:t>
      </w:r>
    </w:p>
    <w:p w14:paraId="23A69BD2" w14:textId="77777777" w:rsidR="002064A1" w:rsidRDefault="002064A1" w:rsidP="002064A1">
      <w:pPr>
        <w:adjustRightInd w:val="0"/>
        <w:snapToGrid w:val="0"/>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机构信息</w:t>
      </w:r>
    </w:p>
    <w:p w14:paraId="49B47BAA"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基本信息</w:t>
      </w:r>
    </w:p>
    <w:p w14:paraId="2BF90153"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特殊普通合伙）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外经贸大厦901-22至901-26，首席合伙人肖厚发。</w:t>
      </w:r>
    </w:p>
    <w:p w14:paraId="0AB49B75"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sz w:val="24"/>
        </w:rPr>
        <w:t>2.</w:t>
      </w:r>
      <w:r>
        <w:rPr>
          <w:rFonts w:ascii="宋体" w:hAnsi="宋体" w:cs="宋体" w:hint="eastAsia"/>
          <w:sz w:val="24"/>
        </w:rPr>
        <w:t>人员</w:t>
      </w:r>
      <w:r>
        <w:rPr>
          <w:rFonts w:ascii="宋体" w:hAnsi="宋体" w:cs="宋体"/>
          <w:sz w:val="24"/>
        </w:rPr>
        <w:t>信息</w:t>
      </w:r>
    </w:p>
    <w:p w14:paraId="4DBC83DC"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截至2023年12月31日，容诚会计师事务所共有合伙人179人，共有注册会计师1395人，其中745人签署过证券服务业务审计报告。</w:t>
      </w:r>
    </w:p>
    <w:p w14:paraId="541B7D24"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sz w:val="24"/>
        </w:rPr>
        <w:t>3</w:t>
      </w:r>
      <w:r>
        <w:rPr>
          <w:rFonts w:ascii="宋体" w:hAnsi="宋体" w:cs="宋体" w:hint="eastAsia"/>
          <w:sz w:val="24"/>
        </w:rPr>
        <w:t>.业务规模</w:t>
      </w:r>
    </w:p>
    <w:p w14:paraId="3D9CAF56"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容诚会计师事务所经审计的2022年度收入总额为266,287.74万元，其中审</w:t>
      </w:r>
      <w:r>
        <w:rPr>
          <w:rFonts w:ascii="宋体" w:hAnsi="宋体" w:cs="宋体" w:hint="eastAsia"/>
          <w:sz w:val="24"/>
        </w:rPr>
        <w:lastRenderedPageBreak/>
        <w:t>计业务收入254,019.07万元，证券期货业务收入135,168.13万元。</w:t>
      </w:r>
    </w:p>
    <w:p w14:paraId="3EFF473D"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共承担366家上市公司2022年年报审计业务，审计收费总额42,888.06万元，客户主要集中在制造业（包括但不限于计算机、通信和其他电子设备制造业、专用设备制造业、电气机械和器材制造业、化学原料和化学制品制造业、汽车制造业、医药制造业、橡胶和塑料制品业、有色金属冶炼和压延加工业、建筑装饰和其他建筑业）及信息传输、软件和信息技术服务业，建筑业，批发和零售业，水利、环境和公共设施管理业，交通运输、仓储和邮政业，科学研究和技术服务业，电力、热力、燃气及水生产和供应业，文化、体育和娱乐业，采矿业、金融业，房地产业等多个行业。容诚会计师事务所对XX公司所在的相同行业上市公司审计客户家数为11家。</w:t>
      </w:r>
    </w:p>
    <w:p w14:paraId="625CD68F"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sz w:val="24"/>
        </w:rPr>
        <w:t>4.</w:t>
      </w:r>
      <w:r>
        <w:rPr>
          <w:rFonts w:ascii="宋体" w:hAnsi="宋体" w:cs="宋体" w:hint="eastAsia"/>
          <w:sz w:val="24"/>
        </w:rPr>
        <w:t>投资者保护能力</w:t>
      </w:r>
    </w:p>
    <w:p w14:paraId="1EA01F44"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容诚会计师事务所已购买注册会计师职业责任保险，职业保险累计赔偿限额不低于2亿元，职业保险购买符合相关规定。</w:t>
      </w:r>
    </w:p>
    <w:p w14:paraId="7FDC3C15"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近三年在执业中相关民事诉讼承担民事责任的情况：</w:t>
      </w:r>
    </w:p>
    <w:p w14:paraId="3EF9DD4D"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2023年9月21日，北京金融法院就乐视网信息技术（北京）股份有限公司（以下简称乐视网）证券虚假陈述责任纠纷案 [(2021)京 74 民初 111 号]</w:t>
      </w:r>
      <w:proofErr w:type="gramStart"/>
      <w:r>
        <w:rPr>
          <w:rFonts w:ascii="宋体" w:hAnsi="宋体" w:cs="宋体" w:hint="eastAsia"/>
          <w:sz w:val="24"/>
        </w:rPr>
        <w:t>作出</w:t>
      </w:r>
      <w:proofErr w:type="gramEnd"/>
      <w:r>
        <w:rPr>
          <w:rFonts w:ascii="宋体" w:hAnsi="宋体" w:cs="宋体" w:hint="eastAsia"/>
          <w:sz w:val="24"/>
        </w:rPr>
        <w:t>判决，判决华普天健会计师事务所（北京）有限公司和容诚会计师事务所（特殊普通合伙）共同就2011年3月17日（含）之后曾买入</w:t>
      </w:r>
      <w:proofErr w:type="gramStart"/>
      <w:r>
        <w:rPr>
          <w:rFonts w:ascii="宋体" w:hAnsi="宋体" w:cs="宋体" w:hint="eastAsia"/>
          <w:sz w:val="24"/>
        </w:rPr>
        <w:t>过乐视网股票</w:t>
      </w:r>
      <w:proofErr w:type="gramEnd"/>
      <w:r>
        <w:rPr>
          <w:rFonts w:ascii="宋体" w:hAnsi="宋体" w:cs="宋体" w:hint="eastAsia"/>
          <w:sz w:val="24"/>
        </w:rPr>
        <w:t>的原告投资者的损失，在1%范围内与被告乐视</w:t>
      </w:r>
      <w:proofErr w:type="gramStart"/>
      <w:r>
        <w:rPr>
          <w:rFonts w:ascii="宋体" w:hAnsi="宋体" w:cs="宋体" w:hint="eastAsia"/>
          <w:sz w:val="24"/>
        </w:rPr>
        <w:t>网承担</w:t>
      </w:r>
      <w:proofErr w:type="gramEnd"/>
      <w:r>
        <w:rPr>
          <w:rFonts w:ascii="宋体" w:hAnsi="宋体" w:cs="宋体" w:hint="eastAsia"/>
          <w:sz w:val="24"/>
        </w:rPr>
        <w:t>连带赔偿责任。华普天健所及容诚所收到判决后已提起上诉，截至目前，本案尚在二审诉讼程序中。</w:t>
      </w:r>
    </w:p>
    <w:p w14:paraId="12ABAD90"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sz w:val="24"/>
        </w:rPr>
        <w:t>5</w:t>
      </w:r>
      <w:r>
        <w:rPr>
          <w:rFonts w:ascii="宋体" w:hAnsi="宋体" w:cs="宋体" w:hint="eastAsia"/>
          <w:sz w:val="24"/>
        </w:rPr>
        <w:t>.诚信记录</w:t>
      </w:r>
    </w:p>
    <w:p w14:paraId="5F2E37F1" w14:textId="4432F57B"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容诚会计师事务所近三年因执业行为受到刑事处罚 0 次、行政处罚 0 次、监督管理措施 12次、自律监管措施</w:t>
      </w:r>
      <w:r w:rsidR="00A412F4">
        <w:rPr>
          <w:rFonts w:ascii="宋体" w:hAnsi="宋体" w:cs="宋体" w:hint="eastAsia"/>
          <w:sz w:val="24"/>
        </w:rPr>
        <w:t>2</w:t>
      </w:r>
      <w:r>
        <w:rPr>
          <w:rFonts w:ascii="宋体" w:hAnsi="宋体" w:cs="宋体" w:hint="eastAsia"/>
          <w:sz w:val="24"/>
        </w:rPr>
        <w:t xml:space="preserve"> 次、自律处分 1 次。</w:t>
      </w:r>
    </w:p>
    <w:p w14:paraId="0B24EF19" w14:textId="0B5C376E" w:rsidR="002064A1" w:rsidRDefault="00A412F4" w:rsidP="002064A1">
      <w:pPr>
        <w:adjustRightInd w:val="0"/>
        <w:snapToGrid w:val="0"/>
        <w:spacing w:line="360" w:lineRule="auto"/>
        <w:ind w:firstLine="480"/>
        <w:rPr>
          <w:rFonts w:ascii="宋体" w:hAnsi="宋体" w:cs="宋体"/>
          <w:sz w:val="24"/>
        </w:rPr>
      </w:pPr>
      <w:r>
        <w:rPr>
          <w:rFonts w:ascii="宋体" w:hAnsi="宋体" w:cs="宋体" w:hint="eastAsia"/>
          <w:sz w:val="24"/>
        </w:rPr>
        <w:t>14</w:t>
      </w:r>
      <w:r w:rsidR="002064A1">
        <w:rPr>
          <w:rFonts w:ascii="宋体" w:hAnsi="宋体" w:cs="宋体" w:hint="eastAsia"/>
          <w:sz w:val="24"/>
        </w:rPr>
        <w:t>名从业人员近三年在容诚会计师事务所执业期间因执业行为受到自律监管措施各1次，3名从业人员近三年在容诚会计师事务所执业期间因执业行为受到自律处分各1次；27名从业人员近三年在容诚会计师事务所执业期间受到监督管理措施各1次，1名从业人员近三年在容诚会计师事务所执业期间受到监督管理措施2次，1名从业人员近三年在容诚会计师事务所执业期间受到监督管理措施3次。</w:t>
      </w:r>
    </w:p>
    <w:p w14:paraId="22F53DB1"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3名从业人员近三年在其他会计师事务所执业期间受到监督管理措施各1次。</w:t>
      </w:r>
    </w:p>
    <w:p w14:paraId="354C7E34"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lastRenderedPageBreak/>
        <w:t>（二）项目信息</w:t>
      </w:r>
    </w:p>
    <w:p w14:paraId="52924EA1"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基本</w:t>
      </w:r>
      <w:r>
        <w:rPr>
          <w:rFonts w:ascii="宋体" w:hAnsi="宋体" w:cs="宋体"/>
          <w:sz w:val="24"/>
        </w:rPr>
        <w:t>信息</w:t>
      </w:r>
    </w:p>
    <w:p w14:paraId="51DF6A1A" w14:textId="1C7373B8"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项目签字合伙人：</w:t>
      </w:r>
      <w:r w:rsidR="0043260E" w:rsidRPr="00E84CF8">
        <w:rPr>
          <w:rFonts w:ascii="宋体" w:hAnsi="宋体" w:cs="宋体" w:hint="eastAsia"/>
          <w:sz w:val="24"/>
        </w:rPr>
        <w:t>黄敬臣，2004年成为中国注册会计师，2003 年开始从事上市公司审计业务，2003年开始在容诚会计师事务所执业，近三年签署过安徽建工（600502）、双枪科技（001211）、设计总院（603357）等上市公司审计报告</w:t>
      </w:r>
      <w:r w:rsidR="0043260E">
        <w:rPr>
          <w:rFonts w:ascii="宋体" w:hAnsi="宋体" w:cs="宋体" w:hint="eastAsia"/>
          <w:sz w:val="24"/>
        </w:rPr>
        <w:t>。</w:t>
      </w:r>
    </w:p>
    <w:p w14:paraId="02F64BB4"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项目签字注册会计师：冯屹巍，2020年成为中国注册会计师，2014年开始从事上市公司审计业务，2014年开始在容诚会计师事务所执业；近三年签署过安徽建工（600502）、</w:t>
      </w:r>
      <w:proofErr w:type="gramStart"/>
      <w:r>
        <w:rPr>
          <w:rFonts w:ascii="宋体" w:hAnsi="宋体" w:cs="宋体" w:hint="eastAsia"/>
          <w:sz w:val="24"/>
        </w:rPr>
        <w:t>交建股份</w:t>
      </w:r>
      <w:proofErr w:type="gramEnd"/>
      <w:r>
        <w:rPr>
          <w:rFonts w:ascii="宋体" w:hAnsi="宋体" w:cs="宋体" w:hint="eastAsia"/>
          <w:sz w:val="24"/>
        </w:rPr>
        <w:t>（603815）、华恒生物（688639）等上市公司审计报告。</w:t>
      </w:r>
    </w:p>
    <w:p w14:paraId="3DC2ED37"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项目签字注册会计师：王安然，2022年成为中国注册会计师，2016年开始从事上市公司审计业务，2015年开始在容诚会计师事务所执业。</w:t>
      </w:r>
    </w:p>
    <w:p w14:paraId="7A1332FE" w14:textId="4C62D6A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项目质量复核人：</w:t>
      </w:r>
      <w:r w:rsidR="00F24BB9" w:rsidRPr="007E6796">
        <w:rPr>
          <w:rFonts w:ascii="宋体" w:hAnsi="宋体" w:cs="宋体" w:hint="eastAsia"/>
          <w:sz w:val="24"/>
        </w:rPr>
        <w:t>施琪璋，2010 年成为中国注册会计师，2008 年开始从事上市公司审计业务，2008 年开始在容诚会计师事务所执业；近三年签署或复核过广信股份</w:t>
      </w:r>
      <w:r w:rsidR="00F24BB9">
        <w:rPr>
          <w:rFonts w:ascii="宋体" w:hAnsi="宋体" w:cs="宋体" w:hint="eastAsia"/>
          <w:sz w:val="24"/>
        </w:rPr>
        <w:t>（</w:t>
      </w:r>
      <w:r w:rsidR="00F24BB9" w:rsidRPr="001B5BAF">
        <w:rPr>
          <w:rFonts w:ascii="宋体" w:hAnsi="宋体" w:cs="宋体"/>
          <w:sz w:val="24"/>
        </w:rPr>
        <w:t>603599</w:t>
      </w:r>
      <w:r w:rsidR="00F24BB9">
        <w:rPr>
          <w:rFonts w:ascii="宋体" w:hAnsi="宋体" w:cs="宋体" w:hint="eastAsia"/>
          <w:sz w:val="24"/>
        </w:rPr>
        <w:t>）、</w:t>
      </w:r>
      <w:r w:rsidR="00F24BB9" w:rsidRPr="007E6796">
        <w:rPr>
          <w:rFonts w:ascii="宋体" w:hAnsi="宋体" w:cs="宋体" w:hint="eastAsia"/>
          <w:sz w:val="24"/>
        </w:rPr>
        <w:t>巨</w:t>
      </w:r>
      <w:proofErr w:type="gramStart"/>
      <w:r w:rsidR="00F24BB9" w:rsidRPr="007E6796">
        <w:rPr>
          <w:rFonts w:ascii="宋体" w:hAnsi="宋体" w:cs="宋体" w:hint="eastAsia"/>
          <w:sz w:val="24"/>
        </w:rPr>
        <w:t>一</w:t>
      </w:r>
      <w:proofErr w:type="gramEnd"/>
      <w:r w:rsidR="00F24BB9" w:rsidRPr="007E6796">
        <w:rPr>
          <w:rFonts w:ascii="宋体" w:hAnsi="宋体" w:cs="宋体" w:hint="eastAsia"/>
          <w:sz w:val="24"/>
        </w:rPr>
        <w:t>科技</w:t>
      </w:r>
      <w:r w:rsidR="00F24BB9">
        <w:rPr>
          <w:rFonts w:ascii="宋体" w:hAnsi="宋体" w:cs="宋体" w:hint="eastAsia"/>
          <w:sz w:val="24"/>
        </w:rPr>
        <w:t>（</w:t>
      </w:r>
      <w:r w:rsidR="00F24BB9" w:rsidRPr="001B5BAF">
        <w:rPr>
          <w:rFonts w:ascii="宋体" w:hAnsi="宋体" w:cs="宋体"/>
          <w:sz w:val="24"/>
        </w:rPr>
        <w:t>688162</w:t>
      </w:r>
      <w:r w:rsidR="00F24BB9">
        <w:rPr>
          <w:rFonts w:ascii="宋体" w:hAnsi="宋体" w:cs="宋体" w:hint="eastAsia"/>
          <w:sz w:val="24"/>
        </w:rPr>
        <w:t>）、</w:t>
      </w:r>
      <w:proofErr w:type="gramStart"/>
      <w:r w:rsidR="00F24BB9" w:rsidRPr="007E6796">
        <w:rPr>
          <w:rFonts w:ascii="宋体" w:hAnsi="宋体" w:cs="宋体" w:hint="eastAsia"/>
          <w:sz w:val="24"/>
        </w:rPr>
        <w:t>鑫</w:t>
      </w:r>
      <w:proofErr w:type="gramEnd"/>
      <w:r w:rsidR="00F24BB9" w:rsidRPr="007E6796">
        <w:rPr>
          <w:rFonts w:ascii="宋体" w:hAnsi="宋体" w:cs="宋体" w:hint="eastAsia"/>
          <w:sz w:val="24"/>
        </w:rPr>
        <w:t>铂股份</w:t>
      </w:r>
      <w:r w:rsidR="00F24BB9">
        <w:rPr>
          <w:rFonts w:ascii="宋体" w:hAnsi="宋体" w:cs="宋体" w:hint="eastAsia"/>
          <w:sz w:val="24"/>
        </w:rPr>
        <w:t>（</w:t>
      </w:r>
      <w:r w:rsidR="00F24BB9" w:rsidRPr="00927722">
        <w:rPr>
          <w:rFonts w:ascii="宋体" w:hAnsi="宋体" w:cs="宋体"/>
          <w:sz w:val="24"/>
        </w:rPr>
        <w:t>003038</w:t>
      </w:r>
      <w:r w:rsidR="00F24BB9">
        <w:rPr>
          <w:rFonts w:ascii="宋体" w:hAnsi="宋体" w:cs="宋体" w:hint="eastAsia"/>
          <w:sz w:val="24"/>
        </w:rPr>
        <w:t>）</w:t>
      </w:r>
      <w:r w:rsidR="00F24BB9" w:rsidRPr="007E6796">
        <w:rPr>
          <w:rFonts w:ascii="宋体" w:hAnsi="宋体" w:cs="宋体" w:hint="eastAsia"/>
          <w:sz w:val="24"/>
        </w:rPr>
        <w:t>等多家上市公司审计报告</w:t>
      </w:r>
      <w:r w:rsidR="00F24BB9">
        <w:rPr>
          <w:rFonts w:ascii="宋体" w:hAnsi="宋体" w:cs="宋体" w:hint="eastAsia"/>
          <w:sz w:val="24"/>
        </w:rPr>
        <w:t>。</w:t>
      </w:r>
    </w:p>
    <w:p w14:paraId="4D982D37"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上述</w:t>
      </w:r>
      <w:r>
        <w:rPr>
          <w:rFonts w:ascii="宋体" w:hAnsi="宋体" w:cs="宋体"/>
          <w:sz w:val="24"/>
        </w:rPr>
        <w:t>相关人员的</w:t>
      </w:r>
      <w:r>
        <w:rPr>
          <w:rFonts w:ascii="宋体" w:hAnsi="宋体" w:cs="宋体" w:hint="eastAsia"/>
          <w:sz w:val="24"/>
        </w:rPr>
        <w:t>诚信记录情况</w:t>
      </w:r>
    </w:p>
    <w:p w14:paraId="620B6308" w14:textId="3DC04563"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项目合伙人</w:t>
      </w:r>
      <w:r w:rsidR="00BD285F" w:rsidRPr="00572B11">
        <w:rPr>
          <w:rFonts w:ascii="宋体" w:hAnsi="宋体" w:cs="宋体" w:hint="eastAsia"/>
          <w:sz w:val="24"/>
        </w:rPr>
        <w:t>黄敬臣</w:t>
      </w:r>
      <w:r>
        <w:rPr>
          <w:rFonts w:ascii="宋体" w:hAnsi="宋体" w:cs="宋体" w:hint="eastAsia"/>
          <w:sz w:val="24"/>
        </w:rPr>
        <w:t>、签字注册会计师冯屹巍、签字注册会计师王安然、项目质量复核人施琪璋近三年内</w:t>
      </w:r>
      <w:proofErr w:type="gramStart"/>
      <w:r>
        <w:rPr>
          <w:rFonts w:ascii="宋体" w:hAnsi="宋体" w:cs="宋体" w:hint="eastAsia"/>
          <w:sz w:val="24"/>
        </w:rPr>
        <w:t>未曾因</w:t>
      </w:r>
      <w:proofErr w:type="gramEnd"/>
      <w:r>
        <w:rPr>
          <w:rFonts w:ascii="宋体" w:hAnsi="宋体" w:cs="宋体" w:hint="eastAsia"/>
          <w:sz w:val="24"/>
        </w:rPr>
        <w:t>执业行为受到刑事处罚、行政处罚、监督管理措施和自律监管措施、纪律处分。</w:t>
      </w:r>
    </w:p>
    <w:p w14:paraId="69E311C1"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3.独立性</w:t>
      </w:r>
    </w:p>
    <w:p w14:paraId="472D0FE0" w14:textId="77777777" w:rsidR="002064A1" w:rsidRDefault="002064A1" w:rsidP="002064A1">
      <w:pPr>
        <w:adjustRightInd w:val="0"/>
        <w:snapToGrid w:val="0"/>
        <w:spacing w:line="360" w:lineRule="auto"/>
        <w:ind w:firstLine="480"/>
        <w:rPr>
          <w:rFonts w:ascii="宋体" w:hAnsi="宋体" w:cs="宋体"/>
          <w:sz w:val="24"/>
        </w:rPr>
      </w:pPr>
      <w:r>
        <w:rPr>
          <w:rFonts w:ascii="宋体" w:hAnsi="宋体" w:cs="宋体" w:hint="eastAsia"/>
          <w:sz w:val="24"/>
        </w:rPr>
        <w:t>容诚会计师事务所及上述人员不存在违反《中国注册会计师职业道德守则》对独立性要求的情形。</w:t>
      </w:r>
    </w:p>
    <w:p w14:paraId="454873B4" w14:textId="77777777"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4.审计收费</w:t>
      </w:r>
    </w:p>
    <w:p w14:paraId="061E51B5" w14:textId="010A998F" w:rsidR="00B76652" w:rsidRPr="00B76652" w:rsidRDefault="00B76652" w:rsidP="00B76652">
      <w:pPr>
        <w:adjustRightInd w:val="0"/>
        <w:snapToGrid w:val="0"/>
        <w:spacing w:line="360" w:lineRule="auto"/>
        <w:ind w:firstLine="480"/>
        <w:rPr>
          <w:rFonts w:ascii="宋体" w:hAnsi="宋体" w:cs="宋体"/>
          <w:color w:val="000000"/>
          <w:sz w:val="24"/>
        </w:rPr>
      </w:pPr>
      <w:r w:rsidRPr="00B76652">
        <w:rPr>
          <w:rFonts w:ascii="宋体" w:hAnsi="宋体" w:cs="宋体"/>
          <w:color w:val="000000"/>
          <w:sz w:val="24"/>
        </w:rPr>
        <w:t>公司202</w:t>
      </w:r>
      <w:r w:rsidR="00761B0A">
        <w:rPr>
          <w:rFonts w:ascii="宋体" w:hAnsi="宋体" w:cs="宋体" w:hint="eastAsia"/>
          <w:color w:val="000000"/>
          <w:sz w:val="24"/>
        </w:rPr>
        <w:t>3</w:t>
      </w:r>
      <w:r w:rsidRPr="00B76652">
        <w:rPr>
          <w:rFonts w:ascii="宋体" w:hAnsi="宋体" w:cs="宋体"/>
          <w:color w:val="000000"/>
          <w:sz w:val="24"/>
        </w:rPr>
        <w:t>年度财务审计、内部控制审计等审计费用合计</w:t>
      </w:r>
      <w:r w:rsidRPr="00B76652">
        <w:rPr>
          <w:rFonts w:ascii="宋体" w:hAnsi="宋体" w:cs="宋体" w:hint="eastAsia"/>
          <w:color w:val="000000"/>
          <w:sz w:val="24"/>
        </w:rPr>
        <w:t>1</w:t>
      </w:r>
      <w:r w:rsidRPr="00B76652">
        <w:rPr>
          <w:rFonts w:ascii="宋体" w:hAnsi="宋体" w:cs="宋体"/>
          <w:color w:val="000000"/>
          <w:sz w:val="24"/>
        </w:rPr>
        <w:t>35万元</w:t>
      </w:r>
      <w:bookmarkStart w:id="1" w:name="_Hlk100939968"/>
      <w:r w:rsidRPr="00B76652">
        <w:rPr>
          <w:rFonts w:ascii="宋体" w:hAnsi="宋体" w:cs="宋体" w:hint="eastAsia"/>
          <w:color w:val="000000"/>
          <w:sz w:val="24"/>
        </w:rPr>
        <w:t>，</w:t>
      </w:r>
      <w:r w:rsidRPr="00B76652">
        <w:rPr>
          <w:rFonts w:ascii="宋体" w:hAnsi="宋体" w:cs="宋体"/>
          <w:color w:val="000000"/>
          <w:sz w:val="24"/>
        </w:rPr>
        <w:t>与</w:t>
      </w:r>
      <w:r w:rsidRPr="00B76652">
        <w:rPr>
          <w:rFonts w:ascii="宋体" w:hAnsi="宋体" w:cs="宋体" w:hint="eastAsia"/>
          <w:color w:val="000000"/>
          <w:sz w:val="24"/>
        </w:rPr>
        <w:t>2</w:t>
      </w:r>
      <w:r w:rsidRPr="00B76652">
        <w:rPr>
          <w:rFonts w:ascii="宋体" w:hAnsi="宋体" w:cs="宋体"/>
          <w:color w:val="000000"/>
          <w:sz w:val="24"/>
        </w:rPr>
        <w:t>02</w:t>
      </w:r>
      <w:r w:rsidR="00761B0A">
        <w:rPr>
          <w:rFonts w:ascii="宋体" w:hAnsi="宋体" w:cs="宋体" w:hint="eastAsia"/>
          <w:color w:val="000000"/>
          <w:sz w:val="24"/>
        </w:rPr>
        <w:t>2</w:t>
      </w:r>
      <w:r w:rsidRPr="00B76652">
        <w:rPr>
          <w:rFonts w:ascii="宋体" w:hAnsi="宋体" w:cs="宋体" w:hint="eastAsia"/>
          <w:color w:val="000000"/>
          <w:sz w:val="24"/>
        </w:rPr>
        <w:t>年</w:t>
      </w:r>
      <w:r w:rsidR="00761B0A">
        <w:rPr>
          <w:rFonts w:ascii="宋体" w:hAnsi="宋体" w:cs="宋体" w:hint="eastAsia"/>
          <w:color w:val="000000"/>
          <w:sz w:val="24"/>
        </w:rPr>
        <w:t>持平</w:t>
      </w:r>
      <w:r w:rsidRPr="00B76652">
        <w:rPr>
          <w:rFonts w:ascii="宋体" w:hAnsi="宋体" w:cs="宋体"/>
          <w:color w:val="000000"/>
          <w:sz w:val="24"/>
        </w:rPr>
        <w:t>。</w:t>
      </w:r>
      <w:bookmarkEnd w:id="1"/>
      <w:r w:rsidRPr="00B76652">
        <w:rPr>
          <w:rFonts w:ascii="宋体" w:hAnsi="宋体" w:cs="宋体" w:hint="eastAsia"/>
          <w:color w:val="000000"/>
          <w:sz w:val="24"/>
        </w:rPr>
        <w:t>202</w:t>
      </w:r>
      <w:r w:rsidR="00761B0A">
        <w:rPr>
          <w:rFonts w:ascii="宋体" w:hAnsi="宋体" w:cs="宋体" w:hint="eastAsia"/>
          <w:color w:val="000000"/>
          <w:sz w:val="24"/>
        </w:rPr>
        <w:t>4</w:t>
      </w:r>
      <w:r w:rsidRPr="00B76652">
        <w:rPr>
          <w:rFonts w:ascii="宋体" w:hAnsi="宋体" w:cs="宋体" w:hint="eastAsia"/>
          <w:color w:val="000000"/>
          <w:sz w:val="24"/>
        </w:rPr>
        <w:t>年具体审计费用将依照市场公允、合理的定价原则，根据公司股东大会的授权，由公司经营层根据行业标准及公司审计的实际工作量，与容诚所协商确定。</w:t>
      </w:r>
    </w:p>
    <w:p w14:paraId="1091C7A7" w14:textId="77777777" w:rsidR="00933966" w:rsidRPr="00600AB3" w:rsidRDefault="00F37C92" w:rsidP="00600AB3">
      <w:pPr>
        <w:adjustRightInd w:val="0"/>
        <w:snapToGrid w:val="0"/>
        <w:spacing w:line="360" w:lineRule="auto"/>
        <w:ind w:firstLineChars="200" w:firstLine="482"/>
        <w:outlineLvl w:val="0"/>
        <w:rPr>
          <w:rFonts w:ascii="宋体" w:hAnsi="宋体"/>
          <w:b/>
          <w:sz w:val="24"/>
        </w:rPr>
      </w:pPr>
      <w:r w:rsidRPr="00186051">
        <w:rPr>
          <w:rFonts w:ascii="宋体" w:hAnsi="宋体" w:hint="eastAsia"/>
          <w:b/>
          <w:sz w:val="24"/>
        </w:rPr>
        <w:t>二</w:t>
      </w:r>
      <w:r w:rsidR="00FB0A00" w:rsidRPr="00186051">
        <w:rPr>
          <w:rFonts w:ascii="宋体" w:hAnsi="宋体" w:hint="eastAsia"/>
          <w:b/>
          <w:sz w:val="24"/>
        </w:rPr>
        <w:t>、</w:t>
      </w:r>
      <w:r w:rsidR="009A0C2D" w:rsidRPr="00186051">
        <w:rPr>
          <w:rFonts w:ascii="宋体" w:hAnsi="宋体" w:hint="eastAsia"/>
          <w:b/>
          <w:sz w:val="24"/>
        </w:rPr>
        <w:t>拟</w:t>
      </w:r>
      <w:r w:rsidR="00976657" w:rsidRPr="00186051">
        <w:rPr>
          <w:rFonts w:ascii="宋体" w:hAnsi="宋体" w:hint="eastAsia"/>
          <w:b/>
          <w:sz w:val="24"/>
        </w:rPr>
        <w:t>续聘</w:t>
      </w:r>
      <w:r w:rsidR="00933966" w:rsidRPr="00186051">
        <w:rPr>
          <w:rFonts w:ascii="宋体" w:hAnsi="宋体" w:hint="eastAsia"/>
          <w:b/>
          <w:sz w:val="24"/>
        </w:rPr>
        <w:t>会计事务所履行的程序</w:t>
      </w:r>
    </w:p>
    <w:p w14:paraId="43A514CE" w14:textId="77777777" w:rsidR="0085471E"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（一</w:t>
      </w:r>
      <w:r w:rsidRPr="00600AB3">
        <w:rPr>
          <w:rFonts w:ascii="宋体" w:hAnsi="宋体"/>
          <w:sz w:val="24"/>
        </w:rPr>
        <w:t>）</w:t>
      </w:r>
      <w:r w:rsidR="00952B3C" w:rsidRPr="00600AB3">
        <w:rPr>
          <w:rFonts w:ascii="宋体" w:hAnsi="宋体" w:hint="eastAsia"/>
          <w:sz w:val="24"/>
        </w:rPr>
        <w:t>审计委员</w:t>
      </w:r>
      <w:r w:rsidR="0085471E">
        <w:rPr>
          <w:rFonts w:ascii="宋体" w:hAnsi="宋体" w:hint="eastAsia"/>
          <w:sz w:val="24"/>
        </w:rPr>
        <w:t>会</w:t>
      </w:r>
      <w:r w:rsidR="000E0B72" w:rsidRPr="00600AB3">
        <w:rPr>
          <w:rFonts w:ascii="宋体" w:hAnsi="宋体" w:hint="eastAsia"/>
          <w:sz w:val="24"/>
        </w:rPr>
        <w:t>审查</w:t>
      </w:r>
      <w:r w:rsidR="00E22641" w:rsidRPr="00600AB3">
        <w:rPr>
          <w:rFonts w:ascii="宋体" w:hAnsi="宋体" w:hint="eastAsia"/>
          <w:sz w:val="24"/>
        </w:rPr>
        <w:t>意见</w:t>
      </w:r>
    </w:p>
    <w:p w14:paraId="1D51A400" w14:textId="51A4F14C" w:rsidR="002F5017" w:rsidRPr="00B42897" w:rsidRDefault="0085471E" w:rsidP="00061CD7">
      <w:pPr>
        <w:adjustRightInd w:val="0"/>
        <w:snapToGrid w:val="0"/>
        <w:spacing w:line="360" w:lineRule="auto"/>
        <w:ind w:firstLineChars="200" w:firstLine="480"/>
        <w:rPr>
          <w:rFonts w:ascii="宋体" w:hAnsi="宋体"/>
          <w:sz w:val="24"/>
        </w:rPr>
      </w:pPr>
      <w:r w:rsidRPr="0085471E">
        <w:rPr>
          <w:rFonts w:ascii="宋体" w:hAnsi="宋体" w:hint="eastAsia"/>
          <w:sz w:val="24"/>
        </w:rPr>
        <w:t>审计委员会对</w:t>
      </w:r>
      <w:r>
        <w:rPr>
          <w:rFonts w:ascii="宋体" w:hAnsi="宋体" w:hint="eastAsia"/>
          <w:sz w:val="24"/>
        </w:rPr>
        <w:t>容诚</w:t>
      </w:r>
      <w:r w:rsidRPr="0085471E">
        <w:rPr>
          <w:rFonts w:ascii="宋体" w:hAnsi="宋体" w:hint="eastAsia"/>
          <w:sz w:val="24"/>
        </w:rPr>
        <w:t>会计师事务所（特殊普通合伙）相关资质进行了审查，</w:t>
      </w:r>
      <w:r w:rsidR="002F5017" w:rsidRPr="002F5017">
        <w:rPr>
          <w:rFonts w:ascii="宋体" w:hAnsi="宋体"/>
          <w:sz w:val="24"/>
        </w:rPr>
        <w:t>认</w:t>
      </w:r>
      <w:r w:rsidR="002F5017" w:rsidRPr="002F5017">
        <w:rPr>
          <w:rFonts w:ascii="宋体" w:hAnsi="宋体"/>
          <w:sz w:val="24"/>
        </w:rPr>
        <w:lastRenderedPageBreak/>
        <w:t>为</w:t>
      </w:r>
      <w:r w:rsidR="002F5017">
        <w:rPr>
          <w:rFonts w:ascii="宋体" w:hAnsi="宋体" w:hint="eastAsia"/>
          <w:sz w:val="24"/>
        </w:rPr>
        <w:t>容诚</w:t>
      </w:r>
      <w:r w:rsidR="002F5017" w:rsidRPr="0085471E">
        <w:rPr>
          <w:rFonts w:ascii="宋体" w:hAnsi="宋体" w:hint="eastAsia"/>
          <w:sz w:val="24"/>
        </w:rPr>
        <w:t>会计师事务所（特殊普通合伙）</w:t>
      </w:r>
      <w:r w:rsidR="002F5017" w:rsidRPr="002F5017">
        <w:rPr>
          <w:rFonts w:ascii="宋体" w:hAnsi="宋体"/>
          <w:sz w:val="24"/>
        </w:rPr>
        <w:t>具备为公司提供审计服务的专业能力、经验和资质，能够满足公司审计工作的要求，同意提请董事会继续</w:t>
      </w:r>
      <w:r w:rsidR="002F5017">
        <w:rPr>
          <w:rFonts w:ascii="宋体" w:hAnsi="宋体" w:hint="eastAsia"/>
          <w:sz w:val="24"/>
        </w:rPr>
        <w:t>续聘容诚</w:t>
      </w:r>
      <w:r w:rsidR="002F5017" w:rsidRPr="0085471E">
        <w:rPr>
          <w:rFonts w:ascii="宋体" w:hAnsi="宋体" w:hint="eastAsia"/>
          <w:sz w:val="24"/>
        </w:rPr>
        <w:t>会计师事务所（特殊普通合伙）</w:t>
      </w:r>
      <w:r w:rsidR="002F5017" w:rsidRPr="002F5017">
        <w:rPr>
          <w:rFonts w:ascii="宋体" w:hAnsi="宋体"/>
          <w:sz w:val="24"/>
        </w:rPr>
        <w:t>为公司提供202</w:t>
      </w:r>
      <w:r w:rsidR="00761B0A">
        <w:rPr>
          <w:rFonts w:ascii="宋体" w:hAnsi="宋体" w:hint="eastAsia"/>
          <w:sz w:val="24"/>
        </w:rPr>
        <w:t>4</w:t>
      </w:r>
      <w:r w:rsidR="002F5017" w:rsidRPr="002F5017">
        <w:rPr>
          <w:rFonts w:ascii="宋体" w:hAnsi="宋体"/>
          <w:sz w:val="24"/>
        </w:rPr>
        <w:t>年度财务报告和内部控制审计等服务</w:t>
      </w:r>
      <w:r w:rsidR="002F5017">
        <w:rPr>
          <w:rFonts w:ascii="宋体" w:hAnsi="宋体" w:hint="eastAsia"/>
          <w:sz w:val="24"/>
        </w:rPr>
        <w:t>。</w:t>
      </w:r>
    </w:p>
    <w:p w14:paraId="2C8B83B5" w14:textId="3E5AE4C4" w:rsidR="00692500"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w:t>
      </w:r>
      <w:r w:rsidR="00870CAD">
        <w:rPr>
          <w:rFonts w:ascii="宋体" w:hAnsi="宋体" w:hint="eastAsia"/>
          <w:sz w:val="24"/>
        </w:rPr>
        <w:t>二</w:t>
      </w:r>
      <w:r w:rsidRPr="00600AB3">
        <w:rPr>
          <w:rFonts w:ascii="宋体" w:hAnsi="宋体"/>
          <w:sz w:val="24"/>
        </w:rPr>
        <w:t>）</w:t>
      </w:r>
      <w:r w:rsidR="00692500" w:rsidRPr="00600AB3">
        <w:rPr>
          <w:rFonts w:ascii="宋体" w:hAnsi="宋体" w:hint="eastAsia"/>
          <w:sz w:val="24"/>
        </w:rPr>
        <w:t>董事会审议和表决情况</w:t>
      </w:r>
    </w:p>
    <w:p w14:paraId="7F487923" w14:textId="5BF4E298" w:rsidR="0085471E" w:rsidRPr="00600AB3" w:rsidRDefault="0085471E" w:rsidP="0085471E">
      <w:pPr>
        <w:adjustRightInd w:val="0"/>
        <w:snapToGrid w:val="0"/>
        <w:spacing w:line="360" w:lineRule="auto"/>
        <w:ind w:firstLineChars="200" w:firstLine="480"/>
        <w:rPr>
          <w:rFonts w:ascii="宋体" w:hAnsi="宋体"/>
          <w:sz w:val="24"/>
        </w:rPr>
      </w:pPr>
      <w:r w:rsidRPr="0085471E">
        <w:rPr>
          <w:rFonts w:ascii="宋体" w:hAnsi="宋体" w:hint="eastAsia"/>
          <w:sz w:val="24"/>
        </w:rPr>
        <w:t>公司董事会于20</w:t>
      </w:r>
      <w:r w:rsidR="008A54D5">
        <w:rPr>
          <w:rFonts w:ascii="宋体" w:hAnsi="宋体"/>
          <w:sz w:val="24"/>
        </w:rPr>
        <w:t>2</w:t>
      </w:r>
      <w:r w:rsidR="00761B0A">
        <w:rPr>
          <w:rFonts w:ascii="宋体" w:hAnsi="宋体" w:hint="eastAsia"/>
          <w:sz w:val="24"/>
        </w:rPr>
        <w:t>4</w:t>
      </w:r>
      <w:r w:rsidRPr="0085471E">
        <w:rPr>
          <w:rFonts w:ascii="宋体" w:hAnsi="宋体" w:hint="eastAsia"/>
          <w:sz w:val="24"/>
        </w:rPr>
        <w:t>年</w:t>
      </w:r>
      <w:r>
        <w:rPr>
          <w:rFonts w:ascii="宋体" w:hAnsi="宋体" w:hint="eastAsia"/>
          <w:sz w:val="24"/>
        </w:rPr>
        <w:t>4</w:t>
      </w:r>
      <w:r w:rsidRPr="0085471E">
        <w:rPr>
          <w:rFonts w:ascii="宋体" w:hAnsi="宋体" w:hint="eastAsia"/>
          <w:sz w:val="24"/>
        </w:rPr>
        <w:t>月</w:t>
      </w:r>
      <w:r w:rsidR="00AE60F4">
        <w:rPr>
          <w:rFonts w:ascii="宋体" w:hAnsi="宋体" w:hint="eastAsia"/>
          <w:sz w:val="24"/>
        </w:rPr>
        <w:t>1</w:t>
      </w:r>
      <w:r w:rsidR="00BE5AD5">
        <w:rPr>
          <w:rFonts w:ascii="宋体" w:hAnsi="宋体" w:hint="eastAsia"/>
          <w:sz w:val="24"/>
        </w:rPr>
        <w:t>8</w:t>
      </w:r>
      <w:r w:rsidR="000937DE">
        <w:rPr>
          <w:rFonts w:ascii="宋体" w:hAnsi="宋体" w:hint="eastAsia"/>
          <w:sz w:val="24"/>
        </w:rPr>
        <w:t>日召</w:t>
      </w:r>
      <w:r w:rsidRPr="0085471E">
        <w:rPr>
          <w:rFonts w:ascii="宋体" w:hAnsi="宋体" w:hint="eastAsia"/>
          <w:sz w:val="24"/>
        </w:rPr>
        <w:t>开第</w:t>
      </w:r>
      <w:r w:rsidR="008A54D5">
        <w:rPr>
          <w:rFonts w:ascii="宋体" w:hAnsi="宋体" w:hint="eastAsia"/>
          <w:sz w:val="24"/>
        </w:rPr>
        <w:t>三</w:t>
      </w:r>
      <w:r w:rsidRPr="0085471E">
        <w:rPr>
          <w:rFonts w:ascii="宋体" w:hAnsi="宋体" w:hint="eastAsia"/>
          <w:sz w:val="24"/>
        </w:rPr>
        <w:t>届董事会第</w:t>
      </w:r>
      <w:r w:rsidR="00761B0A">
        <w:rPr>
          <w:rFonts w:ascii="宋体" w:hAnsi="宋体" w:hint="eastAsia"/>
          <w:sz w:val="24"/>
        </w:rPr>
        <w:t>十一</w:t>
      </w:r>
      <w:r w:rsidRPr="0085471E">
        <w:rPr>
          <w:rFonts w:ascii="宋体" w:hAnsi="宋体" w:hint="eastAsia"/>
          <w:sz w:val="24"/>
        </w:rPr>
        <w:t>次会议，会议以</w:t>
      </w:r>
      <w:r w:rsidR="00FA0880">
        <w:rPr>
          <w:rFonts w:ascii="宋体" w:hAnsi="宋体"/>
          <w:sz w:val="24"/>
        </w:rPr>
        <w:t>9</w:t>
      </w:r>
      <w:r w:rsidRPr="0085471E">
        <w:rPr>
          <w:rFonts w:ascii="宋体" w:hAnsi="宋体" w:hint="eastAsia"/>
          <w:sz w:val="24"/>
        </w:rPr>
        <w:t>票同意、0票反对、0票弃权，审议通过了《关于</w:t>
      </w:r>
      <w:r w:rsidR="00587B49">
        <w:rPr>
          <w:rFonts w:ascii="宋体" w:hAnsi="宋体" w:hint="eastAsia"/>
          <w:sz w:val="24"/>
        </w:rPr>
        <w:t>公司</w:t>
      </w:r>
      <w:r>
        <w:rPr>
          <w:rFonts w:ascii="宋体" w:hAnsi="宋体" w:hint="eastAsia"/>
          <w:sz w:val="24"/>
        </w:rPr>
        <w:t>续聘会计师事务所的</w:t>
      </w:r>
      <w:r w:rsidRPr="0085471E">
        <w:rPr>
          <w:rFonts w:ascii="宋体" w:hAnsi="宋体" w:hint="eastAsia"/>
          <w:sz w:val="24"/>
        </w:rPr>
        <w:t>议案》</w:t>
      </w:r>
      <w:r w:rsidR="001D18A4">
        <w:rPr>
          <w:rFonts w:ascii="宋体" w:hAnsi="宋体" w:hint="eastAsia"/>
          <w:sz w:val="24"/>
        </w:rPr>
        <w:t>，决定继续聘</w:t>
      </w:r>
      <w:r w:rsidR="00416D52">
        <w:rPr>
          <w:rFonts w:ascii="宋体" w:hAnsi="宋体" w:hint="eastAsia"/>
          <w:sz w:val="24"/>
        </w:rPr>
        <w:t>任</w:t>
      </w:r>
      <w:r w:rsidR="001D18A4" w:rsidRPr="00587B49">
        <w:rPr>
          <w:rFonts w:ascii="宋体" w:hAnsi="宋体" w:hint="eastAsia"/>
          <w:sz w:val="24"/>
        </w:rPr>
        <w:t>容诚会计师事务所（特殊普通合伙）为公司2</w:t>
      </w:r>
      <w:r w:rsidR="001D18A4" w:rsidRPr="00587B49">
        <w:rPr>
          <w:rFonts w:ascii="宋体" w:hAnsi="宋体"/>
          <w:sz w:val="24"/>
        </w:rPr>
        <w:t>02</w:t>
      </w:r>
      <w:r w:rsidR="00BE5AD5">
        <w:rPr>
          <w:rFonts w:ascii="宋体" w:hAnsi="宋体" w:hint="eastAsia"/>
          <w:sz w:val="24"/>
        </w:rPr>
        <w:t>4</w:t>
      </w:r>
      <w:r w:rsidR="001D18A4" w:rsidRPr="00587B49">
        <w:rPr>
          <w:rFonts w:ascii="宋体" w:hAnsi="宋体" w:hint="eastAsia"/>
          <w:sz w:val="24"/>
        </w:rPr>
        <w:t>年度审计机构</w:t>
      </w:r>
      <w:r w:rsidRPr="0085471E">
        <w:rPr>
          <w:rFonts w:ascii="宋体" w:hAnsi="宋体" w:hint="eastAsia"/>
          <w:sz w:val="24"/>
        </w:rPr>
        <w:t>。</w:t>
      </w:r>
    </w:p>
    <w:p w14:paraId="1A5C315F" w14:textId="5E872ECA" w:rsidR="00952B3C" w:rsidRPr="00600AB3"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（四</w:t>
      </w:r>
      <w:r w:rsidRPr="00600AB3">
        <w:rPr>
          <w:rFonts w:ascii="宋体" w:hAnsi="宋体"/>
          <w:sz w:val="24"/>
        </w:rPr>
        <w:t>）</w:t>
      </w:r>
      <w:r w:rsidR="000E0B72" w:rsidRPr="00600AB3">
        <w:rPr>
          <w:rFonts w:ascii="宋体" w:hAnsi="宋体" w:hint="eastAsia"/>
          <w:sz w:val="24"/>
        </w:rPr>
        <w:t>本</w:t>
      </w:r>
      <w:r w:rsidR="00E34FA5" w:rsidRPr="00600AB3">
        <w:rPr>
          <w:rFonts w:ascii="宋体" w:hAnsi="宋体" w:hint="eastAsia"/>
          <w:sz w:val="24"/>
        </w:rPr>
        <w:t>次</w:t>
      </w:r>
      <w:r w:rsidR="00E22641" w:rsidRPr="00600AB3">
        <w:rPr>
          <w:rFonts w:ascii="宋体" w:hAnsi="宋体" w:hint="eastAsia"/>
          <w:sz w:val="24"/>
        </w:rPr>
        <w:t>聘任</w:t>
      </w:r>
      <w:r w:rsidR="000E0B72" w:rsidRPr="00600AB3">
        <w:rPr>
          <w:rFonts w:ascii="宋体" w:hAnsi="宋体" w:hint="eastAsia"/>
          <w:sz w:val="24"/>
        </w:rPr>
        <w:t>会计师事务所事项尚需提交公司</w:t>
      </w:r>
      <w:r w:rsidR="00494B26">
        <w:rPr>
          <w:rFonts w:ascii="宋体" w:hAnsi="宋体" w:hint="eastAsia"/>
          <w:sz w:val="24"/>
        </w:rPr>
        <w:t>202</w:t>
      </w:r>
      <w:r w:rsidR="00BE5AD5">
        <w:rPr>
          <w:rFonts w:ascii="宋体" w:hAnsi="宋体" w:hint="eastAsia"/>
          <w:sz w:val="24"/>
        </w:rPr>
        <w:t>3</w:t>
      </w:r>
      <w:r w:rsidR="00494B26">
        <w:rPr>
          <w:rFonts w:ascii="宋体" w:hAnsi="宋体" w:hint="eastAsia"/>
          <w:sz w:val="24"/>
        </w:rPr>
        <w:t>年年度</w:t>
      </w:r>
      <w:r w:rsidR="000E0B72" w:rsidRPr="00600AB3">
        <w:rPr>
          <w:rFonts w:ascii="宋体" w:hAnsi="宋体" w:hint="eastAsia"/>
          <w:sz w:val="24"/>
        </w:rPr>
        <w:t>股东大会审议，并自公司股东大会审议通过之日起生效。</w:t>
      </w:r>
    </w:p>
    <w:p w14:paraId="5DDED483" w14:textId="77777777" w:rsidR="00933966" w:rsidRPr="00600AB3" w:rsidRDefault="00933966" w:rsidP="00600AB3">
      <w:pPr>
        <w:adjustRightInd w:val="0"/>
        <w:snapToGrid w:val="0"/>
        <w:spacing w:line="360" w:lineRule="auto"/>
        <w:ind w:firstLineChars="200" w:firstLine="480"/>
        <w:rPr>
          <w:rFonts w:ascii="宋体" w:hAnsi="宋体"/>
          <w:sz w:val="24"/>
        </w:rPr>
      </w:pPr>
    </w:p>
    <w:p w14:paraId="488B9EF9" w14:textId="77777777" w:rsidR="00F706EE" w:rsidRPr="00600AB3" w:rsidRDefault="00933966"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特此公告。</w:t>
      </w:r>
    </w:p>
    <w:p w14:paraId="2F5E9A30" w14:textId="77777777" w:rsidR="00944F29" w:rsidRPr="00600AB3" w:rsidRDefault="00944F29" w:rsidP="00600AB3">
      <w:pPr>
        <w:adjustRightInd w:val="0"/>
        <w:snapToGrid w:val="0"/>
        <w:spacing w:line="360" w:lineRule="auto"/>
        <w:ind w:firstLineChars="200" w:firstLine="480"/>
        <w:jc w:val="right"/>
        <w:rPr>
          <w:rFonts w:ascii="宋体" w:hAnsi="宋体"/>
          <w:sz w:val="24"/>
        </w:rPr>
      </w:pPr>
    </w:p>
    <w:p w14:paraId="5B4DF435" w14:textId="77777777" w:rsidR="00944F29" w:rsidRPr="00600AB3" w:rsidRDefault="00944F29" w:rsidP="00600AB3">
      <w:pPr>
        <w:adjustRightInd w:val="0"/>
        <w:snapToGrid w:val="0"/>
        <w:spacing w:line="360" w:lineRule="auto"/>
        <w:ind w:firstLineChars="200" w:firstLine="480"/>
        <w:jc w:val="right"/>
        <w:rPr>
          <w:rFonts w:ascii="宋体" w:hAnsi="宋体"/>
          <w:sz w:val="24"/>
        </w:rPr>
      </w:pPr>
      <w:r w:rsidRPr="00600AB3">
        <w:rPr>
          <w:rFonts w:ascii="宋体" w:hAnsi="宋体" w:hint="eastAsia"/>
          <w:sz w:val="24"/>
        </w:rPr>
        <w:t xml:space="preserve">   </w:t>
      </w:r>
      <w:r w:rsidR="00115B07" w:rsidRPr="00600AB3">
        <w:rPr>
          <w:rFonts w:ascii="宋体" w:hAnsi="宋体" w:hint="eastAsia"/>
          <w:sz w:val="24"/>
        </w:rPr>
        <w:t>安徽省交通建设</w:t>
      </w:r>
      <w:r w:rsidRPr="00600AB3">
        <w:rPr>
          <w:rFonts w:ascii="宋体" w:hAnsi="宋体" w:hint="eastAsia"/>
          <w:sz w:val="24"/>
        </w:rPr>
        <w:t>股份有限公司董事会</w:t>
      </w:r>
    </w:p>
    <w:p w14:paraId="589E8E1D" w14:textId="3B75CA64" w:rsidR="00944F29" w:rsidRPr="00600AB3" w:rsidRDefault="00F7542B" w:rsidP="00600AB3">
      <w:pPr>
        <w:adjustRightInd w:val="0"/>
        <w:snapToGrid w:val="0"/>
        <w:spacing w:line="360" w:lineRule="auto"/>
        <w:ind w:firstLineChars="200" w:firstLine="480"/>
        <w:jc w:val="right"/>
        <w:rPr>
          <w:rFonts w:ascii="宋体" w:hAnsi="宋体"/>
          <w:sz w:val="24"/>
        </w:rPr>
      </w:pPr>
      <w:r>
        <w:rPr>
          <w:rFonts w:ascii="宋体" w:hAnsi="宋体" w:hint="eastAsia"/>
          <w:sz w:val="24"/>
        </w:rPr>
        <w:t>202</w:t>
      </w:r>
      <w:r w:rsidR="00761B0A">
        <w:rPr>
          <w:rFonts w:ascii="宋体" w:hAnsi="宋体" w:hint="eastAsia"/>
          <w:sz w:val="24"/>
        </w:rPr>
        <w:t>4</w:t>
      </w:r>
      <w:r w:rsidR="00944F29" w:rsidRPr="00600AB3">
        <w:rPr>
          <w:rFonts w:ascii="宋体" w:hAnsi="宋体" w:hint="eastAsia"/>
          <w:sz w:val="24"/>
        </w:rPr>
        <w:t>年</w:t>
      </w:r>
      <w:r>
        <w:rPr>
          <w:rFonts w:ascii="宋体" w:hAnsi="宋体" w:hint="eastAsia"/>
          <w:sz w:val="24"/>
        </w:rPr>
        <w:t>4</w:t>
      </w:r>
      <w:r w:rsidR="00944F29" w:rsidRPr="00600AB3">
        <w:rPr>
          <w:rFonts w:ascii="宋体" w:hAnsi="宋体" w:hint="eastAsia"/>
          <w:sz w:val="24"/>
        </w:rPr>
        <w:t>月</w:t>
      </w:r>
      <w:r w:rsidR="00BE5AD5">
        <w:rPr>
          <w:rFonts w:ascii="宋体" w:hAnsi="宋体" w:hint="eastAsia"/>
          <w:sz w:val="24"/>
        </w:rPr>
        <w:t>20</w:t>
      </w:r>
      <w:r w:rsidR="00944F29" w:rsidRPr="00600AB3">
        <w:rPr>
          <w:rFonts w:ascii="宋体" w:hAnsi="宋体" w:hint="eastAsia"/>
          <w:sz w:val="24"/>
        </w:rPr>
        <w:t>日</w:t>
      </w:r>
    </w:p>
    <w:sectPr w:rsidR="00944F29" w:rsidRPr="00600AB3" w:rsidSect="006467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30700" w14:textId="77777777" w:rsidR="009A26AF" w:rsidRDefault="009A26AF" w:rsidP="00645F1F">
      <w:r>
        <w:separator/>
      </w:r>
    </w:p>
  </w:endnote>
  <w:endnote w:type="continuationSeparator" w:id="0">
    <w:p w14:paraId="74DDDA0A" w14:textId="77777777" w:rsidR="009A26AF" w:rsidRDefault="009A26AF" w:rsidP="0064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91443"/>
      <w:docPartObj>
        <w:docPartGallery w:val="Page Numbers (Bottom of Page)"/>
        <w:docPartUnique/>
      </w:docPartObj>
    </w:sdtPr>
    <w:sdtEndPr/>
    <w:sdtContent>
      <w:p w14:paraId="6136C9F9" w14:textId="77777777" w:rsidR="00587B49" w:rsidRDefault="00587B49">
        <w:pPr>
          <w:pStyle w:val="a4"/>
          <w:jc w:val="center"/>
        </w:pPr>
        <w:r>
          <w:fldChar w:fldCharType="begin"/>
        </w:r>
        <w:r>
          <w:instrText>PAGE   \* MERGEFORMAT</w:instrText>
        </w:r>
        <w:r>
          <w:fldChar w:fldCharType="separate"/>
        </w:r>
        <w:r w:rsidR="00F93CB5" w:rsidRPr="00F93CB5">
          <w:rPr>
            <w:noProof/>
            <w:lang w:val="zh-CN"/>
          </w:rPr>
          <w:t>1</w:t>
        </w:r>
        <w:r>
          <w:fldChar w:fldCharType="end"/>
        </w:r>
      </w:p>
    </w:sdtContent>
  </w:sdt>
  <w:p w14:paraId="0DEF4E52" w14:textId="77777777" w:rsidR="00587B49" w:rsidRDefault="00587B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ED47E" w14:textId="77777777" w:rsidR="009A26AF" w:rsidRDefault="009A26AF" w:rsidP="00645F1F">
      <w:r>
        <w:separator/>
      </w:r>
    </w:p>
  </w:footnote>
  <w:footnote w:type="continuationSeparator" w:id="0">
    <w:p w14:paraId="02F9B9B3" w14:textId="77777777" w:rsidR="009A26AF" w:rsidRDefault="009A26AF" w:rsidP="00645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nsid w:val="470A00AC"/>
    <w:multiLevelType w:val="hybridMultilevel"/>
    <w:tmpl w:val="ED929254"/>
    <w:lvl w:ilvl="0" w:tplc="B8DC47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3180056"/>
    <w:multiLevelType w:val="hybridMultilevel"/>
    <w:tmpl w:val="4F664C12"/>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3">
    <w:nsid w:val="68E203A9"/>
    <w:multiLevelType w:val="multilevel"/>
    <w:tmpl w:val="D0E8E1B0"/>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6.%2%3"/>
      <w:lvlJc w:val="left"/>
      <w:pPr>
        <w:tabs>
          <w:tab w:val="num" w:pos="1107"/>
        </w:tabs>
        <w:ind w:left="1107" w:hanging="567"/>
      </w:pPr>
      <w:rPr>
        <w:rFonts w:ascii="仿宋_GB2312" w:eastAsia="仿宋_GB2312" w:hAnsi="宋体" w:hint="eastAsia"/>
        <w:b w:val="0"/>
        <w:i w:val="0"/>
        <w:sz w:val="30"/>
        <w:szCs w:val="3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0BAF"/>
    <w:rsid w:val="000355FA"/>
    <w:rsid w:val="00040D89"/>
    <w:rsid w:val="00044EBE"/>
    <w:rsid w:val="00046417"/>
    <w:rsid w:val="0005116E"/>
    <w:rsid w:val="000538A2"/>
    <w:rsid w:val="00061CD7"/>
    <w:rsid w:val="000658E8"/>
    <w:rsid w:val="000800FE"/>
    <w:rsid w:val="0008654A"/>
    <w:rsid w:val="000937DE"/>
    <w:rsid w:val="000A1691"/>
    <w:rsid w:val="000A6B53"/>
    <w:rsid w:val="000B6927"/>
    <w:rsid w:val="000C04FF"/>
    <w:rsid w:val="000C0EFB"/>
    <w:rsid w:val="000E0B72"/>
    <w:rsid w:val="000E3C25"/>
    <w:rsid w:val="000F4A37"/>
    <w:rsid w:val="00115B07"/>
    <w:rsid w:val="00137A88"/>
    <w:rsid w:val="00140D5D"/>
    <w:rsid w:val="00143FF6"/>
    <w:rsid w:val="001471AA"/>
    <w:rsid w:val="0016624F"/>
    <w:rsid w:val="00173994"/>
    <w:rsid w:val="00176C9F"/>
    <w:rsid w:val="00186051"/>
    <w:rsid w:val="0018634B"/>
    <w:rsid w:val="0018737E"/>
    <w:rsid w:val="00195D1C"/>
    <w:rsid w:val="00196905"/>
    <w:rsid w:val="001A4B79"/>
    <w:rsid w:val="001B351B"/>
    <w:rsid w:val="001B3BFB"/>
    <w:rsid w:val="001D18A4"/>
    <w:rsid w:val="001E7847"/>
    <w:rsid w:val="00200CBC"/>
    <w:rsid w:val="00204247"/>
    <w:rsid w:val="002064A1"/>
    <w:rsid w:val="00210ED4"/>
    <w:rsid w:val="00212056"/>
    <w:rsid w:val="0021532F"/>
    <w:rsid w:val="00220DDB"/>
    <w:rsid w:val="00231B4A"/>
    <w:rsid w:val="00232B40"/>
    <w:rsid w:val="002379AE"/>
    <w:rsid w:val="00245A1F"/>
    <w:rsid w:val="00246588"/>
    <w:rsid w:val="00265AB3"/>
    <w:rsid w:val="0027785D"/>
    <w:rsid w:val="002929E3"/>
    <w:rsid w:val="00297FC8"/>
    <w:rsid w:val="002B7885"/>
    <w:rsid w:val="002C47C6"/>
    <w:rsid w:val="002C5E6C"/>
    <w:rsid w:val="002F5017"/>
    <w:rsid w:val="002F6093"/>
    <w:rsid w:val="002F74D6"/>
    <w:rsid w:val="00306A51"/>
    <w:rsid w:val="00336239"/>
    <w:rsid w:val="0033633F"/>
    <w:rsid w:val="00353A33"/>
    <w:rsid w:val="0037739C"/>
    <w:rsid w:val="00377D70"/>
    <w:rsid w:val="003818D9"/>
    <w:rsid w:val="00394DE8"/>
    <w:rsid w:val="003A743D"/>
    <w:rsid w:val="003B454A"/>
    <w:rsid w:val="003C40EF"/>
    <w:rsid w:val="003D5CEC"/>
    <w:rsid w:val="003E5FB1"/>
    <w:rsid w:val="0040123D"/>
    <w:rsid w:val="004107C0"/>
    <w:rsid w:val="00416D52"/>
    <w:rsid w:val="0042015D"/>
    <w:rsid w:val="00420E3B"/>
    <w:rsid w:val="004312DD"/>
    <w:rsid w:val="0043260E"/>
    <w:rsid w:val="00434504"/>
    <w:rsid w:val="00445E98"/>
    <w:rsid w:val="004612E1"/>
    <w:rsid w:val="00462335"/>
    <w:rsid w:val="0046429E"/>
    <w:rsid w:val="00494B26"/>
    <w:rsid w:val="004A2005"/>
    <w:rsid w:val="004B7A2E"/>
    <w:rsid w:val="004C45A9"/>
    <w:rsid w:val="004C45CF"/>
    <w:rsid w:val="004D6C6E"/>
    <w:rsid w:val="004D6D29"/>
    <w:rsid w:val="004E5A30"/>
    <w:rsid w:val="00507569"/>
    <w:rsid w:val="00510519"/>
    <w:rsid w:val="00510E07"/>
    <w:rsid w:val="00515CE2"/>
    <w:rsid w:val="00524F77"/>
    <w:rsid w:val="005250BC"/>
    <w:rsid w:val="00547B69"/>
    <w:rsid w:val="005520C3"/>
    <w:rsid w:val="00561515"/>
    <w:rsid w:val="005665AB"/>
    <w:rsid w:val="00587B49"/>
    <w:rsid w:val="00596403"/>
    <w:rsid w:val="005A2F8F"/>
    <w:rsid w:val="005A4215"/>
    <w:rsid w:val="005A6BEB"/>
    <w:rsid w:val="005B5431"/>
    <w:rsid w:val="005E1EFA"/>
    <w:rsid w:val="005E590B"/>
    <w:rsid w:val="005E692B"/>
    <w:rsid w:val="005F1F7A"/>
    <w:rsid w:val="005F30D3"/>
    <w:rsid w:val="00600AB3"/>
    <w:rsid w:val="0060515C"/>
    <w:rsid w:val="00613B02"/>
    <w:rsid w:val="006259B9"/>
    <w:rsid w:val="00630326"/>
    <w:rsid w:val="00645F1F"/>
    <w:rsid w:val="0064679A"/>
    <w:rsid w:val="00647F4D"/>
    <w:rsid w:val="006613F7"/>
    <w:rsid w:val="00673F4B"/>
    <w:rsid w:val="00676994"/>
    <w:rsid w:val="00676F96"/>
    <w:rsid w:val="00677560"/>
    <w:rsid w:val="00682B67"/>
    <w:rsid w:val="006834B6"/>
    <w:rsid w:val="00685864"/>
    <w:rsid w:val="00692500"/>
    <w:rsid w:val="006A02D9"/>
    <w:rsid w:val="006A28CB"/>
    <w:rsid w:val="006A29E4"/>
    <w:rsid w:val="006A4812"/>
    <w:rsid w:val="006B17BC"/>
    <w:rsid w:val="006B7023"/>
    <w:rsid w:val="006C20E7"/>
    <w:rsid w:val="006C3822"/>
    <w:rsid w:val="006C56D4"/>
    <w:rsid w:val="006C6D33"/>
    <w:rsid w:val="006D062D"/>
    <w:rsid w:val="006E721E"/>
    <w:rsid w:val="006F4893"/>
    <w:rsid w:val="006F60E4"/>
    <w:rsid w:val="006F68C5"/>
    <w:rsid w:val="00703195"/>
    <w:rsid w:val="007035E9"/>
    <w:rsid w:val="00706FE7"/>
    <w:rsid w:val="007126D2"/>
    <w:rsid w:val="007504DA"/>
    <w:rsid w:val="00761B0A"/>
    <w:rsid w:val="0077085F"/>
    <w:rsid w:val="00786708"/>
    <w:rsid w:val="007A5C54"/>
    <w:rsid w:val="007B2E77"/>
    <w:rsid w:val="007B796E"/>
    <w:rsid w:val="007C4999"/>
    <w:rsid w:val="007D3F6A"/>
    <w:rsid w:val="00816824"/>
    <w:rsid w:val="00831E0D"/>
    <w:rsid w:val="00832F19"/>
    <w:rsid w:val="00836396"/>
    <w:rsid w:val="0085234C"/>
    <w:rsid w:val="0085471E"/>
    <w:rsid w:val="008625DC"/>
    <w:rsid w:val="008626EF"/>
    <w:rsid w:val="00870CAD"/>
    <w:rsid w:val="00877B93"/>
    <w:rsid w:val="00884E43"/>
    <w:rsid w:val="00890F6D"/>
    <w:rsid w:val="00891B6B"/>
    <w:rsid w:val="008A28C2"/>
    <w:rsid w:val="008A54D5"/>
    <w:rsid w:val="008F3C19"/>
    <w:rsid w:val="00902708"/>
    <w:rsid w:val="00903B22"/>
    <w:rsid w:val="00911745"/>
    <w:rsid w:val="00912B13"/>
    <w:rsid w:val="00916146"/>
    <w:rsid w:val="0092549B"/>
    <w:rsid w:val="00932528"/>
    <w:rsid w:val="00932D51"/>
    <w:rsid w:val="00933966"/>
    <w:rsid w:val="009449EA"/>
    <w:rsid w:val="00944F29"/>
    <w:rsid w:val="00947E64"/>
    <w:rsid w:val="00952B3C"/>
    <w:rsid w:val="00952D2A"/>
    <w:rsid w:val="0096372F"/>
    <w:rsid w:val="009724F9"/>
    <w:rsid w:val="00976657"/>
    <w:rsid w:val="009804DD"/>
    <w:rsid w:val="0098691C"/>
    <w:rsid w:val="00987110"/>
    <w:rsid w:val="00995267"/>
    <w:rsid w:val="009A0C2D"/>
    <w:rsid w:val="009A26AF"/>
    <w:rsid w:val="009B3DA5"/>
    <w:rsid w:val="009C0CE0"/>
    <w:rsid w:val="009C5E1F"/>
    <w:rsid w:val="009C718A"/>
    <w:rsid w:val="009F3D69"/>
    <w:rsid w:val="009F589D"/>
    <w:rsid w:val="00A01673"/>
    <w:rsid w:val="00A0284C"/>
    <w:rsid w:val="00A26300"/>
    <w:rsid w:val="00A30DB8"/>
    <w:rsid w:val="00A412F4"/>
    <w:rsid w:val="00A73748"/>
    <w:rsid w:val="00A8780F"/>
    <w:rsid w:val="00AA5214"/>
    <w:rsid w:val="00AC025C"/>
    <w:rsid w:val="00AC1808"/>
    <w:rsid w:val="00AE60F4"/>
    <w:rsid w:val="00B24160"/>
    <w:rsid w:val="00B31D11"/>
    <w:rsid w:val="00B36A3C"/>
    <w:rsid w:val="00B42897"/>
    <w:rsid w:val="00B44686"/>
    <w:rsid w:val="00B565BF"/>
    <w:rsid w:val="00B61EC9"/>
    <w:rsid w:val="00B65AC1"/>
    <w:rsid w:val="00B71878"/>
    <w:rsid w:val="00B76652"/>
    <w:rsid w:val="00B86A94"/>
    <w:rsid w:val="00BB17E2"/>
    <w:rsid w:val="00BD285F"/>
    <w:rsid w:val="00BD34C9"/>
    <w:rsid w:val="00BD5C46"/>
    <w:rsid w:val="00BE5AD5"/>
    <w:rsid w:val="00C019E1"/>
    <w:rsid w:val="00C13CD7"/>
    <w:rsid w:val="00C252E9"/>
    <w:rsid w:val="00C304BF"/>
    <w:rsid w:val="00C31964"/>
    <w:rsid w:val="00C44516"/>
    <w:rsid w:val="00C52B94"/>
    <w:rsid w:val="00C57D3A"/>
    <w:rsid w:val="00C6644A"/>
    <w:rsid w:val="00C66518"/>
    <w:rsid w:val="00C81EA5"/>
    <w:rsid w:val="00C83A94"/>
    <w:rsid w:val="00C846DF"/>
    <w:rsid w:val="00CA37EB"/>
    <w:rsid w:val="00CA7A11"/>
    <w:rsid w:val="00CB6948"/>
    <w:rsid w:val="00CC4F46"/>
    <w:rsid w:val="00CC74F7"/>
    <w:rsid w:val="00CD7F61"/>
    <w:rsid w:val="00CE1E99"/>
    <w:rsid w:val="00CF6611"/>
    <w:rsid w:val="00D07352"/>
    <w:rsid w:val="00D11E29"/>
    <w:rsid w:val="00D4260F"/>
    <w:rsid w:val="00D5525D"/>
    <w:rsid w:val="00D57BBD"/>
    <w:rsid w:val="00D60EDD"/>
    <w:rsid w:val="00D628F6"/>
    <w:rsid w:val="00D63081"/>
    <w:rsid w:val="00D6509C"/>
    <w:rsid w:val="00D67709"/>
    <w:rsid w:val="00D67ABF"/>
    <w:rsid w:val="00D7277B"/>
    <w:rsid w:val="00D73D01"/>
    <w:rsid w:val="00D857EB"/>
    <w:rsid w:val="00DB5410"/>
    <w:rsid w:val="00E024FA"/>
    <w:rsid w:val="00E22641"/>
    <w:rsid w:val="00E34FA5"/>
    <w:rsid w:val="00E66D59"/>
    <w:rsid w:val="00E8111D"/>
    <w:rsid w:val="00E86C97"/>
    <w:rsid w:val="00E90B3F"/>
    <w:rsid w:val="00E93C6F"/>
    <w:rsid w:val="00EA0BA0"/>
    <w:rsid w:val="00EA3B25"/>
    <w:rsid w:val="00EA657D"/>
    <w:rsid w:val="00EC1DAA"/>
    <w:rsid w:val="00EE0036"/>
    <w:rsid w:val="00EE314C"/>
    <w:rsid w:val="00EF69DB"/>
    <w:rsid w:val="00F03706"/>
    <w:rsid w:val="00F07762"/>
    <w:rsid w:val="00F24104"/>
    <w:rsid w:val="00F24BB9"/>
    <w:rsid w:val="00F2550F"/>
    <w:rsid w:val="00F34B2B"/>
    <w:rsid w:val="00F37C92"/>
    <w:rsid w:val="00F54165"/>
    <w:rsid w:val="00F62C89"/>
    <w:rsid w:val="00F706EE"/>
    <w:rsid w:val="00F7542B"/>
    <w:rsid w:val="00F93CB5"/>
    <w:rsid w:val="00FA0880"/>
    <w:rsid w:val="00FA0BAF"/>
    <w:rsid w:val="00FA5CB6"/>
    <w:rsid w:val="00FB0A00"/>
    <w:rsid w:val="00FD3619"/>
    <w:rsid w:val="00FE40AF"/>
    <w:rsid w:val="00FF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D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F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F1F"/>
    <w:rPr>
      <w:sz w:val="18"/>
      <w:szCs w:val="18"/>
    </w:rPr>
  </w:style>
  <w:style w:type="paragraph" w:styleId="a4">
    <w:name w:val="footer"/>
    <w:basedOn w:val="a"/>
    <w:link w:val="Char0"/>
    <w:uiPriority w:val="99"/>
    <w:unhideWhenUsed/>
    <w:rsid w:val="00645F1F"/>
    <w:pPr>
      <w:tabs>
        <w:tab w:val="center" w:pos="4153"/>
        <w:tab w:val="right" w:pos="8306"/>
      </w:tabs>
      <w:snapToGrid w:val="0"/>
      <w:jc w:val="left"/>
    </w:pPr>
    <w:rPr>
      <w:sz w:val="18"/>
      <w:szCs w:val="18"/>
    </w:rPr>
  </w:style>
  <w:style w:type="character" w:customStyle="1" w:styleId="Char0">
    <w:name w:val="页脚 Char"/>
    <w:basedOn w:val="a0"/>
    <w:link w:val="a4"/>
    <w:uiPriority w:val="99"/>
    <w:rsid w:val="00645F1F"/>
    <w:rPr>
      <w:sz w:val="18"/>
      <w:szCs w:val="18"/>
    </w:rPr>
  </w:style>
  <w:style w:type="paragraph" w:styleId="a5">
    <w:name w:val="Body Text Indent"/>
    <w:basedOn w:val="a"/>
    <w:link w:val="Char1"/>
    <w:rsid w:val="00F706EE"/>
    <w:pPr>
      <w:tabs>
        <w:tab w:val="left" w:pos="7020"/>
      </w:tabs>
      <w:spacing w:line="600" w:lineRule="exact"/>
      <w:ind w:firstLineChars="200" w:firstLine="600"/>
    </w:pPr>
    <w:rPr>
      <w:rFonts w:ascii="仿宋_GB2312" w:eastAsia="仿宋_GB2312"/>
      <w:sz w:val="30"/>
    </w:rPr>
  </w:style>
  <w:style w:type="character" w:customStyle="1" w:styleId="Char1">
    <w:name w:val="正文文本缩进 Char"/>
    <w:basedOn w:val="a0"/>
    <w:link w:val="a5"/>
    <w:rsid w:val="00F706EE"/>
    <w:rPr>
      <w:rFonts w:ascii="仿宋_GB2312" w:eastAsia="仿宋_GB2312" w:hAnsi="Times New Roman" w:cs="Times New Roman"/>
      <w:sz w:val="30"/>
      <w:szCs w:val="24"/>
    </w:rPr>
  </w:style>
  <w:style w:type="character" w:styleId="a6">
    <w:name w:val="annotation reference"/>
    <w:basedOn w:val="a0"/>
    <w:uiPriority w:val="99"/>
    <w:semiHidden/>
    <w:unhideWhenUsed/>
    <w:rsid w:val="00196905"/>
    <w:rPr>
      <w:sz w:val="21"/>
      <w:szCs w:val="21"/>
    </w:rPr>
  </w:style>
  <w:style w:type="paragraph" w:styleId="a7">
    <w:name w:val="annotation text"/>
    <w:basedOn w:val="a"/>
    <w:link w:val="Char2"/>
    <w:uiPriority w:val="99"/>
    <w:semiHidden/>
    <w:unhideWhenUsed/>
    <w:rsid w:val="00196905"/>
    <w:pPr>
      <w:jc w:val="left"/>
    </w:pPr>
  </w:style>
  <w:style w:type="character" w:customStyle="1" w:styleId="Char2">
    <w:name w:val="批注文字 Char"/>
    <w:basedOn w:val="a0"/>
    <w:link w:val="a7"/>
    <w:uiPriority w:val="99"/>
    <w:semiHidden/>
    <w:rsid w:val="00196905"/>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196905"/>
    <w:rPr>
      <w:b/>
      <w:bCs/>
    </w:rPr>
  </w:style>
  <w:style w:type="character" w:customStyle="1" w:styleId="Char3">
    <w:name w:val="批注主题 Char"/>
    <w:basedOn w:val="Char2"/>
    <w:link w:val="a8"/>
    <w:uiPriority w:val="99"/>
    <w:semiHidden/>
    <w:rsid w:val="00196905"/>
    <w:rPr>
      <w:rFonts w:ascii="Times New Roman" w:eastAsia="宋体" w:hAnsi="Times New Roman" w:cs="Times New Roman"/>
      <w:b/>
      <w:bCs/>
      <w:szCs w:val="24"/>
    </w:rPr>
  </w:style>
  <w:style w:type="paragraph" w:styleId="a9">
    <w:name w:val="Balloon Text"/>
    <w:basedOn w:val="a"/>
    <w:link w:val="Char4"/>
    <w:uiPriority w:val="99"/>
    <w:semiHidden/>
    <w:unhideWhenUsed/>
    <w:rsid w:val="00196905"/>
    <w:rPr>
      <w:sz w:val="18"/>
      <w:szCs w:val="18"/>
    </w:rPr>
  </w:style>
  <w:style w:type="character" w:customStyle="1" w:styleId="Char4">
    <w:name w:val="批注框文本 Char"/>
    <w:basedOn w:val="a0"/>
    <w:link w:val="a9"/>
    <w:uiPriority w:val="99"/>
    <w:semiHidden/>
    <w:rsid w:val="00196905"/>
    <w:rPr>
      <w:rFonts w:ascii="Times New Roman" w:eastAsia="宋体" w:hAnsi="Times New Roman" w:cs="Times New Roman"/>
      <w:sz w:val="18"/>
      <w:szCs w:val="18"/>
    </w:rPr>
  </w:style>
  <w:style w:type="paragraph" w:styleId="aa">
    <w:name w:val="List Paragraph"/>
    <w:basedOn w:val="a"/>
    <w:qFormat/>
    <w:rsid w:val="00B36A3C"/>
    <w:pPr>
      <w:ind w:firstLineChars="200" w:firstLine="420"/>
    </w:pPr>
  </w:style>
  <w:style w:type="paragraph" w:styleId="ab">
    <w:name w:val="Document Map"/>
    <w:basedOn w:val="a"/>
    <w:link w:val="Char5"/>
    <w:uiPriority w:val="99"/>
    <w:semiHidden/>
    <w:unhideWhenUsed/>
    <w:rsid w:val="00CE1E99"/>
    <w:rPr>
      <w:rFonts w:ascii="宋体"/>
      <w:sz w:val="18"/>
      <w:szCs w:val="18"/>
    </w:rPr>
  </w:style>
  <w:style w:type="character" w:customStyle="1" w:styleId="Char5">
    <w:name w:val="文档结构图 Char"/>
    <w:basedOn w:val="a0"/>
    <w:link w:val="ab"/>
    <w:uiPriority w:val="99"/>
    <w:semiHidden/>
    <w:rsid w:val="00CE1E99"/>
    <w:rPr>
      <w:rFonts w:ascii="宋体" w:eastAsia="宋体" w:hAnsi="Times New Roman" w:cs="Times New Roman"/>
      <w:sz w:val="18"/>
      <w:szCs w:val="18"/>
    </w:rPr>
  </w:style>
  <w:style w:type="table" w:styleId="ac">
    <w:name w:val="Table Grid"/>
    <w:basedOn w:val="a1"/>
    <w:uiPriority w:val="39"/>
    <w:rsid w:val="00CC7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1261">
      <w:bodyDiv w:val="1"/>
      <w:marLeft w:val="0"/>
      <w:marRight w:val="0"/>
      <w:marTop w:val="0"/>
      <w:marBottom w:val="0"/>
      <w:divBdr>
        <w:top w:val="none" w:sz="0" w:space="0" w:color="auto"/>
        <w:left w:val="none" w:sz="0" w:space="0" w:color="auto"/>
        <w:bottom w:val="none" w:sz="0" w:space="0" w:color="auto"/>
        <w:right w:val="none" w:sz="0" w:space="0" w:color="auto"/>
      </w:divBdr>
    </w:div>
    <w:div w:id="822284087">
      <w:bodyDiv w:val="1"/>
      <w:marLeft w:val="0"/>
      <w:marRight w:val="0"/>
      <w:marTop w:val="0"/>
      <w:marBottom w:val="0"/>
      <w:divBdr>
        <w:top w:val="none" w:sz="0" w:space="0" w:color="auto"/>
        <w:left w:val="none" w:sz="0" w:space="0" w:color="auto"/>
        <w:bottom w:val="none" w:sz="0" w:space="0" w:color="auto"/>
        <w:right w:val="none" w:sz="0" w:space="0" w:color="auto"/>
      </w:divBdr>
      <w:divsChild>
        <w:div w:id="599526706">
          <w:marLeft w:val="0"/>
          <w:marRight w:val="0"/>
          <w:marTop w:val="0"/>
          <w:marBottom w:val="0"/>
          <w:divBdr>
            <w:top w:val="none" w:sz="0" w:space="0" w:color="auto"/>
            <w:left w:val="none" w:sz="0" w:space="0" w:color="auto"/>
            <w:bottom w:val="none" w:sz="0" w:space="0" w:color="auto"/>
            <w:right w:val="none" w:sz="0" w:space="0" w:color="auto"/>
          </w:divBdr>
        </w:div>
        <w:div w:id="1410884529">
          <w:marLeft w:val="0"/>
          <w:marRight w:val="0"/>
          <w:marTop w:val="0"/>
          <w:marBottom w:val="0"/>
          <w:divBdr>
            <w:top w:val="none" w:sz="0" w:space="0" w:color="auto"/>
            <w:left w:val="none" w:sz="0" w:space="0" w:color="auto"/>
            <w:bottom w:val="none" w:sz="0" w:space="0" w:color="auto"/>
            <w:right w:val="none" w:sz="0" w:space="0" w:color="auto"/>
          </w:divBdr>
        </w:div>
        <w:div w:id="848064161">
          <w:marLeft w:val="0"/>
          <w:marRight w:val="0"/>
          <w:marTop w:val="0"/>
          <w:marBottom w:val="0"/>
          <w:divBdr>
            <w:top w:val="none" w:sz="0" w:space="0" w:color="auto"/>
            <w:left w:val="none" w:sz="0" w:space="0" w:color="auto"/>
            <w:bottom w:val="none" w:sz="0" w:space="0" w:color="auto"/>
            <w:right w:val="none" w:sz="0" w:space="0" w:color="auto"/>
          </w:divBdr>
        </w:div>
      </w:divsChild>
    </w:div>
    <w:div w:id="845946689">
      <w:bodyDiv w:val="1"/>
      <w:marLeft w:val="0"/>
      <w:marRight w:val="0"/>
      <w:marTop w:val="0"/>
      <w:marBottom w:val="0"/>
      <w:divBdr>
        <w:top w:val="none" w:sz="0" w:space="0" w:color="auto"/>
        <w:left w:val="none" w:sz="0" w:space="0" w:color="auto"/>
        <w:bottom w:val="none" w:sz="0" w:space="0" w:color="auto"/>
        <w:right w:val="none" w:sz="0" w:space="0" w:color="auto"/>
      </w:divBdr>
    </w:div>
    <w:div w:id="935406653">
      <w:bodyDiv w:val="1"/>
      <w:marLeft w:val="0"/>
      <w:marRight w:val="0"/>
      <w:marTop w:val="0"/>
      <w:marBottom w:val="0"/>
      <w:divBdr>
        <w:top w:val="none" w:sz="0" w:space="0" w:color="auto"/>
        <w:left w:val="none" w:sz="0" w:space="0" w:color="auto"/>
        <w:bottom w:val="none" w:sz="0" w:space="0" w:color="auto"/>
        <w:right w:val="none" w:sz="0" w:space="0" w:color="auto"/>
      </w:divBdr>
    </w:div>
    <w:div w:id="1160271203">
      <w:bodyDiv w:val="1"/>
      <w:marLeft w:val="0"/>
      <w:marRight w:val="0"/>
      <w:marTop w:val="0"/>
      <w:marBottom w:val="0"/>
      <w:divBdr>
        <w:top w:val="none" w:sz="0" w:space="0" w:color="auto"/>
        <w:left w:val="none" w:sz="0" w:space="0" w:color="auto"/>
        <w:bottom w:val="none" w:sz="0" w:space="0" w:color="auto"/>
        <w:right w:val="none" w:sz="0" w:space="0" w:color="auto"/>
      </w:divBdr>
      <w:divsChild>
        <w:div w:id="1534146481">
          <w:marLeft w:val="0"/>
          <w:marRight w:val="0"/>
          <w:marTop w:val="0"/>
          <w:marBottom w:val="0"/>
          <w:divBdr>
            <w:top w:val="none" w:sz="0" w:space="0" w:color="auto"/>
            <w:left w:val="none" w:sz="0" w:space="0" w:color="auto"/>
            <w:bottom w:val="none" w:sz="0" w:space="0" w:color="auto"/>
            <w:right w:val="none" w:sz="0" w:space="0" w:color="auto"/>
          </w:divBdr>
        </w:div>
        <w:div w:id="736049413">
          <w:marLeft w:val="0"/>
          <w:marRight w:val="0"/>
          <w:marTop w:val="0"/>
          <w:marBottom w:val="0"/>
          <w:divBdr>
            <w:top w:val="none" w:sz="0" w:space="0" w:color="auto"/>
            <w:left w:val="none" w:sz="0" w:space="0" w:color="auto"/>
            <w:bottom w:val="none" w:sz="0" w:space="0" w:color="auto"/>
            <w:right w:val="none" w:sz="0" w:space="0" w:color="auto"/>
          </w:divBdr>
        </w:div>
        <w:div w:id="482160322">
          <w:marLeft w:val="0"/>
          <w:marRight w:val="0"/>
          <w:marTop w:val="0"/>
          <w:marBottom w:val="0"/>
          <w:divBdr>
            <w:top w:val="none" w:sz="0" w:space="0" w:color="auto"/>
            <w:left w:val="none" w:sz="0" w:space="0" w:color="auto"/>
            <w:bottom w:val="none" w:sz="0" w:space="0" w:color="auto"/>
            <w:right w:val="none" w:sz="0" w:space="0" w:color="auto"/>
          </w:divBdr>
        </w:div>
        <w:div w:id="1837987533">
          <w:marLeft w:val="0"/>
          <w:marRight w:val="0"/>
          <w:marTop w:val="0"/>
          <w:marBottom w:val="0"/>
          <w:divBdr>
            <w:top w:val="none" w:sz="0" w:space="0" w:color="auto"/>
            <w:left w:val="none" w:sz="0" w:space="0" w:color="auto"/>
            <w:bottom w:val="none" w:sz="0" w:space="0" w:color="auto"/>
            <w:right w:val="none" w:sz="0" w:space="0" w:color="auto"/>
          </w:divBdr>
        </w:div>
        <w:div w:id="1281572690">
          <w:marLeft w:val="0"/>
          <w:marRight w:val="0"/>
          <w:marTop w:val="0"/>
          <w:marBottom w:val="0"/>
          <w:divBdr>
            <w:top w:val="none" w:sz="0" w:space="0" w:color="auto"/>
            <w:left w:val="none" w:sz="0" w:space="0" w:color="auto"/>
            <w:bottom w:val="none" w:sz="0" w:space="0" w:color="auto"/>
            <w:right w:val="none" w:sz="0" w:space="0" w:color="auto"/>
          </w:divBdr>
        </w:div>
      </w:divsChild>
    </w:div>
    <w:div w:id="1226452085">
      <w:bodyDiv w:val="1"/>
      <w:marLeft w:val="0"/>
      <w:marRight w:val="0"/>
      <w:marTop w:val="0"/>
      <w:marBottom w:val="0"/>
      <w:divBdr>
        <w:top w:val="none" w:sz="0" w:space="0" w:color="auto"/>
        <w:left w:val="none" w:sz="0" w:space="0" w:color="auto"/>
        <w:bottom w:val="none" w:sz="0" w:space="0" w:color="auto"/>
        <w:right w:val="none" w:sz="0" w:space="0" w:color="auto"/>
      </w:divBdr>
    </w:div>
    <w:div w:id="1949268331">
      <w:bodyDiv w:val="1"/>
      <w:marLeft w:val="0"/>
      <w:marRight w:val="0"/>
      <w:marTop w:val="0"/>
      <w:marBottom w:val="0"/>
      <w:divBdr>
        <w:top w:val="none" w:sz="0" w:space="0" w:color="auto"/>
        <w:left w:val="none" w:sz="0" w:space="0" w:color="auto"/>
        <w:bottom w:val="none" w:sz="0" w:space="0" w:color="auto"/>
        <w:right w:val="none" w:sz="0" w:space="0" w:color="auto"/>
      </w:divBdr>
      <w:divsChild>
        <w:div w:id="508758443">
          <w:marLeft w:val="0"/>
          <w:marRight w:val="0"/>
          <w:marTop w:val="15"/>
          <w:marBottom w:val="0"/>
          <w:divBdr>
            <w:top w:val="single" w:sz="48" w:space="0" w:color="auto"/>
            <w:left w:val="single" w:sz="48" w:space="0" w:color="auto"/>
            <w:bottom w:val="single" w:sz="48" w:space="0" w:color="auto"/>
            <w:right w:val="single" w:sz="48" w:space="0" w:color="auto"/>
          </w:divBdr>
          <w:divsChild>
            <w:div w:id="70783575">
              <w:marLeft w:val="0"/>
              <w:marRight w:val="0"/>
              <w:marTop w:val="0"/>
              <w:marBottom w:val="0"/>
              <w:divBdr>
                <w:top w:val="none" w:sz="0" w:space="0" w:color="auto"/>
                <w:left w:val="none" w:sz="0" w:space="0" w:color="auto"/>
                <w:bottom w:val="none" w:sz="0" w:space="0" w:color="auto"/>
                <w:right w:val="none" w:sz="0" w:space="0" w:color="auto"/>
              </w:divBdr>
            </w:div>
          </w:divsChild>
        </w:div>
        <w:div w:id="532427192">
          <w:marLeft w:val="0"/>
          <w:marRight w:val="0"/>
          <w:marTop w:val="15"/>
          <w:marBottom w:val="0"/>
          <w:divBdr>
            <w:top w:val="single" w:sz="48" w:space="0" w:color="auto"/>
            <w:left w:val="single" w:sz="48" w:space="0" w:color="auto"/>
            <w:bottom w:val="single" w:sz="48" w:space="0" w:color="auto"/>
            <w:right w:val="single" w:sz="48" w:space="0" w:color="auto"/>
          </w:divBdr>
          <w:divsChild>
            <w:div w:id="19241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464">
      <w:bodyDiv w:val="1"/>
      <w:marLeft w:val="0"/>
      <w:marRight w:val="0"/>
      <w:marTop w:val="0"/>
      <w:marBottom w:val="0"/>
      <w:divBdr>
        <w:top w:val="none" w:sz="0" w:space="0" w:color="auto"/>
        <w:left w:val="none" w:sz="0" w:space="0" w:color="auto"/>
        <w:bottom w:val="none" w:sz="0" w:space="0" w:color="auto"/>
        <w:right w:val="none" w:sz="0" w:space="0" w:color="auto"/>
      </w:divBdr>
    </w:div>
    <w:div w:id="2143499621">
      <w:bodyDiv w:val="1"/>
      <w:marLeft w:val="0"/>
      <w:marRight w:val="0"/>
      <w:marTop w:val="0"/>
      <w:marBottom w:val="0"/>
      <w:divBdr>
        <w:top w:val="none" w:sz="0" w:space="0" w:color="auto"/>
        <w:left w:val="none" w:sz="0" w:space="0" w:color="auto"/>
        <w:bottom w:val="none" w:sz="0" w:space="0" w:color="auto"/>
        <w:right w:val="none" w:sz="0" w:space="0" w:color="auto"/>
      </w:divBdr>
      <w:divsChild>
        <w:div w:id="909462551">
          <w:marLeft w:val="0"/>
          <w:marRight w:val="0"/>
          <w:marTop w:val="0"/>
          <w:marBottom w:val="0"/>
          <w:divBdr>
            <w:top w:val="none" w:sz="0" w:space="0" w:color="auto"/>
            <w:left w:val="none" w:sz="0" w:space="0" w:color="auto"/>
            <w:bottom w:val="none" w:sz="0" w:space="0" w:color="auto"/>
            <w:right w:val="none" w:sz="0" w:space="0" w:color="auto"/>
          </w:divBdr>
        </w:div>
        <w:div w:id="852761237">
          <w:marLeft w:val="0"/>
          <w:marRight w:val="0"/>
          <w:marTop w:val="0"/>
          <w:marBottom w:val="0"/>
          <w:divBdr>
            <w:top w:val="none" w:sz="0" w:space="0" w:color="auto"/>
            <w:left w:val="none" w:sz="0" w:space="0" w:color="auto"/>
            <w:bottom w:val="none" w:sz="0" w:space="0" w:color="auto"/>
            <w:right w:val="none" w:sz="0" w:space="0" w:color="auto"/>
          </w:divBdr>
        </w:div>
        <w:div w:id="116000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5E9D-EC3B-4AE7-9CB7-D0108494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4</Pages>
  <Words>406</Words>
  <Characters>2315</Characters>
  <Application>Microsoft Office Word</Application>
  <DocSecurity>0</DocSecurity>
  <Lines>19</Lines>
  <Paragraphs>5</Paragraphs>
  <ScaleCrop>false</ScaleCrop>
  <Company>Microsoft</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ycli</dc:creator>
  <cp:lastModifiedBy>林玲</cp:lastModifiedBy>
  <cp:revision>107</cp:revision>
  <cp:lastPrinted>2020-02-28T06:28:00Z</cp:lastPrinted>
  <dcterms:created xsi:type="dcterms:W3CDTF">2020-02-25T10:09:00Z</dcterms:created>
  <dcterms:modified xsi:type="dcterms:W3CDTF">2024-04-19T07:29:00Z</dcterms:modified>
</cp:coreProperties>
</file>