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AA96" w14:textId="73299A8A" w:rsidR="003C48E7" w:rsidRPr="0048464A" w:rsidRDefault="003C48E7" w:rsidP="0048464A">
      <w:pPr>
        <w:widowControl/>
        <w:adjustRightInd w:val="0"/>
        <w:snapToGrid w:val="0"/>
        <w:spacing w:line="360" w:lineRule="auto"/>
        <w:jc w:val="center"/>
        <w:rPr>
          <w:rFonts w:cs="Times New Roman"/>
          <w:b/>
          <w:bCs/>
          <w:kern w:val="0"/>
          <w:sz w:val="32"/>
          <w:szCs w:val="32"/>
        </w:rPr>
      </w:pPr>
      <w:bookmarkStart w:id="0" w:name="_Hlk142916672"/>
      <w:bookmarkStart w:id="1" w:name="_Hlk142917939"/>
      <w:bookmarkStart w:id="2" w:name="_GoBack"/>
      <w:bookmarkEnd w:id="2"/>
      <w:r w:rsidRPr="0048464A">
        <w:rPr>
          <w:rFonts w:cs="Times New Roman"/>
          <w:b/>
          <w:bCs/>
          <w:kern w:val="0"/>
          <w:sz w:val="32"/>
          <w:szCs w:val="32"/>
        </w:rPr>
        <w:t>安徽省交通建设股份有限公司董事会</w:t>
      </w:r>
    </w:p>
    <w:bookmarkEnd w:id="0"/>
    <w:p w14:paraId="5DDC131C" w14:textId="2CCF7817" w:rsidR="003C48E7" w:rsidRPr="0048464A" w:rsidRDefault="00D02B50" w:rsidP="0048464A">
      <w:pPr>
        <w:widowControl/>
        <w:adjustRightInd w:val="0"/>
        <w:snapToGrid w:val="0"/>
        <w:spacing w:line="360" w:lineRule="auto"/>
        <w:jc w:val="center"/>
        <w:rPr>
          <w:rFonts w:cs="Times New Roman"/>
          <w:b/>
          <w:bCs/>
          <w:kern w:val="0"/>
          <w:sz w:val="32"/>
          <w:szCs w:val="32"/>
        </w:rPr>
      </w:pPr>
      <w:r w:rsidRPr="0048464A">
        <w:rPr>
          <w:rFonts w:cs="Times New Roman"/>
          <w:b/>
          <w:bCs/>
          <w:kern w:val="0"/>
          <w:sz w:val="32"/>
          <w:szCs w:val="32"/>
        </w:rPr>
        <w:t>关于本次交易相关主体不存在依据《</w:t>
      </w:r>
      <w:r w:rsidR="00914043" w:rsidRPr="00914043">
        <w:rPr>
          <w:rFonts w:cs="Times New Roman" w:hint="eastAsia"/>
          <w:b/>
          <w:bCs/>
          <w:kern w:val="0"/>
          <w:sz w:val="32"/>
          <w:szCs w:val="32"/>
        </w:rPr>
        <w:t>上市公司监管指引第</w:t>
      </w:r>
      <w:r w:rsidR="00914043" w:rsidRPr="00914043">
        <w:rPr>
          <w:rFonts w:cs="Times New Roman" w:hint="eastAsia"/>
          <w:b/>
          <w:bCs/>
          <w:kern w:val="0"/>
          <w:sz w:val="32"/>
          <w:szCs w:val="32"/>
        </w:rPr>
        <w:t>7</w:t>
      </w:r>
      <w:r w:rsidR="00914043" w:rsidRPr="00914043">
        <w:rPr>
          <w:rFonts w:cs="Times New Roman" w:hint="eastAsia"/>
          <w:b/>
          <w:bCs/>
          <w:kern w:val="0"/>
          <w:sz w:val="32"/>
          <w:szCs w:val="32"/>
        </w:rPr>
        <w:t>号</w:t>
      </w:r>
      <w:r w:rsidR="00914043">
        <w:rPr>
          <w:rFonts w:cs="Times New Roman" w:hint="eastAsia"/>
          <w:b/>
          <w:bCs/>
          <w:kern w:val="0"/>
          <w:sz w:val="32"/>
          <w:szCs w:val="32"/>
        </w:rPr>
        <w:t>—</w:t>
      </w:r>
      <w:r w:rsidRPr="0048464A">
        <w:rPr>
          <w:rFonts w:cs="Times New Roman"/>
          <w:b/>
          <w:bCs/>
          <w:kern w:val="0"/>
          <w:sz w:val="32"/>
          <w:szCs w:val="32"/>
        </w:rPr>
        <w:t>上市公司重大资产重组相关股票异常交易监管》第十二条或《</w:t>
      </w:r>
      <w:r w:rsidR="00914043" w:rsidRPr="00914043">
        <w:rPr>
          <w:rFonts w:cs="Times New Roman" w:hint="eastAsia"/>
          <w:b/>
          <w:bCs/>
          <w:kern w:val="0"/>
          <w:sz w:val="32"/>
          <w:szCs w:val="32"/>
        </w:rPr>
        <w:t>上海证券交易所上市公司自律监管指引第</w:t>
      </w:r>
      <w:r w:rsidR="00914043" w:rsidRPr="00914043">
        <w:rPr>
          <w:rFonts w:cs="Times New Roman" w:hint="eastAsia"/>
          <w:b/>
          <w:bCs/>
          <w:kern w:val="0"/>
          <w:sz w:val="32"/>
          <w:szCs w:val="32"/>
        </w:rPr>
        <w:t>6</w:t>
      </w:r>
      <w:r w:rsidR="00914043" w:rsidRPr="00914043">
        <w:rPr>
          <w:rFonts w:cs="Times New Roman" w:hint="eastAsia"/>
          <w:b/>
          <w:bCs/>
          <w:kern w:val="0"/>
          <w:sz w:val="32"/>
          <w:szCs w:val="32"/>
        </w:rPr>
        <w:t>号—</w:t>
      </w:r>
      <w:r w:rsidRPr="0048464A">
        <w:rPr>
          <w:rFonts w:cs="Times New Roman"/>
          <w:b/>
          <w:bCs/>
          <w:kern w:val="0"/>
          <w:sz w:val="32"/>
          <w:szCs w:val="32"/>
        </w:rPr>
        <w:t>重大资产重组》第三十条情形的说明</w:t>
      </w:r>
    </w:p>
    <w:bookmarkEnd w:id="1"/>
    <w:p w14:paraId="33AC9970" w14:textId="7D47FFD3" w:rsidR="003C48E7" w:rsidRPr="0048464A" w:rsidRDefault="00DF4F0F" w:rsidP="003C48E7">
      <w:pPr>
        <w:widowControl/>
        <w:adjustRightInd w:val="0"/>
        <w:snapToGrid w:val="0"/>
        <w:spacing w:line="500" w:lineRule="exact"/>
        <w:ind w:firstLineChars="200" w:firstLine="480"/>
        <w:rPr>
          <w:rFonts w:cs="Times New Roman"/>
          <w:bCs/>
          <w:color w:val="000000"/>
          <w:kern w:val="0"/>
          <w:sz w:val="24"/>
          <w:szCs w:val="28"/>
        </w:rPr>
      </w:pPr>
      <w:r w:rsidRPr="00DF4F0F">
        <w:rPr>
          <w:rFonts w:cs="Times New Roman" w:hint="eastAsia"/>
          <w:bCs/>
          <w:color w:val="000000"/>
          <w:kern w:val="0"/>
          <w:sz w:val="24"/>
          <w:szCs w:val="28"/>
        </w:rPr>
        <w:t>安徽省交通建设股份有限公司（以下简称“公司”）拟通过发行股份及支付现金的方式购买无锡博达合一科技有限公司持有的无锡博达新</w:t>
      </w:r>
      <w:proofErr w:type="gramStart"/>
      <w:r w:rsidRPr="00DF4F0F">
        <w:rPr>
          <w:rFonts w:cs="Times New Roman" w:hint="eastAsia"/>
          <w:bCs/>
          <w:color w:val="000000"/>
          <w:kern w:val="0"/>
          <w:sz w:val="24"/>
          <w:szCs w:val="28"/>
        </w:rPr>
        <w:t>能科技</w:t>
      </w:r>
      <w:proofErr w:type="gramEnd"/>
      <w:r w:rsidRPr="00DF4F0F">
        <w:rPr>
          <w:rFonts w:cs="Times New Roman" w:hint="eastAsia"/>
          <w:bCs/>
          <w:color w:val="000000"/>
          <w:kern w:val="0"/>
          <w:sz w:val="24"/>
          <w:szCs w:val="28"/>
        </w:rPr>
        <w:t>有限公司</w:t>
      </w:r>
      <w:r w:rsidRPr="00DF4F0F">
        <w:rPr>
          <w:rFonts w:cs="Times New Roman" w:hint="eastAsia"/>
          <w:bCs/>
          <w:color w:val="000000"/>
          <w:kern w:val="0"/>
          <w:sz w:val="24"/>
          <w:szCs w:val="28"/>
        </w:rPr>
        <w:t>70%</w:t>
      </w:r>
      <w:r w:rsidRPr="00DF4F0F">
        <w:rPr>
          <w:rFonts w:cs="Times New Roman" w:hint="eastAsia"/>
          <w:bCs/>
          <w:color w:val="000000"/>
          <w:kern w:val="0"/>
          <w:sz w:val="24"/>
          <w:szCs w:val="28"/>
        </w:rPr>
        <w:t>股权，同时拟向公司控股股东祥源控股集团有限责任公司</w:t>
      </w:r>
      <w:r w:rsidR="005B4EB6" w:rsidRPr="005B4EB6">
        <w:rPr>
          <w:rFonts w:cs="Times New Roman" w:hint="eastAsia"/>
          <w:bCs/>
          <w:color w:val="000000"/>
          <w:kern w:val="0"/>
          <w:sz w:val="24"/>
          <w:szCs w:val="28"/>
        </w:rPr>
        <w:t>、实际控制人俞发祥</w:t>
      </w:r>
      <w:r w:rsidRPr="00DF4F0F">
        <w:rPr>
          <w:rFonts w:cs="Times New Roman" w:hint="eastAsia"/>
          <w:bCs/>
          <w:color w:val="000000"/>
          <w:kern w:val="0"/>
          <w:sz w:val="24"/>
          <w:szCs w:val="28"/>
        </w:rPr>
        <w:t>发行股份募集配套资金（以下简称“本次交易”）。</w:t>
      </w:r>
    </w:p>
    <w:p w14:paraId="626B5C61" w14:textId="07D575F4" w:rsidR="00D02B50" w:rsidRPr="0048464A" w:rsidRDefault="00D02B50" w:rsidP="00D02B50">
      <w:pPr>
        <w:spacing w:beforeLines="50" w:before="156" w:afterLines="50" w:after="156" w:line="360" w:lineRule="auto"/>
        <w:ind w:firstLine="480"/>
        <w:rPr>
          <w:rFonts w:cs="Times New Roman"/>
          <w:sz w:val="24"/>
          <w:szCs w:val="24"/>
        </w:rPr>
      </w:pPr>
      <w:r w:rsidRPr="0048464A">
        <w:rPr>
          <w:rFonts w:cs="Times New Roman"/>
          <w:sz w:val="24"/>
          <w:szCs w:val="24"/>
        </w:rPr>
        <w:t>根据《上市公司监管指引第</w:t>
      </w:r>
      <w:r w:rsidRPr="0048464A">
        <w:rPr>
          <w:rFonts w:cs="Times New Roman"/>
          <w:sz w:val="24"/>
          <w:szCs w:val="24"/>
        </w:rPr>
        <w:t>7</w:t>
      </w:r>
      <w:r w:rsidRPr="0048464A">
        <w:rPr>
          <w:rFonts w:cs="Times New Roman"/>
          <w:sz w:val="24"/>
          <w:szCs w:val="24"/>
        </w:rPr>
        <w:t>号</w:t>
      </w:r>
      <w:r w:rsidRPr="0048464A">
        <w:rPr>
          <w:rFonts w:cs="Times New Roman"/>
          <w:sz w:val="24"/>
          <w:szCs w:val="24"/>
        </w:rPr>
        <w:t>——</w:t>
      </w:r>
      <w:r w:rsidRPr="0048464A">
        <w:rPr>
          <w:rFonts w:cs="Times New Roman"/>
          <w:sz w:val="24"/>
          <w:szCs w:val="24"/>
        </w:rPr>
        <w:t>上市公司重大资产重组相关股票异常交易监管》第十二条及《</w:t>
      </w:r>
      <w:bookmarkStart w:id="3" w:name="_Hlk144563216"/>
      <w:r w:rsidRPr="0048464A">
        <w:rPr>
          <w:rFonts w:cs="Times New Roman"/>
          <w:sz w:val="24"/>
          <w:szCs w:val="24"/>
        </w:rPr>
        <w:t>上海证券交易所上市公司自律监管指引第</w:t>
      </w:r>
      <w:r w:rsidRPr="0048464A">
        <w:rPr>
          <w:rFonts w:cs="Times New Roman"/>
          <w:sz w:val="24"/>
          <w:szCs w:val="24"/>
        </w:rPr>
        <w:t>6</w:t>
      </w:r>
      <w:r w:rsidRPr="0048464A">
        <w:rPr>
          <w:rFonts w:cs="Times New Roman"/>
          <w:sz w:val="24"/>
          <w:szCs w:val="24"/>
        </w:rPr>
        <w:t>号</w:t>
      </w:r>
      <w:r w:rsidRPr="0048464A">
        <w:rPr>
          <w:rFonts w:cs="Times New Roman"/>
          <w:sz w:val="24"/>
          <w:szCs w:val="24"/>
        </w:rPr>
        <w:t>——</w:t>
      </w:r>
      <w:bookmarkEnd w:id="3"/>
      <w:r w:rsidRPr="0048464A">
        <w:rPr>
          <w:rFonts w:cs="Times New Roman"/>
          <w:sz w:val="24"/>
          <w:szCs w:val="24"/>
        </w:rPr>
        <w:t>重大资产重组》第三十条的规定，公司对本次交易相关主体是否存在不得参与任何上市公司重大资产重组情形的说明如下：</w:t>
      </w:r>
    </w:p>
    <w:p w14:paraId="3835DF62" w14:textId="776F3E93" w:rsidR="00D02B50" w:rsidRPr="0048464A" w:rsidRDefault="00D02B50" w:rsidP="00D02B50">
      <w:pPr>
        <w:spacing w:beforeLines="50" w:before="156" w:afterLines="50" w:after="156" w:line="360" w:lineRule="auto"/>
        <w:ind w:firstLine="480"/>
        <w:rPr>
          <w:rFonts w:cs="Times New Roman"/>
          <w:sz w:val="24"/>
          <w:szCs w:val="24"/>
        </w:rPr>
      </w:pPr>
      <w:r w:rsidRPr="0048464A">
        <w:rPr>
          <w:rFonts w:cs="Times New Roman"/>
          <w:sz w:val="24"/>
          <w:szCs w:val="24"/>
        </w:rPr>
        <w:t>截至</w:t>
      </w:r>
      <w:proofErr w:type="gramStart"/>
      <w:r w:rsidRPr="0048464A">
        <w:rPr>
          <w:rFonts w:cs="Times New Roman"/>
          <w:sz w:val="24"/>
          <w:szCs w:val="24"/>
        </w:rPr>
        <w:t>本说明</w:t>
      </w:r>
      <w:proofErr w:type="gramEnd"/>
      <w:r w:rsidRPr="0048464A">
        <w:rPr>
          <w:rFonts w:cs="Times New Roman"/>
          <w:sz w:val="24"/>
          <w:szCs w:val="24"/>
        </w:rPr>
        <w:t>出具</w:t>
      </w:r>
      <w:r w:rsidR="0048464A">
        <w:rPr>
          <w:rFonts w:cs="Times New Roman" w:hint="eastAsia"/>
          <w:sz w:val="24"/>
          <w:szCs w:val="24"/>
        </w:rPr>
        <w:t>之</w:t>
      </w:r>
      <w:r w:rsidRPr="0048464A">
        <w:rPr>
          <w:rFonts w:cs="Times New Roman"/>
          <w:sz w:val="24"/>
          <w:szCs w:val="24"/>
        </w:rPr>
        <w:t>日，本次交易相关主体不存在因涉嫌本次重大资产重组相关的内幕交易被立案调查或立案侦查的情况，不存在泄露本次交易内幕信息以及利用本次交易信息进行内幕交易的情形，最近</w:t>
      </w:r>
      <w:r w:rsidRPr="0048464A">
        <w:rPr>
          <w:rFonts w:cs="Times New Roman"/>
          <w:sz w:val="24"/>
          <w:szCs w:val="24"/>
        </w:rPr>
        <w:t>36</w:t>
      </w:r>
      <w:r w:rsidRPr="0048464A">
        <w:rPr>
          <w:rFonts w:cs="Times New Roman"/>
          <w:sz w:val="24"/>
          <w:szCs w:val="24"/>
        </w:rPr>
        <w:t>个月内不存在因与重大资产重组相关的内幕交易被中国证券监督管理委员会</w:t>
      </w:r>
      <w:proofErr w:type="gramStart"/>
      <w:r w:rsidRPr="0048464A">
        <w:rPr>
          <w:rFonts w:cs="Times New Roman"/>
          <w:sz w:val="24"/>
          <w:szCs w:val="24"/>
        </w:rPr>
        <w:t>作</w:t>
      </w:r>
      <w:proofErr w:type="gramEnd"/>
      <w:r w:rsidRPr="0048464A">
        <w:rPr>
          <w:rFonts w:cs="Times New Roman"/>
          <w:sz w:val="24"/>
          <w:szCs w:val="24"/>
        </w:rPr>
        <w:t>出行政处罚或者司法机关依法追究刑事责任的情形，不存在依据《上市公司监管指引第</w:t>
      </w:r>
      <w:r w:rsidRPr="0048464A">
        <w:rPr>
          <w:rFonts w:cs="Times New Roman"/>
          <w:sz w:val="24"/>
          <w:szCs w:val="24"/>
        </w:rPr>
        <w:t>7</w:t>
      </w:r>
      <w:r w:rsidRPr="0048464A">
        <w:rPr>
          <w:rFonts w:cs="Times New Roman"/>
          <w:sz w:val="24"/>
          <w:szCs w:val="24"/>
        </w:rPr>
        <w:t>号</w:t>
      </w:r>
      <w:r w:rsidRPr="0048464A">
        <w:rPr>
          <w:rFonts w:cs="Times New Roman"/>
          <w:sz w:val="24"/>
          <w:szCs w:val="24"/>
        </w:rPr>
        <w:t>——</w:t>
      </w:r>
      <w:r w:rsidRPr="0048464A">
        <w:rPr>
          <w:rFonts w:cs="Times New Roman"/>
          <w:sz w:val="24"/>
          <w:szCs w:val="24"/>
        </w:rPr>
        <w:t>上市公司重大资产重组相关股票异常交易监管》第十二条或《上海证券交易所上市公司自律监管指引第</w:t>
      </w:r>
      <w:r w:rsidRPr="0048464A">
        <w:rPr>
          <w:rFonts w:cs="Times New Roman"/>
          <w:sz w:val="24"/>
          <w:szCs w:val="24"/>
        </w:rPr>
        <w:t>6</w:t>
      </w:r>
      <w:r w:rsidRPr="0048464A">
        <w:rPr>
          <w:rFonts w:cs="Times New Roman"/>
          <w:sz w:val="24"/>
          <w:szCs w:val="24"/>
        </w:rPr>
        <w:t>号</w:t>
      </w:r>
      <w:r w:rsidRPr="0048464A">
        <w:rPr>
          <w:rFonts w:cs="Times New Roman"/>
          <w:sz w:val="24"/>
          <w:szCs w:val="24"/>
        </w:rPr>
        <w:t>——</w:t>
      </w:r>
      <w:r w:rsidRPr="0048464A">
        <w:rPr>
          <w:rFonts w:cs="Times New Roman"/>
          <w:sz w:val="24"/>
          <w:szCs w:val="24"/>
        </w:rPr>
        <w:t>重大资产重组》第三十条不得参与任何上市公司的重大资产重组的情形。</w:t>
      </w:r>
    </w:p>
    <w:p w14:paraId="69EB6CD5" w14:textId="52A9FC57" w:rsidR="008A3E23" w:rsidRPr="0048464A" w:rsidRDefault="00D02B50" w:rsidP="00D02B50">
      <w:pPr>
        <w:spacing w:beforeLines="50" w:before="156" w:afterLines="50" w:after="156" w:line="360" w:lineRule="auto"/>
        <w:ind w:firstLine="480"/>
        <w:rPr>
          <w:rFonts w:cs="Times New Roman"/>
          <w:sz w:val="24"/>
          <w:szCs w:val="24"/>
        </w:rPr>
      </w:pPr>
      <w:r w:rsidRPr="0048464A">
        <w:rPr>
          <w:rFonts w:cs="Times New Roman"/>
          <w:sz w:val="24"/>
          <w:szCs w:val="24"/>
        </w:rPr>
        <w:t>上述交易相关主体包括：上市公司及其董事、监事、高级管理人员，上市公司控股股东及其董事、监事、高级管理人员；交易对方及其董事、监事、高级管理人员；标的公司及其董事、监事、高级管理人员；为本次交易提供服务的中介机构及其经办人员</w:t>
      </w:r>
      <w:r w:rsidR="008A3E23" w:rsidRPr="0048464A">
        <w:rPr>
          <w:rFonts w:cs="Times New Roman"/>
          <w:bCs/>
          <w:color w:val="000000"/>
          <w:kern w:val="0"/>
          <w:sz w:val="24"/>
          <w:szCs w:val="28"/>
        </w:rPr>
        <w:t>。</w:t>
      </w:r>
    </w:p>
    <w:p w14:paraId="6B975002" w14:textId="77777777" w:rsidR="008A3E23" w:rsidRPr="0048464A" w:rsidRDefault="008A3E23" w:rsidP="008A3E23">
      <w:pPr>
        <w:widowControl/>
        <w:adjustRightInd w:val="0"/>
        <w:snapToGrid w:val="0"/>
        <w:spacing w:line="500" w:lineRule="exact"/>
        <w:ind w:firstLineChars="200" w:firstLine="480"/>
        <w:rPr>
          <w:rFonts w:cs="Times New Roman"/>
          <w:bCs/>
          <w:color w:val="000000"/>
          <w:kern w:val="0"/>
          <w:sz w:val="24"/>
          <w:szCs w:val="28"/>
        </w:rPr>
      </w:pPr>
      <w:r w:rsidRPr="0048464A">
        <w:rPr>
          <w:rFonts w:cs="Times New Roman"/>
          <w:bCs/>
          <w:color w:val="000000"/>
          <w:kern w:val="0"/>
          <w:sz w:val="24"/>
          <w:szCs w:val="28"/>
        </w:rPr>
        <w:t>特此说明。</w:t>
      </w:r>
    </w:p>
    <w:p w14:paraId="6CBA16A4" w14:textId="7E8B38CC" w:rsidR="008A3E23" w:rsidRPr="0048464A" w:rsidRDefault="008A3E23" w:rsidP="00DF4F0F">
      <w:pPr>
        <w:widowControl/>
        <w:adjustRightInd w:val="0"/>
        <w:snapToGrid w:val="0"/>
        <w:spacing w:line="500" w:lineRule="exact"/>
        <w:ind w:firstLine="420"/>
        <w:rPr>
          <w:rFonts w:cs="Times New Roman"/>
          <w:sz w:val="24"/>
        </w:rPr>
      </w:pPr>
      <w:r w:rsidRPr="0048464A">
        <w:rPr>
          <w:rFonts w:cs="Times New Roman"/>
          <w:sz w:val="24"/>
          <w:szCs w:val="24"/>
        </w:rPr>
        <w:lastRenderedPageBreak/>
        <w:t>（以下无正文）</w:t>
      </w:r>
      <w:r w:rsidRPr="0048464A">
        <w:rPr>
          <w:rFonts w:cs="Times New Roman"/>
          <w:sz w:val="24"/>
          <w:szCs w:val="24"/>
        </w:rPr>
        <w:br w:type="page"/>
      </w:r>
    </w:p>
    <w:p w14:paraId="3A03863E" w14:textId="05088166" w:rsidR="008A3E23" w:rsidRPr="0048464A" w:rsidRDefault="008A3E23" w:rsidP="00D02B50">
      <w:pPr>
        <w:spacing w:beforeLines="50" w:before="156" w:afterLines="50" w:after="156" w:line="360" w:lineRule="auto"/>
        <w:rPr>
          <w:rFonts w:cs="Times New Roman"/>
          <w:sz w:val="24"/>
        </w:rPr>
      </w:pPr>
      <w:r w:rsidRPr="0048464A">
        <w:rPr>
          <w:rFonts w:cs="Times New Roman"/>
          <w:sz w:val="24"/>
        </w:rPr>
        <w:lastRenderedPageBreak/>
        <w:t>（此页无正文，为《</w:t>
      </w:r>
      <w:r w:rsidR="00D02B50" w:rsidRPr="0048464A">
        <w:rPr>
          <w:rFonts w:cs="Times New Roman"/>
          <w:sz w:val="24"/>
        </w:rPr>
        <w:t>安徽省交通建设股份有限公司董事会</w:t>
      </w:r>
      <w:r w:rsidR="001B33A9" w:rsidRPr="001B33A9">
        <w:rPr>
          <w:rFonts w:cs="Times New Roman" w:hint="eastAsia"/>
          <w:sz w:val="24"/>
        </w:rPr>
        <w:t>关于本次交易相关主体不存在依据</w:t>
      </w:r>
      <w:r w:rsidR="001B33A9">
        <w:rPr>
          <w:rFonts w:cs="Times New Roman" w:hint="eastAsia"/>
          <w:sz w:val="24"/>
        </w:rPr>
        <w:t>&lt;</w:t>
      </w:r>
      <w:r w:rsidR="001B33A9" w:rsidRPr="001B33A9">
        <w:rPr>
          <w:rFonts w:cs="Times New Roman" w:hint="eastAsia"/>
          <w:sz w:val="24"/>
        </w:rPr>
        <w:t>上市公司监管指引第</w:t>
      </w:r>
      <w:r w:rsidR="001B33A9" w:rsidRPr="001B33A9">
        <w:rPr>
          <w:rFonts w:cs="Times New Roman" w:hint="eastAsia"/>
          <w:sz w:val="24"/>
        </w:rPr>
        <w:t>7</w:t>
      </w:r>
      <w:r w:rsidR="001B33A9" w:rsidRPr="001B33A9">
        <w:rPr>
          <w:rFonts w:cs="Times New Roman" w:hint="eastAsia"/>
          <w:sz w:val="24"/>
        </w:rPr>
        <w:t>号—上市公司重大资产重组相关股票异常交易监管</w:t>
      </w:r>
      <w:r w:rsidR="001B33A9">
        <w:rPr>
          <w:rFonts w:cs="Times New Roman" w:hint="eastAsia"/>
          <w:sz w:val="24"/>
        </w:rPr>
        <w:t>&gt;</w:t>
      </w:r>
      <w:r w:rsidR="001B33A9" w:rsidRPr="001B33A9">
        <w:rPr>
          <w:rFonts w:cs="Times New Roman" w:hint="eastAsia"/>
          <w:sz w:val="24"/>
        </w:rPr>
        <w:t>第十二条或</w:t>
      </w:r>
      <w:r w:rsidR="001B33A9">
        <w:rPr>
          <w:rFonts w:cs="Times New Roman" w:hint="eastAsia"/>
          <w:sz w:val="24"/>
        </w:rPr>
        <w:t>&lt;</w:t>
      </w:r>
      <w:r w:rsidR="001B33A9" w:rsidRPr="001B33A9">
        <w:rPr>
          <w:rFonts w:cs="Times New Roman" w:hint="eastAsia"/>
          <w:sz w:val="24"/>
        </w:rPr>
        <w:t>上海证券交易所上市公司自律监管指引第</w:t>
      </w:r>
      <w:r w:rsidR="001B33A9" w:rsidRPr="001B33A9">
        <w:rPr>
          <w:rFonts w:cs="Times New Roman" w:hint="eastAsia"/>
          <w:sz w:val="24"/>
        </w:rPr>
        <w:t>6</w:t>
      </w:r>
      <w:r w:rsidR="001B33A9" w:rsidRPr="001B33A9">
        <w:rPr>
          <w:rFonts w:cs="Times New Roman" w:hint="eastAsia"/>
          <w:sz w:val="24"/>
        </w:rPr>
        <w:t>号—重大资产重组</w:t>
      </w:r>
      <w:r w:rsidR="001B33A9">
        <w:rPr>
          <w:rFonts w:cs="Times New Roman" w:hint="eastAsia"/>
          <w:sz w:val="24"/>
        </w:rPr>
        <w:t>&gt;</w:t>
      </w:r>
      <w:r w:rsidR="001B33A9" w:rsidRPr="001B33A9">
        <w:rPr>
          <w:rFonts w:cs="Times New Roman" w:hint="eastAsia"/>
          <w:sz w:val="24"/>
        </w:rPr>
        <w:t>第三十条情形的说明</w:t>
      </w:r>
      <w:r w:rsidRPr="0048464A">
        <w:rPr>
          <w:rFonts w:cs="Times New Roman"/>
          <w:sz w:val="24"/>
        </w:rPr>
        <w:t>》之盖章页）</w:t>
      </w:r>
    </w:p>
    <w:p w14:paraId="3C597F2C" w14:textId="77777777" w:rsidR="008A3E23" w:rsidRPr="0048464A" w:rsidRDefault="008A3E23" w:rsidP="008A3E23">
      <w:pPr>
        <w:spacing w:beforeLines="50" w:before="156" w:afterLines="50" w:after="156" w:line="360" w:lineRule="auto"/>
        <w:rPr>
          <w:rFonts w:cs="Times New Roman"/>
          <w:sz w:val="24"/>
        </w:rPr>
      </w:pPr>
    </w:p>
    <w:p w14:paraId="50708C5B" w14:textId="77777777" w:rsidR="008A3E23" w:rsidRPr="0048464A" w:rsidRDefault="008A3E23" w:rsidP="008A3E23">
      <w:pPr>
        <w:spacing w:beforeLines="50" w:before="156" w:afterLines="50" w:after="156" w:line="360" w:lineRule="auto"/>
        <w:rPr>
          <w:rFonts w:cs="Times New Roman"/>
          <w:sz w:val="24"/>
        </w:rPr>
      </w:pPr>
    </w:p>
    <w:p w14:paraId="08C562F1" w14:textId="77777777" w:rsidR="008A3E23" w:rsidRPr="0048464A" w:rsidRDefault="008A3E23" w:rsidP="008A3E23">
      <w:pPr>
        <w:spacing w:beforeLines="50" w:before="156" w:afterLines="50" w:after="156" w:line="360" w:lineRule="auto"/>
        <w:rPr>
          <w:rFonts w:cs="Times New Roman"/>
          <w:sz w:val="24"/>
        </w:rPr>
      </w:pPr>
    </w:p>
    <w:p w14:paraId="17716FE6" w14:textId="77777777" w:rsidR="008A3E23" w:rsidRPr="0048464A" w:rsidRDefault="008A3E23" w:rsidP="008A3E23">
      <w:pPr>
        <w:spacing w:beforeLines="50" w:before="156" w:afterLines="50" w:after="156" w:line="360" w:lineRule="auto"/>
        <w:ind w:firstLine="480"/>
        <w:jc w:val="right"/>
        <w:rPr>
          <w:rFonts w:cs="Times New Roman"/>
          <w:sz w:val="24"/>
        </w:rPr>
      </w:pPr>
    </w:p>
    <w:p w14:paraId="75DE94CE" w14:textId="4740F524" w:rsidR="008A3E23" w:rsidRPr="0048464A" w:rsidRDefault="008A3E23" w:rsidP="008A3E23">
      <w:pPr>
        <w:spacing w:beforeLines="50" w:before="156" w:afterLines="50" w:after="156" w:line="360" w:lineRule="auto"/>
        <w:ind w:firstLine="480"/>
        <w:jc w:val="right"/>
        <w:rPr>
          <w:rFonts w:cs="Times New Roman"/>
          <w:sz w:val="24"/>
        </w:rPr>
      </w:pPr>
      <w:r w:rsidRPr="0048464A">
        <w:rPr>
          <w:rFonts w:cs="Times New Roman"/>
          <w:sz w:val="24"/>
        </w:rPr>
        <w:t>安徽省交通建设股份有限公司董事会</w:t>
      </w:r>
    </w:p>
    <w:p w14:paraId="76FFA343" w14:textId="55DA8A73" w:rsidR="008A3E23" w:rsidRPr="0048464A" w:rsidRDefault="00821D67" w:rsidP="008A3E23">
      <w:pPr>
        <w:spacing w:beforeLines="50" w:before="156" w:afterLines="50" w:after="156" w:line="360" w:lineRule="auto"/>
        <w:ind w:firstLine="480"/>
        <w:jc w:val="right"/>
        <w:rPr>
          <w:rFonts w:cs="Times New Roman"/>
          <w:sz w:val="24"/>
        </w:rPr>
      </w:pPr>
      <w:r>
        <w:rPr>
          <w:rFonts w:cs="Times New Roman" w:hint="eastAsia"/>
          <w:sz w:val="24"/>
        </w:rPr>
        <w:t>2</w:t>
      </w:r>
      <w:r>
        <w:rPr>
          <w:rFonts w:cs="Times New Roman"/>
          <w:sz w:val="24"/>
        </w:rPr>
        <w:t>02</w:t>
      </w:r>
      <w:r w:rsidR="00781C33">
        <w:rPr>
          <w:rFonts w:cs="Times New Roman" w:hint="eastAsia"/>
          <w:sz w:val="24"/>
        </w:rPr>
        <w:t>4</w:t>
      </w:r>
      <w:r w:rsidR="008A3E23" w:rsidRPr="0048464A">
        <w:rPr>
          <w:rFonts w:cs="Times New Roman"/>
          <w:sz w:val="24"/>
        </w:rPr>
        <w:t>年</w:t>
      </w:r>
      <w:r w:rsidR="00AB35A1">
        <w:rPr>
          <w:rFonts w:cs="Times New Roman"/>
          <w:sz w:val="24"/>
        </w:rPr>
        <w:t>3</w:t>
      </w:r>
      <w:r w:rsidR="008A3E23" w:rsidRPr="0048464A">
        <w:rPr>
          <w:rFonts w:cs="Times New Roman"/>
          <w:sz w:val="24"/>
        </w:rPr>
        <w:t>月</w:t>
      </w:r>
      <w:r w:rsidR="002D4E76">
        <w:rPr>
          <w:rFonts w:cs="Times New Roman" w:hint="eastAsia"/>
          <w:sz w:val="24"/>
        </w:rPr>
        <w:t>2</w:t>
      </w:r>
      <w:r w:rsidR="002D4E76">
        <w:rPr>
          <w:rFonts w:cs="Times New Roman"/>
          <w:sz w:val="24"/>
        </w:rPr>
        <w:t>7</w:t>
      </w:r>
      <w:r w:rsidR="008A3E23" w:rsidRPr="0048464A">
        <w:rPr>
          <w:rFonts w:cs="Times New Roman"/>
          <w:sz w:val="24"/>
        </w:rPr>
        <w:t>日</w:t>
      </w:r>
    </w:p>
    <w:p w14:paraId="48272811" w14:textId="77777777" w:rsidR="008A3E23" w:rsidRPr="0048464A" w:rsidRDefault="008A3E23" w:rsidP="008A3E23">
      <w:pPr>
        <w:spacing w:beforeLines="50" w:before="156" w:afterLines="50" w:after="156" w:line="360" w:lineRule="auto"/>
        <w:rPr>
          <w:rFonts w:cs="Times New Roman"/>
          <w:sz w:val="23"/>
          <w:szCs w:val="23"/>
        </w:rPr>
      </w:pPr>
    </w:p>
    <w:p w14:paraId="4A2D04E4" w14:textId="105D6FD1" w:rsidR="00D353FD" w:rsidRPr="0048464A" w:rsidRDefault="00D353FD" w:rsidP="008A3E23">
      <w:pPr>
        <w:spacing w:beforeLines="50" w:before="156" w:afterLines="50" w:after="156" w:line="360" w:lineRule="auto"/>
        <w:ind w:firstLine="480"/>
        <w:rPr>
          <w:rFonts w:cs="Times New Roman"/>
          <w:sz w:val="24"/>
          <w:szCs w:val="24"/>
        </w:rPr>
      </w:pPr>
    </w:p>
    <w:sectPr w:rsidR="00D353FD" w:rsidRPr="0048464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92FC5" w14:textId="77777777" w:rsidR="005C035C" w:rsidRDefault="005C035C" w:rsidP="003C48E7">
      <w:r>
        <w:separator/>
      </w:r>
    </w:p>
  </w:endnote>
  <w:endnote w:type="continuationSeparator" w:id="0">
    <w:p w14:paraId="7EDF5D3C" w14:textId="77777777" w:rsidR="005C035C" w:rsidRDefault="005C035C" w:rsidP="003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55297"/>
      <w:docPartObj>
        <w:docPartGallery w:val="Page Numbers (Bottom of Page)"/>
        <w:docPartUnique/>
      </w:docPartObj>
    </w:sdtPr>
    <w:sdtEndPr/>
    <w:sdtContent>
      <w:p w14:paraId="253A78CD" w14:textId="5B955936" w:rsidR="008A3E23" w:rsidRDefault="008A3E23">
        <w:pPr>
          <w:pStyle w:val="a3"/>
          <w:jc w:val="center"/>
        </w:pPr>
        <w:r>
          <w:fldChar w:fldCharType="begin"/>
        </w:r>
        <w:r>
          <w:instrText>PAGE   \* MERGEFORMAT</w:instrText>
        </w:r>
        <w:r>
          <w:fldChar w:fldCharType="separate"/>
        </w:r>
        <w:r>
          <w:rPr>
            <w:lang w:val="zh-CN"/>
          </w:rPr>
          <w:t>2</w:t>
        </w:r>
        <w:r>
          <w:fldChar w:fldCharType="end"/>
        </w:r>
      </w:p>
    </w:sdtContent>
  </w:sdt>
  <w:p w14:paraId="0C9DD19E" w14:textId="77777777" w:rsidR="008A3E23" w:rsidRDefault="008A3E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9926F" w14:textId="77777777" w:rsidR="005C035C" w:rsidRDefault="005C035C" w:rsidP="003C48E7">
      <w:r>
        <w:separator/>
      </w:r>
    </w:p>
  </w:footnote>
  <w:footnote w:type="continuationSeparator" w:id="0">
    <w:p w14:paraId="26A2F02D" w14:textId="77777777" w:rsidR="005C035C" w:rsidRDefault="005C035C" w:rsidP="003C4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0MmZhOWEzOTc2NjRhNDIyNWMyZWZjNDY5NGI1MmYifQ=="/>
  </w:docVars>
  <w:rsids>
    <w:rsidRoot w:val="002E220D"/>
    <w:rsid w:val="000167EF"/>
    <w:rsid w:val="000A76D3"/>
    <w:rsid w:val="000D4E69"/>
    <w:rsid w:val="00165A34"/>
    <w:rsid w:val="00194455"/>
    <w:rsid w:val="001B33A9"/>
    <w:rsid w:val="002518C2"/>
    <w:rsid w:val="002A11D0"/>
    <w:rsid w:val="002C7669"/>
    <w:rsid w:val="002D0B00"/>
    <w:rsid w:val="002D447F"/>
    <w:rsid w:val="002D4E76"/>
    <w:rsid w:val="002E220D"/>
    <w:rsid w:val="003C48E7"/>
    <w:rsid w:val="003D3E8B"/>
    <w:rsid w:val="004144F1"/>
    <w:rsid w:val="004536E6"/>
    <w:rsid w:val="004658BC"/>
    <w:rsid w:val="0048464A"/>
    <w:rsid w:val="00491F0B"/>
    <w:rsid w:val="00500FF2"/>
    <w:rsid w:val="0050537E"/>
    <w:rsid w:val="00547B68"/>
    <w:rsid w:val="005B4EB6"/>
    <w:rsid w:val="005C035C"/>
    <w:rsid w:val="00614FF7"/>
    <w:rsid w:val="006847D1"/>
    <w:rsid w:val="00781C33"/>
    <w:rsid w:val="007E067C"/>
    <w:rsid w:val="0082199A"/>
    <w:rsid w:val="00821D67"/>
    <w:rsid w:val="00890B52"/>
    <w:rsid w:val="008A3E23"/>
    <w:rsid w:val="00914043"/>
    <w:rsid w:val="00951CD8"/>
    <w:rsid w:val="009E46D9"/>
    <w:rsid w:val="009F3AE9"/>
    <w:rsid w:val="00A034B5"/>
    <w:rsid w:val="00A24895"/>
    <w:rsid w:val="00A552AA"/>
    <w:rsid w:val="00AA2FEB"/>
    <w:rsid w:val="00AB35A1"/>
    <w:rsid w:val="00B50C9A"/>
    <w:rsid w:val="00BB0BE8"/>
    <w:rsid w:val="00BF356D"/>
    <w:rsid w:val="00C617B2"/>
    <w:rsid w:val="00C91FCA"/>
    <w:rsid w:val="00D02B50"/>
    <w:rsid w:val="00D07503"/>
    <w:rsid w:val="00D2076B"/>
    <w:rsid w:val="00D353FD"/>
    <w:rsid w:val="00D36C9F"/>
    <w:rsid w:val="00D4502E"/>
    <w:rsid w:val="00DA492B"/>
    <w:rsid w:val="00DF4F0F"/>
    <w:rsid w:val="00E45A4C"/>
    <w:rsid w:val="00E50416"/>
    <w:rsid w:val="00EA5F25"/>
    <w:rsid w:val="00EF3AB5"/>
    <w:rsid w:val="00F51C13"/>
    <w:rsid w:val="00F72169"/>
    <w:rsid w:val="00F84C9F"/>
    <w:rsid w:val="00FA3044"/>
    <w:rsid w:val="5040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AA843"/>
  <w15:docId w15:val="{D5CFBBF0-D230-4F8D-A850-25879505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0"/>
    <w:uiPriority w:val="9"/>
    <w:qFormat/>
    <w:pPr>
      <w:keepNext/>
      <w:keepLines/>
      <w:jc w:val="left"/>
      <w:outlineLvl w:val="0"/>
    </w:pPr>
    <w:rPr>
      <w:b/>
      <w:bCs/>
      <w:kern w:val="44"/>
      <w:sz w:val="30"/>
      <w:szCs w:val="44"/>
    </w:rPr>
  </w:style>
  <w:style w:type="paragraph" w:styleId="2">
    <w:name w:val="heading 2"/>
    <w:basedOn w:val="a"/>
    <w:next w:val="a"/>
    <w:link w:val="20"/>
    <w:uiPriority w:val="9"/>
    <w:unhideWhenUsed/>
    <w:qFormat/>
    <w:pPr>
      <w:keepNext/>
      <w:keepLines/>
      <w:jc w:val="left"/>
      <w:outlineLvl w:val="1"/>
    </w:pPr>
    <w:rPr>
      <w:rFonts w:asciiTheme="majorHAnsi" w:hAnsiTheme="majorHAnsi" w:cstheme="majorBidi"/>
      <w:b/>
      <w:bCs/>
      <w:sz w:val="28"/>
      <w:szCs w:val="32"/>
    </w:rPr>
  </w:style>
  <w:style w:type="paragraph" w:styleId="3">
    <w:name w:val="heading 3"/>
    <w:basedOn w:val="a"/>
    <w:next w:val="a"/>
    <w:link w:val="30"/>
    <w:uiPriority w:val="9"/>
    <w:semiHidden/>
    <w:unhideWhenUsed/>
    <w:qFormat/>
    <w:pPr>
      <w:keepNext/>
      <w:keepLines/>
      <w:jc w:val="left"/>
      <w:outlineLvl w:val="2"/>
    </w:pPr>
    <w:rPr>
      <w:b/>
      <w:bCs/>
      <w:sz w:val="24"/>
      <w:szCs w:val="32"/>
    </w:rPr>
  </w:style>
  <w:style w:type="paragraph" w:styleId="4">
    <w:name w:val="heading 4"/>
    <w:basedOn w:val="a"/>
    <w:next w:val="a"/>
    <w:link w:val="40"/>
    <w:uiPriority w:val="9"/>
    <w:unhideWhenUsed/>
    <w:qFormat/>
    <w:pPr>
      <w:keepNext/>
      <w:keepLines/>
      <w:jc w:val="left"/>
      <w:outlineLvl w:val="3"/>
    </w:pPr>
    <w:rPr>
      <w:rFonts w:asciiTheme="majorHAnsi" w:hAnsiTheme="majorHAnsi" w:cstheme="majorBidi"/>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eastAsia="宋体"/>
      <w:b/>
      <w:bCs/>
      <w:kern w:val="44"/>
      <w:sz w:val="30"/>
      <w:szCs w:val="44"/>
    </w:rPr>
  </w:style>
  <w:style w:type="character" w:customStyle="1" w:styleId="20">
    <w:name w:val="标题 2 字符"/>
    <w:basedOn w:val="a0"/>
    <w:link w:val="2"/>
    <w:uiPriority w:val="9"/>
    <w:qFormat/>
    <w:rPr>
      <w:rFonts w:asciiTheme="majorHAnsi" w:eastAsia="宋体" w:hAnsiTheme="majorHAnsi" w:cstheme="majorBidi"/>
      <w:b/>
      <w:bCs/>
      <w:sz w:val="28"/>
      <w:szCs w:val="32"/>
    </w:rPr>
  </w:style>
  <w:style w:type="character" w:customStyle="1" w:styleId="30">
    <w:name w:val="标题 3 字符"/>
    <w:basedOn w:val="a0"/>
    <w:link w:val="3"/>
    <w:uiPriority w:val="9"/>
    <w:semiHidden/>
    <w:qFormat/>
    <w:rPr>
      <w:rFonts w:eastAsia="宋体"/>
      <w:b/>
      <w:bCs/>
      <w:sz w:val="24"/>
      <w:szCs w:val="32"/>
    </w:rPr>
  </w:style>
  <w:style w:type="character" w:customStyle="1" w:styleId="40">
    <w:name w:val="标题 4 字符"/>
    <w:basedOn w:val="a0"/>
    <w:link w:val="4"/>
    <w:uiPriority w:val="9"/>
    <w:rPr>
      <w:rFonts w:asciiTheme="majorHAnsi" w:eastAsia="宋体" w:hAnsiTheme="majorHAnsi" w:cstheme="majorBidi"/>
      <w:bCs/>
      <w:i/>
      <w:szCs w:val="2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sz w:val="18"/>
      <w:szCs w:val="18"/>
    </w:rPr>
  </w:style>
  <w:style w:type="character" w:customStyle="1" w:styleId="a4">
    <w:name w:val="页脚 字符"/>
    <w:basedOn w:val="a0"/>
    <w:link w:val="a3"/>
    <w:uiPriority w:val="99"/>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4E37-D9B4-47B0-959F-2305B5B0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1250918346@qq.com</dc:creator>
  <cp:lastModifiedBy>刘健波</cp:lastModifiedBy>
  <cp:revision>27</cp:revision>
  <dcterms:created xsi:type="dcterms:W3CDTF">2021-04-21T07:35:00Z</dcterms:created>
  <dcterms:modified xsi:type="dcterms:W3CDTF">2024-03-26T11:46:00Z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CA6860471B154F79B336D8716A5D5E77</vt:lpwstr>
  </property>
</Properties>
</file>