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0CE7" w14:textId="5F314BFD" w:rsidR="00BB4AF1" w:rsidRPr="0045736D" w:rsidRDefault="00602F34" w:rsidP="00BB4AF1">
      <w:pPr>
        <w:spacing w:line="360" w:lineRule="auto"/>
        <w:jc w:val="center"/>
        <w:rPr>
          <w:rFonts w:ascii="宋体" w:eastAsia="宋体" w:hAnsi="宋体" w:cs="Times New Roman"/>
          <w:b/>
          <w:bCs/>
          <w:sz w:val="32"/>
          <w:szCs w:val="32"/>
        </w:rPr>
      </w:pPr>
      <w:bookmarkStart w:id="0" w:name="_Hlk140047456"/>
      <w:bookmarkStart w:id="1" w:name="_Hlk72074211"/>
      <w:r w:rsidRPr="00602F34">
        <w:rPr>
          <w:rFonts w:ascii="宋体" w:eastAsia="宋体" w:hAnsi="宋体" w:cs="Times New Roman" w:hint="eastAsia"/>
          <w:b/>
          <w:bCs/>
          <w:sz w:val="32"/>
          <w:szCs w:val="32"/>
        </w:rPr>
        <w:t>安徽省交通建设股份有限公司</w:t>
      </w:r>
      <w:bookmarkEnd w:id="0"/>
      <w:bookmarkEnd w:id="1"/>
      <w:r w:rsidR="00BB4AF1" w:rsidRPr="0045736D">
        <w:rPr>
          <w:rFonts w:ascii="宋体" w:eastAsia="宋体" w:hAnsi="宋体" w:cs="Times New Roman" w:hint="eastAsia"/>
          <w:b/>
          <w:bCs/>
          <w:sz w:val="32"/>
          <w:szCs w:val="32"/>
        </w:rPr>
        <w:t>独立董事</w:t>
      </w:r>
    </w:p>
    <w:p w14:paraId="4230BF67" w14:textId="6B1C2A65" w:rsidR="009A58AB" w:rsidRDefault="00BB4AF1" w:rsidP="00BB4AF1">
      <w:pPr>
        <w:spacing w:line="360" w:lineRule="auto"/>
        <w:jc w:val="center"/>
        <w:rPr>
          <w:rFonts w:ascii="宋体" w:eastAsia="宋体" w:hAnsi="宋体" w:cs="Times New Roman"/>
          <w:b/>
          <w:bCs/>
          <w:sz w:val="32"/>
          <w:szCs w:val="32"/>
        </w:rPr>
      </w:pPr>
      <w:r w:rsidRPr="0045736D">
        <w:rPr>
          <w:rFonts w:ascii="宋体" w:eastAsia="宋体" w:hAnsi="宋体" w:cs="Times New Roman" w:hint="eastAsia"/>
          <w:b/>
          <w:bCs/>
          <w:sz w:val="32"/>
          <w:szCs w:val="32"/>
        </w:rPr>
        <w:t>关于公司发行股份</w:t>
      </w:r>
      <w:r w:rsidR="004F3E75">
        <w:rPr>
          <w:rFonts w:ascii="宋体" w:eastAsia="宋体" w:hAnsi="宋体" w:cs="Times New Roman" w:hint="eastAsia"/>
          <w:b/>
          <w:bCs/>
          <w:sz w:val="32"/>
          <w:szCs w:val="32"/>
        </w:rPr>
        <w:t>及支付现金</w:t>
      </w:r>
      <w:r w:rsidRPr="0045736D">
        <w:rPr>
          <w:rFonts w:ascii="宋体" w:eastAsia="宋体" w:hAnsi="宋体" w:cs="Times New Roman" w:hint="eastAsia"/>
          <w:b/>
          <w:bCs/>
          <w:sz w:val="32"/>
          <w:szCs w:val="32"/>
        </w:rPr>
        <w:t>购买资产并募集配套资金</w:t>
      </w:r>
      <w:r w:rsidR="00B47203" w:rsidRPr="00B47203">
        <w:rPr>
          <w:rFonts w:ascii="宋体" w:eastAsia="宋体" w:hAnsi="宋体" w:cs="Times New Roman" w:hint="eastAsia"/>
          <w:b/>
          <w:bCs/>
          <w:sz w:val="32"/>
          <w:szCs w:val="32"/>
        </w:rPr>
        <w:t>暨关联交易</w:t>
      </w:r>
    </w:p>
    <w:p w14:paraId="27EDD9D6" w14:textId="6623A48A" w:rsidR="00BB4AF1" w:rsidRPr="0045736D" w:rsidRDefault="007D07DB" w:rsidP="00BB4AF1">
      <w:pPr>
        <w:spacing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相</w:t>
      </w:r>
      <w:r w:rsidR="00BB4AF1" w:rsidRPr="0045736D">
        <w:rPr>
          <w:rFonts w:ascii="宋体" w:eastAsia="宋体" w:hAnsi="宋体" w:cs="Times New Roman" w:hint="eastAsia"/>
          <w:b/>
          <w:bCs/>
          <w:sz w:val="32"/>
          <w:szCs w:val="32"/>
        </w:rPr>
        <w:t>关事项的事前认可意见</w:t>
      </w:r>
    </w:p>
    <w:p w14:paraId="7EA4B14B" w14:textId="77777777" w:rsidR="0045736D" w:rsidRDefault="0045736D" w:rsidP="005A6784">
      <w:pPr>
        <w:spacing w:line="500" w:lineRule="exact"/>
        <w:ind w:firstLineChars="200" w:firstLine="480"/>
        <w:jc w:val="both"/>
        <w:rPr>
          <w:rFonts w:ascii="宋体" w:eastAsia="宋体" w:hAnsi="宋体" w:cs="Times New Roman"/>
        </w:rPr>
      </w:pPr>
    </w:p>
    <w:p w14:paraId="7356DB98" w14:textId="799EB275" w:rsidR="004C53FA" w:rsidRPr="005E6FAC" w:rsidRDefault="0037622D" w:rsidP="005A6784">
      <w:pPr>
        <w:spacing w:line="500" w:lineRule="exact"/>
        <w:ind w:firstLineChars="200" w:firstLine="480"/>
        <w:jc w:val="both"/>
        <w:rPr>
          <w:rFonts w:ascii="Times New Roman" w:eastAsia="宋体" w:hAnsi="Times New Roman" w:cs="Times New Roman"/>
        </w:rPr>
      </w:pPr>
      <w:bookmarkStart w:id="2" w:name="_Hlk140045936"/>
      <w:bookmarkStart w:id="3" w:name="_Hlk142990268"/>
      <w:r w:rsidRPr="005E6FAC">
        <w:rPr>
          <w:rFonts w:ascii="Times New Roman" w:eastAsia="宋体" w:hAnsi="Times New Roman" w:cs="Times New Roman" w:hint="eastAsia"/>
        </w:rPr>
        <w:t>安徽省交通建设股份有限公司</w:t>
      </w:r>
      <w:bookmarkEnd w:id="2"/>
      <w:r w:rsidR="004C53FA" w:rsidRPr="005E6FAC">
        <w:rPr>
          <w:rFonts w:ascii="Times New Roman" w:eastAsia="宋体" w:hAnsi="Times New Roman" w:cs="Times New Roman" w:hint="eastAsia"/>
        </w:rPr>
        <w:t>（以下简称“公司”）拟通过发行股份</w:t>
      </w:r>
      <w:r w:rsidR="004F3E75" w:rsidRPr="005E6FAC">
        <w:rPr>
          <w:rFonts w:ascii="Times New Roman" w:eastAsia="宋体" w:hAnsi="Times New Roman" w:cs="Times New Roman" w:hint="eastAsia"/>
        </w:rPr>
        <w:t>及支付现金</w:t>
      </w:r>
      <w:r w:rsidR="004C53FA" w:rsidRPr="005E6FAC">
        <w:rPr>
          <w:rFonts w:ascii="Times New Roman" w:eastAsia="宋体" w:hAnsi="Times New Roman" w:cs="Times New Roman" w:hint="eastAsia"/>
        </w:rPr>
        <w:t>的方式</w:t>
      </w:r>
      <w:bookmarkStart w:id="4" w:name="_Hlk140046230"/>
      <w:r w:rsidRPr="005E6FAC">
        <w:rPr>
          <w:rFonts w:ascii="Times New Roman" w:eastAsia="宋体" w:hAnsi="Times New Roman" w:cs="Times New Roman" w:hint="eastAsia"/>
        </w:rPr>
        <w:t>购买无锡博达合一科技有限公司持有的无锡博达新能科技有限公司</w:t>
      </w:r>
      <w:r w:rsidR="0000707B" w:rsidRPr="005E6FAC">
        <w:rPr>
          <w:rFonts w:ascii="Times New Roman" w:eastAsia="宋体" w:hAnsi="Times New Roman" w:cs="Times New Roman"/>
        </w:rPr>
        <w:t>7</w:t>
      </w:r>
      <w:r w:rsidRPr="005E6FAC">
        <w:rPr>
          <w:rFonts w:ascii="Times New Roman" w:eastAsia="宋体" w:hAnsi="Times New Roman" w:cs="Times New Roman"/>
        </w:rPr>
        <w:t>0%</w:t>
      </w:r>
      <w:r w:rsidRPr="005E6FAC">
        <w:rPr>
          <w:rFonts w:ascii="Times New Roman" w:eastAsia="宋体" w:hAnsi="Times New Roman" w:cs="Times New Roman"/>
        </w:rPr>
        <w:t>股权</w:t>
      </w:r>
      <w:bookmarkEnd w:id="4"/>
      <w:r w:rsidR="00B47203">
        <w:rPr>
          <w:rFonts w:ascii="Times New Roman" w:eastAsia="宋体" w:hAnsi="Times New Roman" w:cs="Times New Roman" w:hint="eastAsia"/>
        </w:rPr>
        <w:t>，</w:t>
      </w:r>
      <w:r w:rsidR="00B47203" w:rsidRPr="00B47203">
        <w:rPr>
          <w:rFonts w:ascii="Times New Roman" w:eastAsia="宋体" w:hAnsi="Times New Roman" w:cs="Times New Roman" w:hint="eastAsia"/>
        </w:rPr>
        <w:t>其中</w:t>
      </w:r>
      <w:r w:rsidR="0016672E">
        <w:rPr>
          <w:rFonts w:ascii="Times New Roman" w:eastAsia="宋体" w:hAnsi="Times New Roman" w:cs="Times New Roman"/>
        </w:rPr>
        <w:t>90</w:t>
      </w:r>
      <w:r w:rsidR="00B47203" w:rsidRPr="00B47203">
        <w:rPr>
          <w:rFonts w:ascii="Times New Roman" w:eastAsia="宋体" w:hAnsi="Times New Roman" w:cs="Times New Roman"/>
        </w:rPr>
        <w:t>%</w:t>
      </w:r>
      <w:r w:rsidR="00B47203" w:rsidRPr="00B47203">
        <w:rPr>
          <w:rFonts w:ascii="Times New Roman" w:eastAsia="宋体" w:hAnsi="Times New Roman" w:cs="Times New Roman"/>
        </w:rPr>
        <w:t>的交易对价由公司以发行股份的方式支付，</w:t>
      </w:r>
      <w:r w:rsidR="00B47203" w:rsidRPr="00B47203">
        <w:rPr>
          <w:rFonts w:ascii="Times New Roman" w:eastAsia="宋体" w:hAnsi="Times New Roman" w:cs="Times New Roman"/>
        </w:rPr>
        <w:t>1</w:t>
      </w:r>
      <w:r w:rsidR="0016672E">
        <w:rPr>
          <w:rFonts w:ascii="Times New Roman" w:eastAsia="宋体" w:hAnsi="Times New Roman" w:cs="Times New Roman"/>
        </w:rPr>
        <w:t>0</w:t>
      </w:r>
      <w:r w:rsidR="00B47203" w:rsidRPr="00B47203">
        <w:rPr>
          <w:rFonts w:ascii="Times New Roman" w:eastAsia="宋体" w:hAnsi="Times New Roman" w:cs="Times New Roman"/>
        </w:rPr>
        <w:t>%</w:t>
      </w:r>
      <w:r w:rsidR="00B47203" w:rsidRPr="00B47203">
        <w:rPr>
          <w:rFonts w:ascii="Times New Roman" w:eastAsia="宋体" w:hAnsi="Times New Roman" w:cs="Times New Roman"/>
        </w:rPr>
        <w:t>的交易对价由公司以现金支付（以下简称</w:t>
      </w:r>
      <w:r w:rsidR="00B47203" w:rsidRPr="00B47203">
        <w:rPr>
          <w:rFonts w:ascii="Times New Roman" w:eastAsia="宋体" w:hAnsi="Times New Roman" w:cs="Times New Roman" w:hint="eastAsia"/>
        </w:rPr>
        <w:t>“本次重组”</w:t>
      </w:r>
      <w:r w:rsidR="00B47203" w:rsidRPr="00B47203">
        <w:rPr>
          <w:rFonts w:ascii="Times New Roman" w:eastAsia="宋体" w:hAnsi="Times New Roman" w:cs="Times New Roman"/>
        </w:rPr>
        <w:t>），同时公司拟向控股股东祥源控股集团有限责任公司</w:t>
      </w:r>
      <w:bookmarkStart w:id="5" w:name="_Hlk143370732"/>
      <w:r w:rsidR="006B6B79" w:rsidRPr="0020185F">
        <w:rPr>
          <w:rFonts w:ascii="Times New Roman" w:eastAsia="宋体" w:hAnsi="Times New Roman" w:cs="Times New Roman" w:hint="eastAsia"/>
        </w:rPr>
        <w:t>、实际控制人俞发祥</w:t>
      </w:r>
      <w:bookmarkEnd w:id="5"/>
      <w:r w:rsidR="00B47203" w:rsidRPr="00B47203">
        <w:rPr>
          <w:rFonts w:ascii="Times New Roman" w:eastAsia="宋体" w:hAnsi="Times New Roman" w:cs="Times New Roman"/>
        </w:rPr>
        <w:t>发行股份募集配套资金</w:t>
      </w:r>
      <w:bookmarkStart w:id="6" w:name="_Hlk143371376"/>
      <w:r w:rsidR="000A6378" w:rsidRPr="005E6FAC">
        <w:rPr>
          <w:rFonts w:ascii="Times New Roman" w:eastAsia="宋体" w:hAnsi="Times New Roman" w:cs="Times New Roman"/>
        </w:rPr>
        <w:t>（以下</w:t>
      </w:r>
      <w:r w:rsidR="000A6378">
        <w:rPr>
          <w:rFonts w:ascii="Times New Roman" w:eastAsia="宋体" w:hAnsi="Times New Roman" w:cs="Times New Roman" w:hint="eastAsia"/>
        </w:rPr>
        <w:t>简称“</w:t>
      </w:r>
      <w:r w:rsidR="000A6378" w:rsidRPr="005E6FAC">
        <w:rPr>
          <w:rFonts w:ascii="Times New Roman" w:eastAsia="宋体" w:hAnsi="Times New Roman" w:cs="Times New Roman"/>
        </w:rPr>
        <w:t>本次交易</w:t>
      </w:r>
      <w:r w:rsidR="000A6378">
        <w:rPr>
          <w:rFonts w:ascii="Times New Roman" w:eastAsia="宋体" w:hAnsi="Times New Roman" w:cs="Times New Roman" w:hint="eastAsia"/>
        </w:rPr>
        <w:t>”</w:t>
      </w:r>
      <w:r w:rsidR="000A6378" w:rsidRPr="005E6FAC">
        <w:rPr>
          <w:rFonts w:ascii="Times New Roman" w:eastAsia="宋体" w:hAnsi="Times New Roman" w:cs="Times New Roman"/>
        </w:rPr>
        <w:t>）</w:t>
      </w:r>
      <w:r w:rsidR="00ED5479">
        <w:rPr>
          <w:rFonts w:ascii="Times New Roman" w:eastAsia="宋体" w:hAnsi="Times New Roman" w:cs="Times New Roman" w:hint="eastAsia"/>
        </w:rPr>
        <w:t>。</w:t>
      </w:r>
      <w:bookmarkEnd w:id="6"/>
    </w:p>
    <w:bookmarkEnd w:id="3"/>
    <w:p w14:paraId="7DF4D530" w14:textId="321DF030" w:rsidR="00BB4AF1" w:rsidRPr="00A95634" w:rsidRDefault="00BB4AF1" w:rsidP="005A6784">
      <w:pPr>
        <w:spacing w:line="500" w:lineRule="exact"/>
        <w:ind w:firstLineChars="200" w:firstLine="480"/>
        <w:jc w:val="both"/>
        <w:rPr>
          <w:rFonts w:ascii="Times New Roman" w:eastAsia="宋体" w:hAnsi="Times New Roman" w:cs="Times New Roman"/>
        </w:rPr>
      </w:pPr>
      <w:r w:rsidRPr="005E6FAC">
        <w:rPr>
          <w:rFonts w:ascii="Times New Roman" w:eastAsia="宋体" w:hAnsi="Times New Roman" w:cs="Times New Roman" w:hint="eastAsia"/>
        </w:rPr>
        <w:t>根据《中华人民共和国公司法》</w:t>
      </w:r>
      <w:r w:rsidR="00B47203">
        <w:rPr>
          <w:rFonts w:ascii="Times New Roman" w:eastAsia="宋体" w:hAnsi="Times New Roman" w:cs="Times New Roman" w:hint="eastAsia"/>
        </w:rPr>
        <w:t>（以下简称“《公司法》”）</w:t>
      </w:r>
      <w:r w:rsidRPr="005E6FAC">
        <w:rPr>
          <w:rFonts w:ascii="Times New Roman" w:eastAsia="宋体" w:hAnsi="Times New Roman" w:cs="Times New Roman" w:hint="eastAsia"/>
        </w:rPr>
        <w:t>《中华人民共和国证券法》</w:t>
      </w:r>
      <w:r w:rsidR="00B47203">
        <w:rPr>
          <w:rFonts w:ascii="Times New Roman" w:eastAsia="宋体" w:hAnsi="Times New Roman" w:cs="Times New Roman" w:hint="eastAsia"/>
        </w:rPr>
        <w:t>（以下简称“《证券法》”）</w:t>
      </w:r>
      <w:r w:rsidRPr="005E6FAC">
        <w:rPr>
          <w:rFonts w:ascii="Times New Roman" w:eastAsia="宋体" w:hAnsi="Times New Roman" w:cs="Times New Roman" w:hint="eastAsia"/>
        </w:rPr>
        <w:t>《上市公司重大资产重组管理办法》《</w:t>
      </w:r>
      <w:bookmarkStart w:id="7" w:name="_Hlk140046246"/>
      <w:r w:rsidR="0037622D" w:rsidRPr="005E6FAC">
        <w:rPr>
          <w:rFonts w:ascii="Times New Roman" w:eastAsia="宋体" w:hAnsi="Times New Roman" w:cs="Times New Roman" w:hint="eastAsia"/>
        </w:rPr>
        <w:t>上市公司监管指引第</w:t>
      </w:r>
      <w:r w:rsidR="0037622D" w:rsidRPr="005E6FAC">
        <w:rPr>
          <w:rFonts w:ascii="Times New Roman" w:eastAsia="宋体" w:hAnsi="Times New Roman" w:cs="Times New Roman"/>
        </w:rPr>
        <w:t>9</w:t>
      </w:r>
      <w:r w:rsidR="0037622D" w:rsidRPr="005E6FAC">
        <w:rPr>
          <w:rFonts w:ascii="Times New Roman" w:eastAsia="宋体" w:hAnsi="Times New Roman" w:cs="Times New Roman"/>
        </w:rPr>
        <w:t>号</w:t>
      </w:r>
      <w:r w:rsidR="0037622D" w:rsidRPr="005E6FAC">
        <w:rPr>
          <w:rFonts w:ascii="Times New Roman" w:eastAsia="宋体" w:hAnsi="Times New Roman" w:cs="Times New Roman"/>
        </w:rPr>
        <w:t>——</w:t>
      </w:r>
      <w:r w:rsidR="0037622D" w:rsidRPr="005E6FAC">
        <w:rPr>
          <w:rFonts w:ascii="Times New Roman" w:eastAsia="宋体" w:hAnsi="Times New Roman" w:cs="Times New Roman"/>
        </w:rPr>
        <w:t>上市公司筹划和实施重大资产重组的监管要求</w:t>
      </w:r>
      <w:bookmarkEnd w:id="7"/>
      <w:r w:rsidRPr="005E6FAC">
        <w:rPr>
          <w:rFonts w:ascii="Times New Roman" w:eastAsia="宋体" w:hAnsi="Times New Roman" w:cs="Times New Roman" w:hint="eastAsia"/>
        </w:rPr>
        <w:t>》《</w:t>
      </w:r>
      <w:r w:rsidR="00267183" w:rsidRPr="00267183">
        <w:rPr>
          <w:rFonts w:ascii="Times New Roman" w:eastAsia="宋体" w:hAnsi="Times New Roman" w:cs="Times New Roman" w:hint="eastAsia"/>
        </w:rPr>
        <w:t>上市公司独立董事管理办法</w:t>
      </w:r>
      <w:r w:rsidRPr="005E6FAC">
        <w:rPr>
          <w:rFonts w:ascii="Times New Roman" w:eastAsia="宋体" w:hAnsi="Times New Roman" w:cs="Times New Roman" w:hint="eastAsia"/>
        </w:rPr>
        <w:t>》及《</w:t>
      </w:r>
      <w:r w:rsidR="0037622D" w:rsidRPr="005E6FAC">
        <w:rPr>
          <w:rFonts w:ascii="Times New Roman" w:eastAsia="宋体" w:hAnsi="Times New Roman" w:cs="Times New Roman" w:hint="eastAsia"/>
        </w:rPr>
        <w:t>安徽省交通建设股份有限公司</w:t>
      </w:r>
      <w:r w:rsidRPr="005E6FAC">
        <w:rPr>
          <w:rFonts w:ascii="Times New Roman" w:eastAsia="宋体" w:hAnsi="Times New Roman" w:cs="Times New Roman" w:hint="eastAsia"/>
        </w:rPr>
        <w:t>章程》（以下简称“《公司章程》”）等有关规定，我们作为公司的独立董事，已于会前获得并认真审阅了提交公司第</w:t>
      </w:r>
      <w:r w:rsidR="0000707B" w:rsidRPr="005E6FAC">
        <w:rPr>
          <w:rFonts w:ascii="Times New Roman" w:eastAsia="宋体" w:hAnsi="Times New Roman" w:cs="Times New Roman" w:hint="eastAsia"/>
        </w:rPr>
        <w:t>三</w:t>
      </w:r>
      <w:r w:rsidRPr="005E6FAC">
        <w:rPr>
          <w:rFonts w:ascii="Times New Roman" w:eastAsia="宋体" w:hAnsi="Times New Roman" w:cs="Times New Roman" w:hint="eastAsia"/>
        </w:rPr>
        <w:t>届董事会第</w:t>
      </w:r>
      <w:r w:rsidR="00DE57A4">
        <w:rPr>
          <w:rFonts w:ascii="Times New Roman" w:eastAsia="宋体" w:hAnsi="Times New Roman" w:cs="Times New Roman" w:hint="eastAsia"/>
        </w:rPr>
        <w:t>八</w:t>
      </w:r>
      <w:r w:rsidRPr="005E6FAC">
        <w:rPr>
          <w:rFonts w:ascii="Times New Roman" w:eastAsia="宋体" w:hAnsi="Times New Roman" w:cs="Times New Roman" w:hint="eastAsia"/>
        </w:rPr>
        <w:t>次会议审议的公司本次交易相关议案和文件，经认真审阅相关文件、审慎</w:t>
      </w:r>
      <w:r w:rsidRPr="00A95634">
        <w:rPr>
          <w:rFonts w:ascii="Times New Roman" w:eastAsia="宋体" w:hAnsi="Times New Roman" w:cs="Times New Roman"/>
        </w:rPr>
        <w:t>分析后，我们就公司本次交易事宜发表事前认可意见如下：</w:t>
      </w:r>
    </w:p>
    <w:p w14:paraId="47EADF22" w14:textId="77777777" w:rsidR="007E197B" w:rsidRDefault="00BB4AF1" w:rsidP="005A6784">
      <w:pPr>
        <w:spacing w:line="500" w:lineRule="exact"/>
        <w:ind w:firstLineChars="200" w:firstLine="480"/>
        <w:jc w:val="both"/>
        <w:rPr>
          <w:rFonts w:ascii="Times New Roman" w:eastAsia="宋体" w:hAnsi="Times New Roman" w:cs="Times New Roman"/>
        </w:rPr>
      </w:pPr>
      <w:r w:rsidRPr="00923EAB">
        <w:rPr>
          <w:rFonts w:ascii="Times New Roman" w:eastAsia="宋体" w:hAnsi="Times New Roman" w:cs="Times New Roman"/>
        </w:rPr>
        <w:t>1</w:t>
      </w:r>
      <w:r w:rsidRPr="00923EAB">
        <w:rPr>
          <w:rFonts w:ascii="Times New Roman" w:eastAsia="宋体" w:hAnsi="Times New Roman" w:cs="Times New Roman"/>
        </w:rPr>
        <w:t>、本次交易的方案切实可行，</w:t>
      </w:r>
      <w:r w:rsidR="007E197B" w:rsidRPr="00923EAB">
        <w:rPr>
          <w:rFonts w:ascii="Times New Roman" w:eastAsia="宋体" w:hAnsi="Times New Roman" w:cs="Times New Roman"/>
        </w:rPr>
        <w:t>符合《中华人民共和国公司法》《中华人民共和国证券法》《上市公司重大资产重组管理办法》等有关法律、法规和规范性文件以及《公司章程》的有关规定，不存在损害中小股东利益的情形。</w:t>
      </w:r>
    </w:p>
    <w:p w14:paraId="4C2F0517" w14:textId="72E7C380" w:rsidR="009A58AB" w:rsidRPr="00923EAB" w:rsidRDefault="009A58AB" w:rsidP="005A6784">
      <w:pPr>
        <w:spacing w:line="500" w:lineRule="exact"/>
        <w:ind w:firstLineChars="200" w:firstLine="480"/>
        <w:jc w:val="both"/>
        <w:rPr>
          <w:rFonts w:ascii="Times New Roman" w:eastAsia="宋体" w:hAnsi="Times New Roman" w:cs="Times New Roman"/>
        </w:rPr>
      </w:pPr>
      <w:r>
        <w:rPr>
          <w:rFonts w:ascii="Times New Roman" w:eastAsia="宋体" w:hAnsi="Times New Roman" w:cs="Times New Roman" w:hint="eastAsia"/>
        </w:rPr>
        <w:t>2</w:t>
      </w:r>
      <w:r w:rsidRPr="009A58AB">
        <w:rPr>
          <w:rFonts w:ascii="Times New Roman" w:eastAsia="宋体" w:hAnsi="Times New Roman" w:cs="Times New Roman"/>
        </w:rPr>
        <w:t>、本次交易将有助于公司进一步提高资产质量和规模，提升公司市场竞争力，有利于增强公司的盈利能力和可持续发展能力，有利于增强公司独立性，有利于公司的长远发展，符合公司和全体股东的利益，不存在损害中小股东利益的情况</w:t>
      </w:r>
      <w:r w:rsidR="005A6784">
        <w:rPr>
          <w:rFonts w:ascii="Times New Roman" w:eastAsia="宋体" w:hAnsi="Times New Roman" w:cs="Times New Roman" w:hint="eastAsia"/>
        </w:rPr>
        <w:t>。</w:t>
      </w:r>
    </w:p>
    <w:p w14:paraId="68F58051" w14:textId="121C8F5B" w:rsidR="00D72FEA" w:rsidRDefault="007E197B" w:rsidP="005A6784">
      <w:pPr>
        <w:spacing w:line="500" w:lineRule="exact"/>
        <w:ind w:firstLineChars="200" w:firstLine="480"/>
        <w:jc w:val="both"/>
        <w:rPr>
          <w:rFonts w:ascii="Times New Roman" w:eastAsia="宋体" w:hAnsi="Times New Roman" w:cs="Times New Roman"/>
        </w:rPr>
      </w:pPr>
      <w:r>
        <w:rPr>
          <w:rFonts w:ascii="Times New Roman" w:eastAsia="宋体" w:hAnsi="Times New Roman" w:cs="Times New Roman"/>
        </w:rPr>
        <w:lastRenderedPageBreak/>
        <w:t>3</w:t>
      </w:r>
      <w:r w:rsidR="00BB4AF1" w:rsidRPr="00923EAB">
        <w:rPr>
          <w:rFonts w:ascii="Times New Roman" w:eastAsia="宋体" w:hAnsi="Times New Roman" w:cs="Times New Roman"/>
        </w:rPr>
        <w:t>、</w:t>
      </w:r>
      <w:bookmarkStart w:id="8" w:name="_Hlk142990356"/>
      <w:r w:rsidR="00D72FEA" w:rsidRPr="00D72FEA">
        <w:rPr>
          <w:rFonts w:ascii="Times New Roman" w:eastAsia="宋体" w:hAnsi="Times New Roman" w:cs="Times New Roman"/>
        </w:rPr>
        <w:t>本次交易完成后，本次重组交易对方</w:t>
      </w:r>
      <w:r w:rsidR="00D72FEA" w:rsidRPr="005E6FAC">
        <w:rPr>
          <w:rFonts w:ascii="Times New Roman" w:eastAsia="宋体" w:hAnsi="Times New Roman" w:cs="Times New Roman" w:hint="eastAsia"/>
        </w:rPr>
        <w:t>无锡博达合一科技有限公司</w:t>
      </w:r>
      <w:r w:rsidR="00D72FEA">
        <w:rPr>
          <w:rFonts w:ascii="Times New Roman" w:eastAsia="宋体" w:hAnsi="Times New Roman" w:cs="Times New Roman" w:hint="eastAsia"/>
        </w:rPr>
        <w:t>预计将成为</w:t>
      </w:r>
      <w:r w:rsidR="00D72FEA" w:rsidRPr="00D72FEA">
        <w:rPr>
          <w:rFonts w:ascii="Times New Roman" w:eastAsia="宋体" w:hAnsi="Times New Roman" w:cs="Times New Roman"/>
        </w:rPr>
        <w:t>公司</w:t>
      </w:r>
      <w:r w:rsidR="00D72FEA">
        <w:rPr>
          <w:rFonts w:ascii="Times New Roman" w:eastAsia="宋体" w:hAnsi="Times New Roman" w:cs="Times New Roman" w:hint="eastAsia"/>
        </w:rPr>
        <w:t>持股</w:t>
      </w:r>
      <w:r w:rsidR="00D72FEA" w:rsidRPr="00D72FEA">
        <w:rPr>
          <w:rFonts w:ascii="Times New Roman" w:eastAsia="宋体" w:hAnsi="Times New Roman" w:cs="Times New Roman"/>
        </w:rPr>
        <w:t>5%</w:t>
      </w:r>
      <w:r w:rsidR="00D72FEA" w:rsidRPr="00D72FEA">
        <w:rPr>
          <w:rFonts w:ascii="Times New Roman" w:eastAsia="宋体" w:hAnsi="Times New Roman" w:cs="Times New Roman"/>
        </w:rPr>
        <w:t>以上的</w:t>
      </w:r>
      <w:r w:rsidR="00D72FEA">
        <w:rPr>
          <w:rFonts w:ascii="Times New Roman" w:eastAsia="宋体" w:hAnsi="Times New Roman" w:cs="Times New Roman" w:hint="eastAsia"/>
        </w:rPr>
        <w:t>股东</w:t>
      </w:r>
      <w:r w:rsidR="00D72FEA" w:rsidRPr="00D72FEA">
        <w:rPr>
          <w:rFonts w:ascii="Times New Roman" w:eastAsia="宋体" w:hAnsi="Times New Roman" w:cs="Times New Roman"/>
        </w:rPr>
        <w:t>，</w:t>
      </w:r>
      <w:r w:rsidR="00D72FEA" w:rsidRPr="00D72FEA">
        <w:rPr>
          <w:rFonts w:ascii="Times New Roman" w:eastAsia="宋体" w:hAnsi="Times New Roman" w:cs="Times New Roman" w:hint="eastAsia"/>
        </w:rPr>
        <w:t>根据《公司法》《证券法》《</w:t>
      </w:r>
      <w:r w:rsidR="00B47203" w:rsidRPr="00B47203">
        <w:rPr>
          <w:rFonts w:ascii="Times New Roman" w:eastAsia="宋体" w:hAnsi="Times New Roman" w:cs="Times New Roman" w:hint="eastAsia"/>
        </w:rPr>
        <w:t>上海证券交易所股票上市规则</w:t>
      </w:r>
      <w:r w:rsidR="00D72FEA" w:rsidRPr="00D72FEA">
        <w:rPr>
          <w:rFonts w:ascii="Times New Roman" w:eastAsia="宋体" w:hAnsi="Times New Roman" w:cs="Times New Roman" w:hint="eastAsia"/>
        </w:rPr>
        <w:t>》等法律、法规及规范性文件的相关规定</w:t>
      </w:r>
      <w:r w:rsidR="00D72FEA" w:rsidRPr="00D72FEA">
        <w:rPr>
          <w:rFonts w:ascii="Times New Roman" w:eastAsia="宋体" w:hAnsi="Times New Roman" w:cs="Times New Roman"/>
        </w:rPr>
        <w:t>，</w:t>
      </w:r>
      <w:r w:rsidR="00D72FEA" w:rsidRPr="005E6FAC">
        <w:rPr>
          <w:rFonts w:ascii="Times New Roman" w:eastAsia="宋体" w:hAnsi="Times New Roman" w:cs="Times New Roman" w:hint="eastAsia"/>
        </w:rPr>
        <w:t>无锡博达合一科技有限公司</w:t>
      </w:r>
      <w:r w:rsidR="00D72FEA" w:rsidRPr="00D72FEA">
        <w:rPr>
          <w:rFonts w:ascii="Times New Roman" w:eastAsia="宋体" w:hAnsi="Times New Roman" w:cs="Times New Roman"/>
        </w:rPr>
        <w:t>系公司潜在关联方。因此，本次发行股份及支付现金购买资产</w:t>
      </w:r>
      <w:r w:rsidR="00D72FEA">
        <w:rPr>
          <w:rFonts w:ascii="Times New Roman" w:eastAsia="宋体" w:hAnsi="Times New Roman" w:cs="Times New Roman" w:hint="eastAsia"/>
        </w:rPr>
        <w:t>预计</w:t>
      </w:r>
      <w:r w:rsidR="00D72FEA" w:rsidRPr="00D72FEA">
        <w:rPr>
          <w:rFonts w:ascii="Times New Roman" w:eastAsia="宋体" w:hAnsi="Times New Roman" w:cs="Times New Roman"/>
        </w:rPr>
        <w:t>构成关联交易</w:t>
      </w:r>
      <w:r w:rsidR="00D72FEA">
        <w:rPr>
          <w:rFonts w:ascii="Times New Roman" w:eastAsia="宋体" w:hAnsi="Times New Roman" w:cs="Times New Roman" w:hint="eastAsia"/>
        </w:rPr>
        <w:t>，</w:t>
      </w:r>
      <w:r w:rsidR="00D72FEA" w:rsidRPr="00D72FEA">
        <w:rPr>
          <w:rFonts w:ascii="Times New Roman" w:eastAsia="宋体" w:hAnsi="Times New Roman" w:cs="Times New Roman" w:hint="eastAsia"/>
        </w:rPr>
        <w:t>但不涉及董事和股东的回避表决安排</w:t>
      </w:r>
      <w:r w:rsidR="00D72FEA" w:rsidRPr="00D72FEA">
        <w:rPr>
          <w:rFonts w:ascii="Times New Roman" w:eastAsia="宋体" w:hAnsi="Times New Roman" w:cs="Times New Roman"/>
        </w:rPr>
        <w:t>。本次发行股份募集配套资金的发行对象</w:t>
      </w:r>
      <w:bookmarkStart w:id="9" w:name="_Hlk143370995"/>
      <w:r w:rsidR="00D72FEA">
        <w:rPr>
          <w:rFonts w:ascii="Times New Roman" w:eastAsia="宋体" w:hAnsi="Times New Roman" w:cs="Times New Roman" w:hint="eastAsia"/>
        </w:rPr>
        <w:t>祥源控股集团有限责任公司</w:t>
      </w:r>
      <w:bookmarkEnd w:id="9"/>
      <w:r w:rsidR="00D72FEA" w:rsidRPr="00D72FEA">
        <w:rPr>
          <w:rFonts w:ascii="Times New Roman" w:eastAsia="宋体" w:hAnsi="Times New Roman" w:cs="Times New Roman"/>
        </w:rPr>
        <w:t>为公司</w:t>
      </w:r>
      <w:r w:rsidR="00D72FEA">
        <w:rPr>
          <w:rFonts w:ascii="Times New Roman" w:eastAsia="宋体" w:hAnsi="Times New Roman" w:cs="Times New Roman" w:hint="eastAsia"/>
        </w:rPr>
        <w:t>控股股东</w:t>
      </w:r>
      <w:r w:rsidR="0020185F">
        <w:rPr>
          <w:rFonts w:ascii="Times New Roman" w:eastAsia="宋体" w:hAnsi="Times New Roman" w:cs="Times New Roman" w:hint="eastAsia"/>
        </w:rPr>
        <w:t>、</w:t>
      </w:r>
      <w:bookmarkStart w:id="10" w:name="_Hlk143371005"/>
      <w:bookmarkStart w:id="11" w:name="_Hlk143370840"/>
      <w:r w:rsidR="0020185F" w:rsidRPr="0020185F">
        <w:rPr>
          <w:rFonts w:ascii="Times New Roman" w:eastAsia="宋体" w:hAnsi="Times New Roman" w:cs="Times New Roman" w:hint="eastAsia"/>
        </w:rPr>
        <w:t>俞发祥</w:t>
      </w:r>
      <w:bookmarkEnd w:id="10"/>
      <w:r w:rsidR="0020185F">
        <w:rPr>
          <w:rFonts w:ascii="Times New Roman" w:eastAsia="宋体" w:hAnsi="Times New Roman" w:cs="Times New Roman" w:hint="eastAsia"/>
        </w:rPr>
        <w:t>为公司实际控制人</w:t>
      </w:r>
      <w:bookmarkEnd w:id="11"/>
      <w:r w:rsidR="00D72FEA" w:rsidRPr="00D72FEA">
        <w:rPr>
          <w:rFonts w:ascii="Times New Roman" w:eastAsia="宋体" w:hAnsi="Times New Roman" w:cs="Times New Roman"/>
        </w:rPr>
        <w:t>。因此，本次募集配套资金构成关联交易。公司董事会对本次交易的相关议案进行表决时，关联董事应当依法回避表决。</w:t>
      </w:r>
      <w:bookmarkEnd w:id="8"/>
    </w:p>
    <w:p w14:paraId="03CE1332" w14:textId="2C528A6F" w:rsidR="009A58AB" w:rsidRDefault="007E197B" w:rsidP="005A6784">
      <w:pPr>
        <w:spacing w:line="500" w:lineRule="exact"/>
        <w:ind w:firstLineChars="200" w:firstLine="480"/>
        <w:jc w:val="both"/>
        <w:rPr>
          <w:rFonts w:ascii="Times New Roman" w:eastAsia="宋体" w:hAnsi="Times New Roman" w:cs="Times New Roman"/>
        </w:rPr>
      </w:pPr>
      <w:r>
        <w:rPr>
          <w:rFonts w:ascii="Times New Roman" w:eastAsia="宋体" w:hAnsi="Times New Roman" w:cs="Times New Roman"/>
        </w:rPr>
        <w:t>4</w:t>
      </w:r>
      <w:r w:rsidR="009A58AB" w:rsidRPr="009A58AB">
        <w:rPr>
          <w:rFonts w:ascii="Times New Roman" w:eastAsia="宋体" w:hAnsi="Times New Roman" w:cs="Times New Roman"/>
        </w:rPr>
        <w:t>、</w:t>
      </w:r>
      <w:r w:rsidR="00D72FEA" w:rsidRPr="00D72FEA">
        <w:rPr>
          <w:rFonts w:ascii="Times New Roman" w:eastAsia="宋体" w:hAnsi="Times New Roman" w:cs="Times New Roman" w:hint="eastAsia"/>
        </w:rPr>
        <w:t>公司为本次交易编制的《</w:t>
      </w:r>
      <w:r w:rsidR="00D72FEA">
        <w:rPr>
          <w:rFonts w:ascii="Times New Roman" w:eastAsia="宋体" w:hAnsi="Times New Roman" w:cs="Times New Roman" w:hint="eastAsia"/>
        </w:rPr>
        <w:t>安徽省交通建设</w:t>
      </w:r>
      <w:r w:rsidR="00D72FEA" w:rsidRPr="00D72FEA">
        <w:rPr>
          <w:rFonts w:ascii="Times New Roman" w:eastAsia="宋体" w:hAnsi="Times New Roman" w:cs="Times New Roman" w:hint="eastAsia"/>
        </w:rPr>
        <w:t>股份有限公司发行股份及支付现金购买资产并募集配套资金</w:t>
      </w:r>
      <w:r w:rsidR="007C6B4F">
        <w:rPr>
          <w:rFonts w:ascii="Times New Roman" w:eastAsia="宋体" w:hAnsi="Times New Roman" w:cs="Times New Roman" w:hint="eastAsia"/>
        </w:rPr>
        <w:t>暨关联交易</w:t>
      </w:r>
      <w:r w:rsidR="00D72FEA" w:rsidRPr="00D72FEA">
        <w:rPr>
          <w:rFonts w:ascii="Times New Roman" w:eastAsia="宋体" w:hAnsi="Times New Roman" w:cs="Times New Roman" w:hint="eastAsia"/>
        </w:rPr>
        <w:t>预案》</w:t>
      </w:r>
      <w:r w:rsidR="007C6B4F">
        <w:rPr>
          <w:rFonts w:ascii="Times New Roman" w:eastAsia="宋体" w:hAnsi="Times New Roman" w:cs="Times New Roman" w:hint="eastAsia"/>
        </w:rPr>
        <w:t>，公司与本次重组交易对方</w:t>
      </w:r>
      <w:r w:rsidR="009A58AB" w:rsidRPr="005E6FAC">
        <w:rPr>
          <w:rFonts w:ascii="Times New Roman" w:eastAsia="宋体" w:hAnsi="Times New Roman" w:cs="Times New Roman" w:hint="eastAsia"/>
        </w:rPr>
        <w:t>拟签订的附</w:t>
      </w:r>
      <w:r w:rsidRPr="005E6FAC">
        <w:rPr>
          <w:rFonts w:ascii="Times New Roman" w:eastAsia="宋体" w:hAnsi="Times New Roman" w:cs="Times New Roman" w:hint="eastAsia"/>
        </w:rPr>
        <w:t>生效</w:t>
      </w:r>
      <w:r w:rsidR="009A58AB" w:rsidRPr="005E6FAC">
        <w:rPr>
          <w:rFonts w:ascii="Times New Roman" w:eastAsia="宋体" w:hAnsi="Times New Roman" w:cs="Times New Roman" w:hint="eastAsia"/>
        </w:rPr>
        <w:t>条件的《发行股份</w:t>
      </w:r>
      <w:r w:rsidR="00F660EF" w:rsidRPr="005E6FAC">
        <w:rPr>
          <w:rFonts w:ascii="Times New Roman" w:eastAsia="宋体" w:hAnsi="Times New Roman" w:cs="Times New Roman" w:hint="eastAsia"/>
        </w:rPr>
        <w:t>及支付现金</w:t>
      </w:r>
      <w:r w:rsidR="009A58AB" w:rsidRPr="005E6FAC">
        <w:rPr>
          <w:rFonts w:ascii="Times New Roman" w:eastAsia="宋体" w:hAnsi="Times New Roman" w:cs="Times New Roman" w:hint="eastAsia"/>
        </w:rPr>
        <w:t>购买资产协议》、《业绩承诺及补偿协议</w:t>
      </w:r>
      <w:r w:rsidR="009A58AB" w:rsidRPr="009A58AB">
        <w:rPr>
          <w:rFonts w:ascii="Times New Roman" w:eastAsia="宋体" w:hAnsi="Times New Roman" w:cs="Times New Roman"/>
        </w:rPr>
        <w:t>》，</w:t>
      </w:r>
      <w:r w:rsidR="0020185F">
        <w:rPr>
          <w:rFonts w:ascii="Times New Roman" w:eastAsia="宋体" w:hAnsi="Times New Roman" w:cs="Times New Roman" w:hint="eastAsia"/>
        </w:rPr>
        <w:t>公司</w:t>
      </w:r>
      <w:bookmarkStart w:id="12" w:name="_Hlk143370783"/>
      <w:r w:rsidR="0020185F">
        <w:rPr>
          <w:rFonts w:ascii="Times New Roman" w:eastAsia="宋体" w:hAnsi="Times New Roman" w:cs="Times New Roman" w:hint="eastAsia"/>
        </w:rPr>
        <w:t>与募集配套资金的认购方</w:t>
      </w:r>
      <w:r w:rsidR="0020185F" w:rsidRPr="0020185F">
        <w:rPr>
          <w:rFonts w:ascii="Times New Roman" w:eastAsia="宋体" w:hAnsi="Times New Roman" w:cs="Times New Roman" w:hint="eastAsia"/>
        </w:rPr>
        <w:t>祥源控股集团有限责任公司</w:t>
      </w:r>
      <w:r w:rsidR="0020185F">
        <w:rPr>
          <w:rFonts w:ascii="Times New Roman" w:eastAsia="宋体" w:hAnsi="Times New Roman" w:cs="Times New Roman" w:hint="eastAsia"/>
        </w:rPr>
        <w:t>、</w:t>
      </w:r>
      <w:r w:rsidR="0020185F" w:rsidRPr="0020185F">
        <w:rPr>
          <w:rFonts w:ascii="Times New Roman" w:eastAsia="宋体" w:hAnsi="Times New Roman" w:cs="Times New Roman" w:hint="eastAsia"/>
        </w:rPr>
        <w:t>俞发祥</w:t>
      </w:r>
      <w:r w:rsidR="0020185F">
        <w:rPr>
          <w:rFonts w:ascii="Times New Roman" w:eastAsia="宋体" w:hAnsi="Times New Roman" w:cs="Times New Roman" w:hint="eastAsia"/>
        </w:rPr>
        <w:t>签署的附生效条件的《</w:t>
      </w:r>
      <w:bookmarkStart w:id="13" w:name="_Hlk143371115"/>
      <w:r w:rsidR="0020185F" w:rsidRPr="0020185F">
        <w:rPr>
          <w:rFonts w:ascii="Times New Roman" w:eastAsia="宋体" w:hAnsi="Times New Roman" w:cs="Times New Roman" w:hint="eastAsia"/>
        </w:rPr>
        <w:t>向特定对象发行股票认购协议</w:t>
      </w:r>
      <w:bookmarkEnd w:id="13"/>
      <w:r w:rsidR="0020185F">
        <w:rPr>
          <w:rFonts w:ascii="Times New Roman" w:eastAsia="宋体" w:hAnsi="Times New Roman" w:cs="Times New Roman" w:hint="eastAsia"/>
        </w:rPr>
        <w:t>》</w:t>
      </w:r>
      <w:bookmarkEnd w:id="12"/>
      <w:r w:rsidR="0020185F">
        <w:rPr>
          <w:rFonts w:ascii="Times New Roman" w:eastAsia="宋体" w:hAnsi="Times New Roman" w:cs="Times New Roman" w:hint="eastAsia"/>
        </w:rPr>
        <w:t>均</w:t>
      </w:r>
      <w:r w:rsidR="009A58AB" w:rsidRPr="009A58AB">
        <w:rPr>
          <w:rFonts w:ascii="Times New Roman" w:eastAsia="宋体" w:hAnsi="Times New Roman" w:cs="Times New Roman"/>
        </w:rPr>
        <w:t>符合《公司法》《证券法》《上市公司重大资产重组管理办法》等有关法律、行政法规、规章和规范性文件的规定。</w:t>
      </w:r>
    </w:p>
    <w:p w14:paraId="00EFFE55" w14:textId="7BCFAD24" w:rsidR="00BB4AF1" w:rsidRDefault="007E197B" w:rsidP="005A6784">
      <w:pPr>
        <w:spacing w:line="500" w:lineRule="exact"/>
        <w:ind w:firstLineChars="200" w:firstLine="480"/>
        <w:jc w:val="both"/>
        <w:rPr>
          <w:rFonts w:ascii="Times New Roman" w:eastAsia="宋体" w:hAnsi="Times New Roman" w:cs="Times New Roman"/>
        </w:rPr>
      </w:pPr>
      <w:r>
        <w:rPr>
          <w:rFonts w:ascii="Times New Roman" w:eastAsia="宋体" w:hAnsi="Times New Roman" w:cs="Times New Roman"/>
        </w:rPr>
        <w:t>5</w:t>
      </w:r>
      <w:r w:rsidR="00CB6829">
        <w:rPr>
          <w:rFonts w:ascii="Times New Roman" w:eastAsia="宋体" w:hAnsi="Times New Roman" w:cs="Times New Roman" w:hint="eastAsia"/>
        </w:rPr>
        <w:t>、</w:t>
      </w:r>
      <w:r w:rsidR="00BB4AF1" w:rsidRPr="00222C4E">
        <w:rPr>
          <w:rFonts w:ascii="Times New Roman" w:eastAsia="宋体" w:hAnsi="Times New Roman" w:cs="Times New Roman" w:hint="eastAsia"/>
        </w:rPr>
        <w:t>我们同意公司将相关议案提交公司第</w:t>
      </w:r>
      <w:r w:rsidR="0000707B">
        <w:rPr>
          <w:rFonts w:ascii="Times New Roman" w:eastAsia="宋体" w:hAnsi="Times New Roman" w:cs="Times New Roman" w:hint="eastAsia"/>
        </w:rPr>
        <w:t>三</w:t>
      </w:r>
      <w:r w:rsidR="00BB4AF1" w:rsidRPr="00222C4E">
        <w:rPr>
          <w:rFonts w:ascii="Times New Roman" w:eastAsia="宋体" w:hAnsi="Times New Roman" w:cs="Times New Roman" w:hint="eastAsia"/>
        </w:rPr>
        <w:t>届董事会第</w:t>
      </w:r>
      <w:r w:rsidR="00DE57A4">
        <w:rPr>
          <w:rFonts w:ascii="Times New Roman" w:eastAsia="宋体" w:hAnsi="Times New Roman" w:cs="Times New Roman" w:hint="eastAsia"/>
        </w:rPr>
        <w:t>八</w:t>
      </w:r>
      <w:r w:rsidR="00BB4AF1" w:rsidRPr="00222C4E">
        <w:rPr>
          <w:rFonts w:ascii="Times New Roman" w:eastAsia="宋体" w:hAnsi="Times New Roman" w:cs="Times New Roman" w:hint="eastAsia"/>
        </w:rPr>
        <w:t>次会议进行审议。</w:t>
      </w:r>
    </w:p>
    <w:p w14:paraId="0A96336B" w14:textId="77777777" w:rsidR="005A6784" w:rsidRPr="00222C4E" w:rsidRDefault="005A6784" w:rsidP="005A6784">
      <w:pPr>
        <w:spacing w:line="500" w:lineRule="exact"/>
        <w:ind w:firstLineChars="200" w:firstLine="480"/>
        <w:jc w:val="both"/>
        <w:rPr>
          <w:rFonts w:ascii="Times New Roman" w:eastAsia="宋体" w:hAnsi="Times New Roman" w:cs="Times New Roman"/>
        </w:rPr>
      </w:pPr>
    </w:p>
    <w:p w14:paraId="41F6E934" w14:textId="74B33549" w:rsidR="00BB4AF1" w:rsidRDefault="00BB4AF1" w:rsidP="005A6784">
      <w:pPr>
        <w:spacing w:line="500" w:lineRule="exact"/>
        <w:jc w:val="center"/>
        <w:rPr>
          <w:rFonts w:ascii="宋体" w:eastAsia="宋体" w:hAnsi="宋体"/>
        </w:rPr>
      </w:pPr>
      <w:r>
        <w:rPr>
          <w:rFonts w:ascii="宋体" w:eastAsia="宋体" w:hAnsi="宋体" w:hint="eastAsia"/>
        </w:rPr>
        <w:t>（以下无正文，为签署页）</w:t>
      </w:r>
    </w:p>
    <w:p w14:paraId="385D4995" w14:textId="77777777" w:rsidR="00BB4AF1" w:rsidRDefault="00BB4AF1" w:rsidP="00BB4AF1">
      <w:pPr>
        <w:rPr>
          <w:rFonts w:ascii="宋体" w:eastAsia="宋体" w:hAnsi="宋体"/>
        </w:rPr>
      </w:pPr>
      <w:r>
        <w:rPr>
          <w:rFonts w:ascii="宋体" w:eastAsia="宋体" w:hAnsi="宋体"/>
        </w:rPr>
        <w:br w:type="page"/>
      </w:r>
    </w:p>
    <w:p w14:paraId="6DDC9CDD" w14:textId="54E3A844" w:rsidR="00BB4AF1" w:rsidRPr="00432097" w:rsidRDefault="00BB4AF1">
      <w:pPr>
        <w:spacing w:line="360" w:lineRule="auto"/>
        <w:rPr>
          <w:rFonts w:ascii="宋体" w:eastAsia="宋体" w:hAnsi="宋体" w:cs="Times New Roman"/>
        </w:rPr>
      </w:pPr>
      <w:r w:rsidRPr="00432097">
        <w:rPr>
          <w:rFonts w:ascii="宋体" w:eastAsia="宋体" w:hAnsi="宋体" w:cs="Times New Roman" w:hint="eastAsia"/>
        </w:rPr>
        <w:lastRenderedPageBreak/>
        <w:t>（本页无正文，为《</w:t>
      </w:r>
      <w:r w:rsidR="008C2D78" w:rsidRPr="008C2D78">
        <w:rPr>
          <w:rFonts w:ascii="宋体" w:eastAsia="宋体" w:hAnsi="宋体" w:cs="Times New Roman" w:hint="eastAsia"/>
        </w:rPr>
        <w:t>安徽省交通建设股份有限公司独立董事关于公司发行股份及支付现金购买资产并募集配套资金暨关联交易相关事项的事前认可意见</w:t>
      </w:r>
      <w:r w:rsidRPr="00432097">
        <w:rPr>
          <w:rFonts w:ascii="宋体" w:eastAsia="宋体" w:hAnsi="宋体" w:cs="Times New Roman" w:hint="eastAsia"/>
        </w:rPr>
        <w:t>》之</w:t>
      </w:r>
      <w:r>
        <w:rPr>
          <w:rFonts w:ascii="宋体" w:eastAsia="宋体" w:hAnsi="宋体" w:cs="Times New Roman" w:hint="eastAsia"/>
        </w:rPr>
        <w:t>签署</w:t>
      </w:r>
      <w:r w:rsidRPr="00432097">
        <w:rPr>
          <w:rFonts w:ascii="宋体" w:eastAsia="宋体" w:hAnsi="宋体" w:cs="Times New Roman" w:hint="eastAsia"/>
        </w:rPr>
        <w:t>页）</w:t>
      </w:r>
    </w:p>
    <w:p w14:paraId="437AABEB" w14:textId="77777777" w:rsidR="00BB4AF1" w:rsidRPr="00432097" w:rsidRDefault="00BB4AF1" w:rsidP="00BB4AF1">
      <w:pPr>
        <w:rPr>
          <w:rFonts w:ascii="宋体" w:eastAsia="宋体" w:hAnsi="宋体" w:cs="Times New Roman"/>
        </w:rPr>
      </w:pPr>
    </w:p>
    <w:p w14:paraId="542223EC" w14:textId="77777777" w:rsidR="00BB4AF1" w:rsidRPr="008C2D78" w:rsidRDefault="00BB4AF1" w:rsidP="00BB4AF1">
      <w:pPr>
        <w:rPr>
          <w:rFonts w:ascii="宋体" w:eastAsia="宋体" w:hAnsi="宋体" w:cs="Times New Roman"/>
        </w:rPr>
      </w:pPr>
    </w:p>
    <w:p w14:paraId="3CC8EE80" w14:textId="77777777" w:rsidR="00BB4AF1" w:rsidRPr="00432097" w:rsidRDefault="00BB4AF1" w:rsidP="00BB4AF1">
      <w:pPr>
        <w:rPr>
          <w:rFonts w:ascii="宋体" w:eastAsia="宋体" w:hAnsi="宋体" w:cs="Times New Roman"/>
        </w:rPr>
      </w:pPr>
    </w:p>
    <w:p w14:paraId="03726F35" w14:textId="77777777" w:rsidR="00BB4AF1" w:rsidRPr="00432097" w:rsidRDefault="00BB4AF1" w:rsidP="00BB4AF1">
      <w:pPr>
        <w:rPr>
          <w:rFonts w:ascii="宋体" w:eastAsia="宋体" w:hAnsi="宋体" w:cs="Times New Roman"/>
        </w:rPr>
      </w:pPr>
    </w:p>
    <w:p w14:paraId="5820FB66" w14:textId="77777777" w:rsidR="00BB4AF1" w:rsidRPr="00432097" w:rsidRDefault="00BB4AF1" w:rsidP="00BB4AF1">
      <w:pPr>
        <w:rPr>
          <w:rFonts w:ascii="宋体" w:eastAsia="宋体" w:hAnsi="宋体" w:cs="Times New Roman"/>
        </w:rPr>
      </w:pPr>
    </w:p>
    <w:p w14:paraId="04596C46" w14:textId="77777777" w:rsidR="00BB4AF1" w:rsidRPr="00432097" w:rsidRDefault="00BB4AF1" w:rsidP="00BB4AF1">
      <w:pPr>
        <w:wordWrap w:val="0"/>
        <w:spacing w:line="360" w:lineRule="auto"/>
        <w:ind w:right="480"/>
        <w:jc w:val="right"/>
        <w:rPr>
          <w:rFonts w:ascii="宋体" w:eastAsia="宋体" w:hAnsi="宋体" w:cs="Times New Roman"/>
        </w:rPr>
      </w:pPr>
      <w:r w:rsidRPr="00432097">
        <w:rPr>
          <w:rFonts w:ascii="宋体" w:eastAsia="宋体" w:hAnsi="宋体" w:cs="Times New Roman" w:hint="eastAsia"/>
        </w:rPr>
        <w:t xml:space="preserve">    </w:t>
      </w:r>
    </w:p>
    <w:p w14:paraId="759B6256" w14:textId="5BAFE3D9" w:rsidR="00BB4AF1" w:rsidRPr="00432097" w:rsidRDefault="00BB4AF1" w:rsidP="00BB4AF1">
      <w:pPr>
        <w:spacing w:line="360" w:lineRule="auto"/>
        <w:ind w:right="960"/>
        <w:rPr>
          <w:rFonts w:ascii="宋体" w:eastAsia="宋体" w:hAnsi="宋体" w:cs="Times New Roman"/>
        </w:rPr>
      </w:pPr>
      <w:r w:rsidRPr="00432097">
        <w:rPr>
          <w:rFonts w:ascii="宋体" w:eastAsia="宋体" w:hAnsi="宋体" w:cs="Times New Roman" w:hint="eastAsia"/>
        </w:rPr>
        <w:t>独立董事：</w:t>
      </w:r>
    </w:p>
    <w:p w14:paraId="65188430" w14:textId="77777777" w:rsidR="00BB4AF1" w:rsidRPr="00432097" w:rsidRDefault="00BB4AF1" w:rsidP="00BB4AF1">
      <w:pPr>
        <w:spacing w:line="360" w:lineRule="auto"/>
        <w:ind w:right="960"/>
        <w:rPr>
          <w:rFonts w:ascii="宋体" w:eastAsia="宋体" w:hAnsi="宋体" w:cs="Times New Roman"/>
        </w:rPr>
      </w:pPr>
    </w:p>
    <w:tbl>
      <w:tblPr>
        <w:tblW w:w="0" w:type="auto"/>
        <w:tblLook w:val="04A0" w:firstRow="1" w:lastRow="0" w:firstColumn="1" w:lastColumn="0" w:noHBand="0" w:noVBand="1"/>
      </w:tblPr>
      <w:tblGrid>
        <w:gridCol w:w="1664"/>
        <w:gridCol w:w="1656"/>
        <w:gridCol w:w="1664"/>
        <w:gridCol w:w="1657"/>
        <w:gridCol w:w="1665"/>
      </w:tblGrid>
      <w:tr w:rsidR="00BB4AF1" w:rsidRPr="00432097" w14:paraId="030FB944" w14:textId="77777777" w:rsidTr="00603F5C">
        <w:tc>
          <w:tcPr>
            <w:tcW w:w="1704" w:type="dxa"/>
          </w:tcPr>
          <w:p w14:paraId="78940485" w14:textId="77777777" w:rsidR="00BB4AF1" w:rsidRPr="00432097" w:rsidRDefault="00BB4AF1" w:rsidP="0001651E">
            <w:pPr>
              <w:spacing w:line="360" w:lineRule="auto"/>
              <w:jc w:val="center"/>
              <w:rPr>
                <w:rFonts w:ascii="宋体" w:eastAsia="宋体" w:hAnsi="宋体" w:cs="Times New Roman"/>
                <w:lang w:bidi="en-US"/>
              </w:rPr>
            </w:pPr>
          </w:p>
        </w:tc>
        <w:tc>
          <w:tcPr>
            <w:tcW w:w="1704" w:type="dxa"/>
          </w:tcPr>
          <w:p w14:paraId="617E4F69" w14:textId="77777777" w:rsidR="00BB4AF1" w:rsidRPr="00432097" w:rsidRDefault="00BB4AF1" w:rsidP="0001651E">
            <w:pPr>
              <w:spacing w:line="360" w:lineRule="auto"/>
              <w:jc w:val="center"/>
              <w:rPr>
                <w:rFonts w:ascii="宋体" w:eastAsia="宋体" w:hAnsi="宋体" w:cs="Times New Roman"/>
                <w:lang w:bidi="en-US"/>
              </w:rPr>
            </w:pPr>
          </w:p>
        </w:tc>
        <w:tc>
          <w:tcPr>
            <w:tcW w:w="1704" w:type="dxa"/>
          </w:tcPr>
          <w:p w14:paraId="45B95AF7" w14:textId="77777777" w:rsidR="00BB4AF1" w:rsidRPr="00432097" w:rsidRDefault="00BB4AF1" w:rsidP="0001651E">
            <w:pPr>
              <w:spacing w:line="360" w:lineRule="auto"/>
              <w:jc w:val="center"/>
              <w:rPr>
                <w:rFonts w:ascii="宋体" w:eastAsia="宋体" w:hAnsi="宋体" w:cs="Times New Roman"/>
                <w:lang w:bidi="en-US"/>
              </w:rPr>
            </w:pPr>
          </w:p>
        </w:tc>
        <w:tc>
          <w:tcPr>
            <w:tcW w:w="1705" w:type="dxa"/>
          </w:tcPr>
          <w:p w14:paraId="72E39E2D" w14:textId="77777777" w:rsidR="00BB4AF1" w:rsidRPr="00432097" w:rsidRDefault="00BB4AF1" w:rsidP="0001651E">
            <w:pPr>
              <w:spacing w:line="360" w:lineRule="auto"/>
              <w:jc w:val="center"/>
              <w:rPr>
                <w:rFonts w:ascii="宋体" w:eastAsia="宋体" w:hAnsi="宋体" w:cs="Times New Roman"/>
                <w:lang w:bidi="en-US"/>
              </w:rPr>
            </w:pPr>
          </w:p>
        </w:tc>
        <w:tc>
          <w:tcPr>
            <w:tcW w:w="1705" w:type="dxa"/>
          </w:tcPr>
          <w:p w14:paraId="21382C7F" w14:textId="77777777" w:rsidR="00BB4AF1" w:rsidRPr="00432097" w:rsidRDefault="00BB4AF1" w:rsidP="0001651E">
            <w:pPr>
              <w:spacing w:line="360" w:lineRule="auto"/>
              <w:jc w:val="center"/>
              <w:rPr>
                <w:rFonts w:ascii="宋体" w:eastAsia="宋体" w:hAnsi="宋体" w:cs="Times New Roman"/>
                <w:lang w:bidi="en-US"/>
              </w:rPr>
            </w:pPr>
          </w:p>
        </w:tc>
      </w:tr>
      <w:tr w:rsidR="00BB4AF1" w:rsidRPr="00432097" w14:paraId="4CA5467E" w14:textId="77777777" w:rsidTr="00603F5C">
        <w:tc>
          <w:tcPr>
            <w:tcW w:w="1704" w:type="dxa"/>
            <w:hideMark/>
          </w:tcPr>
          <w:p w14:paraId="0D4310DE" w14:textId="1FB0FDDA" w:rsidR="00BB4AF1" w:rsidRPr="00432097" w:rsidRDefault="0037622D" w:rsidP="0001651E">
            <w:pPr>
              <w:spacing w:line="360" w:lineRule="auto"/>
              <w:jc w:val="center"/>
              <w:rPr>
                <w:rFonts w:ascii="宋体" w:eastAsia="宋体" w:hAnsi="宋体" w:cs="Times New Roman"/>
                <w:lang w:bidi="en-US"/>
              </w:rPr>
            </w:pPr>
            <w:r>
              <w:rPr>
                <w:rFonts w:ascii="宋体" w:eastAsia="宋体" w:hAnsi="宋体" w:cs="Times New Roman" w:hint="eastAsia"/>
                <w:szCs w:val="20"/>
                <w:lang w:bidi="en-US"/>
              </w:rPr>
              <w:t>张治栋</w:t>
            </w:r>
          </w:p>
        </w:tc>
        <w:tc>
          <w:tcPr>
            <w:tcW w:w="1704" w:type="dxa"/>
          </w:tcPr>
          <w:p w14:paraId="60EAB9BD" w14:textId="77777777" w:rsidR="00BB4AF1" w:rsidRPr="00432097" w:rsidRDefault="00BB4AF1" w:rsidP="0001651E">
            <w:pPr>
              <w:spacing w:line="360" w:lineRule="auto"/>
              <w:jc w:val="center"/>
              <w:rPr>
                <w:rFonts w:ascii="宋体" w:eastAsia="宋体" w:hAnsi="宋体" w:cs="Times New Roman"/>
                <w:lang w:bidi="en-US"/>
              </w:rPr>
            </w:pPr>
          </w:p>
        </w:tc>
        <w:tc>
          <w:tcPr>
            <w:tcW w:w="1704" w:type="dxa"/>
            <w:hideMark/>
          </w:tcPr>
          <w:p w14:paraId="27E4751F" w14:textId="64074A97" w:rsidR="00BB4AF1" w:rsidRPr="00432097" w:rsidRDefault="0037622D" w:rsidP="0001651E">
            <w:pPr>
              <w:spacing w:line="360" w:lineRule="auto"/>
              <w:jc w:val="center"/>
              <w:rPr>
                <w:rFonts w:ascii="宋体" w:eastAsia="宋体" w:hAnsi="宋体" w:cs="Times New Roman"/>
                <w:lang w:bidi="en-US"/>
              </w:rPr>
            </w:pPr>
            <w:r>
              <w:rPr>
                <w:rFonts w:ascii="宋体" w:eastAsia="宋体" w:hAnsi="宋体" w:cs="Times New Roman" w:hint="eastAsia"/>
                <w:lang w:bidi="en-US"/>
              </w:rPr>
              <w:t>赵惠芳</w:t>
            </w:r>
          </w:p>
        </w:tc>
        <w:tc>
          <w:tcPr>
            <w:tcW w:w="1705" w:type="dxa"/>
          </w:tcPr>
          <w:p w14:paraId="026DFF48" w14:textId="77777777" w:rsidR="00BB4AF1" w:rsidRPr="00432097" w:rsidRDefault="00BB4AF1" w:rsidP="0001651E">
            <w:pPr>
              <w:spacing w:line="360" w:lineRule="auto"/>
              <w:jc w:val="center"/>
              <w:rPr>
                <w:rFonts w:ascii="宋体" w:eastAsia="宋体" w:hAnsi="宋体" w:cs="Times New Roman"/>
                <w:lang w:bidi="en-US"/>
              </w:rPr>
            </w:pPr>
          </w:p>
        </w:tc>
        <w:tc>
          <w:tcPr>
            <w:tcW w:w="1705" w:type="dxa"/>
            <w:hideMark/>
          </w:tcPr>
          <w:p w14:paraId="50E7188A" w14:textId="6183F0A8" w:rsidR="00BB4AF1" w:rsidRPr="00432097" w:rsidRDefault="0037622D" w:rsidP="0001651E">
            <w:pPr>
              <w:spacing w:line="360" w:lineRule="auto"/>
              <w:jc w:val="center"/>
              <w:rPr>
                <w:rFonts w:ascii="宋体" w:eastAsia="宋体" w:hAnsi="宋体" w:cs="Times New Roman"/>
                <w:lang w:bidi="en-US"/>
              </w:rPr>
            </w:pPr>
            <w:r>
              <w:rPr>
                <w:rFonts w:ascii="宋体" w:eastAsia="宋体" w:hAnsi="宋体" w:cs="Times New Roman" w:hint="eastAsia"/>
                <w:lang w:bidi="en-US"/>
              </w:rPr>
              <w:t>陈 亮</w:t>
            </w:r>
          </w:p>
        </w:tc>
      </w:tr>
    </w:tbl>
    <w:p w14:paraId="7B8E30E1" w14:textId="77777777" w:rsidR="00BB4AF1" w:rsidRPr="00432097" w:rsidRDefault="00BB4AF1" w:rsidP="00BB4AF1">
      <w:pPr>
        <w:spacing w:line="360" w:lineRule="auto"/>
        <w:ind w:right="960"/>
        <w:rPr>
          <w:rFonts w:ascii="宋体" w:eastAsia="宋体" w:hAnsi="宋体" w:cs="Times New Roman"/>
        </w:rPr>
      </w:pPr>
    </w:p>
    <w:p w14:paraId="18F6112A" w14:textId="77777777" w:rsidR="00BB4AF1" w:rsidRPr="00432097" w:rsidRDefault="00BB4AF1" w:rsidP="00BB4AF1">
      <w:pPr>
        <w:spacing w:line="360" w:lineRule="auto"/>
        <w:ind w:right="960"/>
        <w:rPr>
          <w:rFonts w:ascii="宋体" w:eastAsia="宋体" w:hAnsi="宋体" w:cs="Times New Roman"/>
        </w:rPr>
      </w:pPr>
    </w:p>
    <w:p w14:paraId="32FD419D" w14:textId="5E2EDB2E" w:rsidR="00BB4AF1" w:rsidRPr="00432097" w:rsidRDefault="00603F5C" w:rsidP="00BB4AF1">
      <w:pPr>
        <w:spacing w:line="360" w:lineRule="auto"/>
        <w:ind w:left="840" w:firstLineChars="175" w:firstLine="420"/>
        <w:jc w:val="right"/>
        <w:rPr>
          <w:rFonts w:ascii="宋体" w:eastAsia="宋体" w:hAnsi="宋体" w:cs="Times New Roman"/>
        </w:rPr>
      </w:pPr>
      <w:r>
        <w:rPr>
          <w:rFonts w:ascii="宋体" w:eastAsia="宋体" w:hAnsi="宋体" w:cs="Times New Roman" w:hint="eastAsia"/>
        </w:rPr>
        <w:t>2</w:t>
      </w:r>
      <w:r>
        <w:rPr>
          <w:rFonts w:ascii="宋体" w:eastAsia="宋体" w:hAnsi="宋体" w:cs="Times New Roman"/>
        </w:rPr>
        <w:t>023</w:t>
      </w:r>
      <w:r w:rsidR="00BB4AF1" w:rsidRPr="00432097">
        <w:rPr>
          <w:rFonts w:ascii="宋体" w:eastAsia="宋体" w:hAnsi="宋体" w:cs="Times New Roman" w:hint="eastAsia"/>
        </w:rPr>
        <w:t>年</w:t>
      </w:r>
      <w:r>
        <w:rPr>
          <w:rFonts w:ascii="宋体" w:eastAsia="宋体" w:hAnsi="宋体" w:cs="Times New Roman"/>
        </w:rPr>
        <w:t>9</w:t>
      </w:r>
      <w:r w:rsidR="00BB4AF1" w:rsidRPr="00432097">
        <w:rPr>
          <w:rFonts w:ascii="宋体" w:eastAsia="宋体" w:hAnsi="宋体" w:cs="Times New Roman" w:hint="eastAsia"/>
        </w:rPr>
        <w:t>月</w:t>
      </w:r>
      <w:r>
        <w:rPr>
          <w:rFonts w:ascii="Times New Roman" w:eastAsia="宋体" w:hAnsi="Times New Roman" w:cs="Times New Roman"/>
        </w:rPr>
        <w:t>7</w:t>
      </w:r>
      <w:r w:rsidR="00BB4AF1" w:rsidRPr="00432097">
        <w:rPr>
          <w:rFonts w:ascii="宋体" w:eastAsia="宋体" w:hAnsi="宋体" w:cs="Times New Roman" w:hint="eastAsia"/>
        </w:rPr>
        <w:t>日</w:t>
      </w:r>
    </w:p>
    <w:p w14:paraId="38CAF735" w14:textId="77777777" w:rsidR="00BB4AF1" w:rsidRPr="00432097" w:rsidRDefault="00BB4AF1" w:rsidP="00BB4AF1">
      <w:pPr>
        <w:widowControl w:val="0"/>
        <w:jc w:val="both"/>
        <w:rPr>
          <w:rFonts w:ascii="宋体" w:eastAsia="宋体" w:hAnsi="宋体" w:cs="Times New Roman"/>
          <w:kern w:val="2"/>
          <w:sz w:val="21"/>
          <w:szCs w:val="22"/>
        </w:rPr>
      </w:pPr>
    </w:p>
    <w:p w14:paraId="5D7A778E" w14:textId="77777777" w:rsidR="00BB4AF1" w:rsidRPr="00432097" w:rsidRDefault="00BB4AF1" w:rsidP="00BB4AF1">
      <w:pPr>
        <w:widowControl w:val="0"/>
        <w:jc w:val="both"/>
        <w:rPr>
          <w:rFonts w:ascii="宋体" w:eastAsia="宋体" w:hAnsi="宋体" w:cs="Times New Roman"/>
          <w:kern w:val="2"/>
          <w:sz w:val="21"/>
          <w:szCs w:val="22"/>
        </w:rPr>
      </w:pPr>
    </w:p>
    <w:p w14:paraId="3E49717B" w14:textId="77777777" w:rsidR="00BB4AF1" w:rsidRPr="00432097" w:rsidRDefault="00BB4AF1" w:rsidP="00BB4AF1">
      <w:pPr>
        <w:widowControl w:val="0"/>
        <w:jc w:val="both"/>
        <w:rPr>
          <w:rFonts w:ascii="宋体" w:eastAsia="宋体" w:hAnsi="宋体" w:cs="Times New Roman"/>
          <w:kern w:val="2"/>
          <w:sz w:val="21"/>
          <w:szCs w:val="22"/>
        </w:rPr>
      </w:pPr>
    </w:p>
    <w:p w14:paraId="414B2360" w14:textId="77777777" w:rsidR="00B52B77" w:rsidRDefault="00B52B77"/>
    <w:sectPr w:rsidR="00B52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C719" w14:textId="77777777" w:rsidR="004B4B33" w:rsidRDefault="004B4B33" w:rsidP="00BB4AF1">
      <w:r>
        <w:separator/>
      </w:r>
    </w:p>
  </w:endnote>
  <w:endnote w:type="continuationSeparator" w:id="0">
    <w:p w14:paraId="7F5A1166" w14:textId="77777777" w:rsidR="004B4B33" w:rsidRDefault="004B4B33" w:rsidP="00BB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0D27" w14:textId="77777777" w:rsidR="004B4B33" w:rsidRDefault="004B4B33" w:rsidP="00BB4AF1">
      <w:r>
        <w:separator/>
      </w:r>
    </w:p>
  </w:footnote>
  <w:footnote w:type="continuationSeparator" w:id="0">
    <w:p w14:paraId="705CE36B" w14:textId="77777777" w:rsidR="004B4B33" w:rsidRDefault="004B4B33" w:rsidP="00BB4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45"/>
    <w:rsid w:val="0000707B"/>
    <w:rsid w:val="000A3571"/>
    <w:rsid w:val="000A3924"/>
    <w:rsid w:val="000A6378"/>
    <w:rsid w:val="00117C05"/>
    <w:rsid w:val="0016672E"/>
    <w:rsid w:val="001856D0"/>
    <w:rsid w:val="001865EC"/>
    <w:rsid w:val="00194799"/>
    <w:rsid w:val="001B6C89"/>
    <w:rsid w:val="001D40D7"/>
    <w:rsid w:val="0020185F"/>
    <w:rsid w:val="00210F58"/>
    <w:rsid w:val="00222C4E"/>
    <w:rsid w:val="002507CF"/>
    <w:rsid w:val="00267183"/>
    <w:rsid w:val="002D0D78"/>
    <w:rsid w:val="002E1F6F"/>
    <w:rsid w:val="00365B1B"/>
    <w:rsid w:val="0037622D"/>
    <w:rsid w:val="0045736D"/>
    <w:rsid w:val="004734CA"/>
    <w:rsid w:val="004B4B33"/>
    <w:rsid w:val="004C53FA"/>
    <w:rsid w:val="004F3E75"/>
    <w:rsid w:val="005448FE"/>
    <w:rsid w:val="00554980"/>
    <w:rsid w:val="00573869"/>
    <w:rsid w:val="005A6784"/>
    <w:rsid w:val="005B487B"/>
    <w:rsid w:val="005E6FAC"/>
    <w:rsid w:val="00602F34"/>
    <w:rsid w:val="00603F5C"/>
    <w:rsid w:val="006B6B79"/>
    <w:rsid w:val="007105CE"/>
    <w:rsid w:val="00770D3A"/>
    <w:rsid w:val="007C6B4F"/>
    <w:rsid w:val="007D07DB"/>
    <w:rsid w:val="007E197B"/>
    <w:rsid w:val="0081158B"/>
    <w:rsid w:val="00837B93"/>
    <w:rsid w:val="00864B21"/>
    <w:rsid w:val="008C2D78"/>
    <w:rsid w:val="008F0968"/>
    <w:rsid w:val="00910294"/>
    <w:rsid w:val="00931FF1"/>
    <w:rsid w:val="00961356"/>
    <w:rsid w:val="009677B0"/>
    <w:rsid w:val="00975845"/>
    <w:rsid w:val="009A58AB"/>
    <w:rsid w:val="00A140AC"/>
    <w:rsid w:val="00A95634"/>
    <w:rsid w:val="00AA5BC0"/>
    <w:rsid w:val="00B26C5A"/>
    <w:rsid w:val="00B3116B"/>
    <w:rsid w:val="00B47203"/>
    <w:rsid w:val="00B5084B"/>
    <w:rsid w:val="00B52B77"/>
    <w:rsid w:val="00B859E4"/>
    <w:rsid w:val="00BB4AF1"/>
    <w:rsid w:val="00BB7DB8"/>
    <w:rsid w:val="00C2256F"/>
    <w:rsid w:val="00C24AF3"/>
    <w:rsid w:val="00C73DC0"/>
    <w:rsid w:val="00CB6829"/>
    <w:rsid w:val="00D41C86"/>
    <w:rsid w:val="00D72C63"/>
    <w:rsid w:val="00D72FEA"/>
    <w:rsid w:val="00DB3B09"/>
    <w:rsid w:val="00DC4B9F"/>
    <w:rsid w:val="00DC5583"/>
    <w:rsid w:val="00DE57A4"/>
    <w:rsid w:val="00E11BE3"/>
    <w:rsid w:val="00E17818"/>
    <w:rsid w:val="00E92A92"/>
    <w:rsid w:val="00ED5479"/>
    <w:rsid w:val="00EF363A"/>
    <w:rsid w:val="00F3517F"/>
    <w:rsid w:val="00F660EF"/>
    <w:rsid w:val="00F76F7E"/>
    <w:rsid w:val="00F800BB"/>
    <w:rsid w:val="00FF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3AB5"/>
  <w15:chartTrackingRefBased/>
  <w15:docId w15:val="{415B1183-8307-4A0B-822E-5D540E24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AF1"/>
    <w:rPr>
      <w:kern w:val="0"/>
      <w:sz w:val="24"/>
      <w:szCs w:val="24"/>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F1"/>
    <w:pPr>
      <w:widowControl w:val="0"/>
      <w:pBdr>
        <w:bottom w:val="single" w:sz="6" w:space="1" w:color="auto"/>
      </w:pBdr>
      <w:tabs>
        <w:tab w:val="center" w:pos="4153"/>
        <w:tab w:val="right" w:pos="8306"/>
      </w:tabs>
      <w:snapToGrid w:val="0"/>
      <w:jc w:val="center"/>
    </w:pPr>
    <w:rPr>
      <w:kern w:val="2"/>
      <w:sz w:val="18"/>
      <w:szCs w:val="18"/>
    </w:rPr>
  </w:style>
  <w:style w:type="character" w:customStyle="1" w:styleId="a4">
    <w:name w:val="页眉 字符"/>
    <w:basedOn w:val="a0"/>
    <w:link w:val="a3"/>
    <w:uiPriority w:val="99"/>
    <w:rsid w:val="00BB4AF1"/>
    <w:rPr>
      <w:sz w:val="18"/>
      <w:szCs w:val="18"/>
    </w:rPr>
  </w:style>
  <w:style w:type="paragraph" w:styleId="a5">
    <w:name w:val="footer"/>
    <w:basedOn w:val="a"/>
    <w:link w:val="a6"/>
    <w:uiPriority w:val="99"/>
    <w:unhideWhenUsed/>
    <w:rsid w:val="00BB4AF1"/>
    <w:pPr>
      <w:widowControl w:val="0"/>
      <w:tabs>
        <w:tab w:val="center" w:pos="4153"/>
        <w:tab w:val="right" w:pos="8306"/>
      </w:tabs>
      <w:snapToGrid w:val="0"/>
    </w:pPr>
    <w:rPr>
      <w:kern w:val="2"/>
      <w:sz w:val="18"/>
      <w:szCs w:val="18"/>
    </w:rPr>
  </w:style>
  <w:style w:type="character" w:customStyle="1" w:styleId="a6">
    <w:name w:val="页脚 字符"/>
    <w:basedOn w:val="a0"/>
    <w:link w:val="a5"/>
    <w:uiPriority w:val="99"/>
    <w:rsid w:val="00BB4AF1"/>
    <w:rPr>
      <w:sz w:val="18"/>
      <w:szCs w:val="18"/>
    </w:rPr>
  </w:style>
  <w:style w:type="paragraph" w:styleId="a7">
    <w:name w:val="Revision"/>
    <w:hidden/>
    <w:uiPriority w:val="99"/>
    <w:semiHidden/>
    <w:rsid w:val="0037622D"/>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4672">
      <w:bodyDiv w:val="1"/>
      <w:marLeft w:val="0"/>
      <w:marRight w:val="0"/>
      <w:marTop w:val="0"/>
      <w:marBottom w:val="0"/>
      <w:divBdr>
        <w:top w:val="none" w:sz="0" w:space="0" w:color="auto"/>
        <w:left w:val="none" w:sz="0" w:space="0" w:color="auto"/>
        <w:bottom w:val="none" w:sz="0" w:space="0" w:color="auto"/>
        <w:right w:val="none" w:sz="0" w:space="0" w:color="auto"/>
      </w:divBdr>
    </w:div>
    <w:div w:id="398946266">
      <w:bodyDiv w:val="1"/>
      <w:marLeft w:val="0"/>
      <w:marRight w:val="0"/>
      <w:marTop w:val="0"/>
      <w:marBottom w:val="0"/>
      <w:divBdr>
        <w:top w:val="none" w:sz="0" w:space="0" w:color="auto"/>
        <w:left w:val="none" w:sz="0" w:space="0" w:color="auto"/>
        <w:bottom w:val="none" w:sz="0" w:space="0" w:color="auto"/>
        <w:right w:val="none" w:sz="0" w:space="0" w:color="auto"/>
      </w:divBdr>
    </w:div>
    <w:div w:id="17122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Grandall</dc:creator>
  <cp:keywords/>
  <dc:description/>
  <cp:lastModifiedBy>大伟 孙</cp:lastModifiedBy>
  <cp:revision>12</cp:revision>
  <dcterms:created xsi:type="dcterms:W3CDTF">2023-08-15T14:32:00Z</dcterms:created>
  <dcterms:modified xsi:type="dcterms:W3CDTF">2023-09-11T06:40:00Z</dcterms:modified>
</cp:coreProperties>
</file>