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F6DCC" w14:textId="20551E88" w:rsidR="00FC5A62" w:rsidRPr="008F4E3C" w:rsidRDefault="00C76273" w:rsidP="00DB3535">
      <w:pPr>
        <w:spacing w:beforeLines="50" w:before="156" w:afterLines="50" w:after="156" w:line="360" w:lineRule="auto"/>
        <w:rPr>
          <w:rStyle w:val="da"/>
          <w:rFonts w:ascii="宋体" w:hAnsi="宋体"/>
          <w:bCs/>
          <w:sz w:val="24"/>
        </w:rPr>
      </w:pPr>
      <w:r w:rsidRPr="008F4E3C">
        <w:rPr>
          <w:rStyle w:val="da"/>
          <w:rFonts w:ascii="宋体" w:hAnsi="宋体"/>
          <w:bCs/>
          <w:sz w:val="24"/>
        </w:rPr>
        <w:t xml:space="preserve">证券代码：603815   　　</w:t>
      </w:r>
      <w:proofErr w:type="gramStart"/>
      <w:r w:rsidRPr="008F4E3C">
        <w:rPr>
          <w:rStyle w:val="da"/>
          <w:rFonts w:ascii="宋体" w:hAnsi="宋体"/>
          <w:bCs/>
          <w:sz w:val="24"/>
        </w:rPr>
        <w:t xml:space="preserve">　</w:t>
      </w:r>
      <w:proofErr w:type="gramEnd"/>
      <w:r w:rsidRPr="008F4E3C">
        <w:rPr>
          <w:rStyle w:val="da"/>
          <w:rFonts w:ascii="宋体" w:hAnsi="宋体"/>
          <w:bCs/>
          <w:sz w:val="24"/>
        </w:rPr>
        <w:t xml:space="preserve"> 证券简称：</w:t>
      </w:r>
      <w:proofErr w:type="gramStart"/>
      <w:r w:rsidRPr="008F4E3C">
        <w:rPr>
          <w:rStyle w:val="da"/>
          <w:rFonts w:ascii="宋体" w:hAnsi="宋体"/>
          <w:bCs/>
          <w:sz w:val="24"/>
        </w:rPr>
        <w:t>交建股份</w:t>
      </w:r>
      <w:proofErr w:type="gramEnd"/>
      <w:r w:rsidRPr="008F4E3C">
        <w:rPr>
          <w:rStyle w:val="da"/>
          <w:rFonts w:ascii="宋体" w:hAnsi="宋体"/>
          <w:bCs/>
          <w:sz w:val="24"/>
        </w:rPr>
        <w:t xml:space="preserve">　　</w:t>
      </w:r>
      <w:proofErr w:type="gramStart"/>
      <w:r w:rsidRPr="008F4E3C">
        <w:rPr>
          <w:rStyle w:val="da"/>
          <w:rFonts w:ascii="宋体" w:hAnsi="宋体"/>
          <w:bCs/>
          <w:sz w:val="24"/>
        </w:rPr>
        <w:t xml:space="preserve">　</w:t>
      </w:r>
      <w:proofErr w:type="gramEnd"/>
      <w:r w:rsidR="00DB3535">
        <w:rPr>
          <w:rStyle w:val="da"/>
          <w:rFonts w:ascii="宋体" w:hAnsi="宋体" w:hint="eastAsia"/>
          <w:bCs/>
          <w:sz w:val="24"/>
        </w:rPr>
        <w:t xml:space="preserve"> </w:t>
      </w:r>
      <w:r w:rsidRPr="008F4E3C">
        <w:rPr>
          <w:rStyle w:val="da"/>
          <w:rFonts w:ascii="宋体" w:hAnsi="宋体"/>
          <w:bCs/>
          <w:sz w:val="24"/>
        </w:rPr>
        <w:t>公告编号：</w:t>
      </w:r>
      <w:r w:rsidR="00DB3535">
        <w:rPr>
          <w:rStyle w:val="da"/>
          <w:rFonts w:ascii="宋体" w:hAnsi="宋体" w:hint="eastAsia"/>
          <w:bCs/>
          <w:sz w:val="24"/>
        </w:rPr>
        <w:t>2023-084</w:t>
      </w:r>
    </w:p>
    <w:p w14:paraId="5943F2BD" w14:textId="77777777" w:rsidR="00FC5A62" w:rsidRDefault="00C76273">
      <w:pPr>
        <w:spacing w:beforeLines="50" w:before="156" w:afterLines="50" w:after="156" w:line="500" w:lineRule="exact"/>
        <w:rPr>
          <w:rStyle w:val="da"/>
          <w:b/>
          <w:szCs w:val="21"/>
        </w:rPr>
      </w:pPr>
      <w:r>
        <w:rPr>
          <w:rStyle w:val="da"/>
          <w:b/>
          <w:szCs w:val="21"/>
        </w:rPr>
        <w:t xml:space="preserve"> </w:t>
      </w:r>
      <w:bookmarkStart w:id="0" w:name="_GoBack"/>
      <w:bookmarkEnd w:id="0"/>
    </w:p>
    <w:p w14:paraId="1EC42F61" w14:textId="77777777" w:rsidR="00FC5A62" w:rsidRPr="00B023DA" w:rsidRDefault="00C76273" w:rsidP="00B023DA">
      <w:pPr>
        <w:spacing w:beforeLines="50" w:before="156" w:line="500" w:lineRule="exact"/>
        <w:jc w:val="center"/>
        <w:rPr>
          <w:rStyle w:val="da"/>
          <w:rFonts w:ascii="黑体" w:eastAsia="黑体" w:hAnsi="黑体"/>
          <w:b/>
          <w:bCs/>
          <w:sz w:val="36"/>
          <w:szCs w:val="36"/>
        </w:rPr>
      </w:pPr>
      <w:bookmarkStart w:id="1" w:name="_Hlk141973014"/>
      <w:r w:rsidRPr="00B023DA">
        <w:rPr>
          <w:rStyle w:val="da"/>
          <w:rFonts w:ascii="黑体" w:eastAsia="黑体" w:hAnsi="黑体"/>
          <w:b/>
          <w:bCs/>
          <w:sz w:val="36"/>
          <w:szCs w:val="36"/>
        </w:rPr>
        <w:t>安徽省交通建设股份有限公司</w:t>
      </w:r>
    </w:p>
    <w:bookmarkEnd w:id="1"/>
    <w:p w14:paraId="675A533C" w14:textId="5480EABD" w:rsidR="00FC5A62" w:rsidRPr="00B023DA" w:rsidRDefault="00C76273" w:rsidP="00B023DA">
      <w:pPr>
        <w:spacing w:afterLines="50" w:after="156" w:line="500" w:lineRule="exact"/>
        <w:jc w:val="center"/>
        <w:rPr>
          <w:rStyle w:val="da"/>
          <w:rFonts w:ascii="黑体" w:eastAsia="黑体" w:hAnsi="黑体"/>
          <w:b/>
          <w:bCs/>
          <w:sz w:val="36"/>
          <w:szCs w:val="36"/>
        </w:rPr>
      </w:pPr>
      <w:r w:rsidRPr="00B023DA">
        <w:rPr>
          <w:rStyle w:val="da"/>
          <w:rFonts w:ascii="黑体" w:eastAsia="黑体" w:hAnsi="黑体"/>
          <w:b/>
          <w:bCs/>
          <w:sz w:val="36"/>
          <w:szCs w:val="36"/>
        </w:rPr>
        <w:t>关于对上海证券交易所《关于安徽省交通建设股份有限公司发行股份及支付现金购买资产并配套募集资金暨关联交易预案的问询函》的回复公告</w:t>
      </w:r>
    </w:p>
    <w:p w14:paraId="0F380B14" w14:textId="77777777" w:rsidR="00FC5A62" w:rsidRDefault="00FC5A62">
      <w:pPr>
        <w:spacing w:beforeLines="50" w:before="156" w:afterLines="50" w:after="156" w:line="500" w:lineRule="exact"/>
        <w:jc w:val="center"/>
        <w:rPr>
          <w:rStyle w:val="da"/>
          <w:rFonts w:eastAsia="黑体"/>
          <w:sz w:val="28"/>
          <w:szCs w:val="28"/>
        </w:rPr>
      </w:pPr>
    </w:p>
    <w:p w14:paraId="740DAF6A" w14:textId="70BA444D" w:rsidR="00FC5A62" w:rsidRPr="008F4E3C" w:rsidRDefault="00C76273" w:rsidP="00B023DA">
      <w:pPr>
        <w:pBdr>
          <w:top w:val="single" w:sz="4" w:space="1" w:color="auto"/>
          <w:left w:val="single" w:sz="4" w:space="4" w:color="auto"/>
          <w:bottom w:val="single" w:sz="4" w:space="1" w:color="auto"/>
          <w:right w:val="single" w:sz="4" w:space="4" w:color="auto"/>
        </w:pBdr>
        <w:spacing w:beforeLines="50" w:before="156" w:afterLines="50" w:after="156" w:line="500" w:lineRule="exact"/>
        <w:ind w:firstLineChars="200" w:firstLine="480"/>
        <w:rPr>
          <w:rStyle w:val="da"/>
          <w:bCs/>
          <w:sz w:val="24"/>
        </w:rPr>
      </w:pPr>
      <w:bookmarkStart w:id="2" w:name="_Hlk72250613"/>
      <w:r w:rsidRPr="008F4E3C">
        <w:rPr>
          <w:rStyle w:val="da"/>
          <w:bCs/>
          <w:sz w:val="24"/>
        </w:rPr>
        <w:t>本公司董事会及全体董事保证本公告内容不存在任何虚假记载、误导性陈述或者重大遗漏，并对其内容的真实性、准确性和完整性承担</w:t>
      </w:r>
      <w:r w:rsidR="00196471" w:rsidRPr="008F4E3C">
        <w:rPr>
          <w:rStyle w:val="da"/>
          <w:rFonts w:hint="eastAsia"/>
          <w:bCs/>
          <w:sz w:val="24"/>
        </w:rPr>
        <w:t>法律责任</w:t>
      </w:r>
      <w:r w:rsidRPr="008F4E3C">
        <w:rPr>
          <w:rStyle w:val="da"/>
          <w:bCs/>
          <w:sz w:val="24"/>
        </w:rPr>
        <w:t>。</w:t>
      </w:r>
    </w:p>
    <w:bookmarkEnd w:id="2"/>
    <w:p w14:paraId="4C0F7BB4" w14:textId="77777777" w:rsidR="00FC5A62" w:rsidRDefault="00C76273">
      <w:pPr>
        <w:widowControl/>
        <w:snapToGrid w:val="0"/>
        <w:spacing w:line="500" w:lineRule="exact"/>
        <w:ind w:firstLineChars="200" w:firstLine="420"/>
        <w:jc w:val="left"/>
        <w:rPr>
          <w:kern w:val="0"/>
          <w:szCs w:val="21"/>
        </w:rPr>
      </w:pPr>
      <w:r>
        <w:rPr>
          <w:kern w:val="0"/>
          <w:szCs w:val="21"/>
        </w:rPr>
        <w:t> </w:t>
      </w:r>
    </w:p>
    <w:p w14:paraId="09098E86" w14:textId="1824FF78" w:rsidR="00FC5A62" w:rsidRDefault="00C76273">
      <w:pPr>
        <w:spacing w:beforeLines="50" w:before="156" w:afterLines="50" w:after="156" w:line="500" w:lineRule="exact"/>
        <w:ind w:firstLineChars="200" w:firstLine="480"/>
        <w:rPr>
          <w:rFonts w:eastAsiaTheme="minorEastAsia"/>
          <w:color w:val="000000"/>
          <w:sz w:val="24"/>
        </w:rPr>
      </w:pPr>
      <w:r>
        <w:rPr>
          <w:rFonts w:eastAsiaTheme="minorEastAsia"/>
          <w:color w:val="000000"/>
          <w:sz w:val="24"/>
        </w:rPr>
        <w:t>安徽省交通建设股份有限公司（以下简称</w:t>
      </w:r>
      <w:r>
        <w:rPr>
          <w:rFonts w:eastAsiaTheme="minorEastAsia"/>
          <w:color w:val="000000"/>
          <w:sz w:val="24"/>
        </w:rPr>
        <w:t>“</w:t>
      </w:r>
      <w:r>
        <w:rPr>
          <w:rFonts w:eastAsiaTheme="minorEastAsia"/>
          <w:color w:val="000000"/>
          <w:sz w:val="24"/>
        </w:rPr>
        <w:t>公司</w:t>
      </w:r>
      <w:r>
        <w:rPr>
          <w:rFonts w:eastAsiaTheme="minorEastAsia"/>
          <w:color w:val="000000"/>
          <w:sz w:val="24"/>
        </w:rPr>
        <w:t>”</w:t>
      </w:r>
      <w:r>
        <w:rPr>
          <w:rFonts w:eastAsiaTheme="minorEastAsia"/>
          <w:color w:val="000000"/>
          <w:sz w:val="24"/>
        </w:rPr>
        <w:t>）于</w:t>
      </w:r>
      <w:r>
        <w:rPr>
          <w:rFonts w:eastAsiaTheme="minorEastAsia"/>
          <w:color w:val="000000"/>
          <w:sz w:val="24"/>
        </w:rPr>
        <w:t>2023</w:t>
      </w:r>
      <w:r>
        <w:rPr>
          <w:rFonts w:eastAsiaTheme="minorEastAsia"/>
          <w:color w:val="000000"/>
          <w:sz w:val="24"/>
        </w:rPr>
        <w:t>年</w:t>
      </w:r>
      <w:r>
        <w:rPr>
          <w:rFonts w:eastAsiaTheme="minorEastAsia"/>
          <w:color w:val="000000"/>
          <w:sz w:val="24"/>
        </w:rPr>
        <w:t>9</w:t>
      </w:r>
      <w:r>
        <w:rPr>
          <w:rFonts w:eastAsiaTheme="minorEastAsia"/>
          <w:color w:val="000000"/>
          <w:sz w:val="24"/>
        </w:rPr>
        <w:t>月</w:t>
      </w:r>
      <w:r>
        <w:rPr>
          <w:rFonts w:eastAsiaTheme="minorEastAsia"/>
          <w:color w:val="000000"/>
          <w:sz w:val="24"/>
        </w:rPr>
        <w:t>22</w:t>
      </w:r>
      <w:r>
        <w:rPr>
          <w:rFonts w:eastAsiaTheme="minorEastAsia"/>
          <w:color w:val="000000"/>
          <w:sz w:val="24"/>
        </w:rPr>
        <w:t>日收到上海证券交易所（以下简称</w:t>
      </w:r>
      <w:r>
        <w:rPr>
          <w:rFonts w:eastAsiaTheme="minorEastAsia"/>
          <w:color w:val="000000"/>
          <w:sz w:val="24"/>
        </w:rPr>
        <w:t>“</w:t>
      </w:r>
      <w:r>
        <w:rPr>
          <w:rFonts w:eastAsiaTheme="minorEastAsia"/>
          <w:color w:val="000000"/>
          <w:sz w:val="24"/>
        </w:rPr>
        <w:t>上交所</w:t>
      </w:r>
      <w:r>
        <w:rPr>
          <w:rFonts w:eastAsiaTheme="minorEastAsia"/>
          <w:color w:val="000000"/>
          <w:sz w:val="24"/>
        </w:rPr>
        <w:t>”</w:t>
      </w:r>
      <w:r>
        <w:rPr>
          <w:rFonts w:eastAsiaTheme="minorEastAsia"/>
          <w:color w:val="000000"/>
          <w:sz w:val="24"/>
        </w:rPr>
        <w:t>）下发的《关于安徽省交通建设股份有限公司发行股份及支付现金购买资产并配套募集资金暨关联交易预案的问询函》（上证公函【</w:t>
      </w:r>
      <w:r>
        <w:rPr>
          <w:rFonts w:eastAsiaTheme="minorEastAsia"/>
          <w:color w:val="000000"/>
          <w:sz w:val="24"/>
        </w:rPr>
        <w:t>2023</w:t>
      </w:r>
      <w:r>
        <w:rPr>
          <w:rFonts w:eastAsiaTheme="minorEastAsia"/>
          <w:color w:val="000000"/>
          <w:sz w:val="24"/>
        </w:rPr>
        <w:t>】</w:t>
      </w:r>
      <w:r>
        <w:rPr>
          <w:rFonts w:eastAsiaTheme="minorEastAsia"/>
          <w:color w:val="000000"/>
          <w:sz w:val="24"/>
        </w:rPr>
        <w:t>3292</w:t>
      </w:r>
      <w:r>
        <w:rPr>
          <w:rFonts w:eastAsiaTheme="minorEastAsia"/>
          <w:color w:val="000000"/>
          <w:sz w:val="24"/>
        </w:rPr>
        <w:t>号，以下简称</w:t>
      </w:r>
      <w:r>
        <w:rPr>
          <w:rFonts w:eastAsiaTheme="minorEastAsia"/>
          <w:color w:val="000000"/>
          <w:sz w:val="24"/>
        </w:rPr>
        <w:t>“</w:t>
      </w:r>
      <w:r>
        <w:rPr>
          <w:rFonts w:eastAsiaTheme="minorEastAsia"/>
          <w:color w:val="000000"/>
          <w:sz w:val="24"/>
        </w:rPr>
        <w:t>《问询函》</w:t>
      </w:r>
      <w:r>
        <w:rPr>
          <w:rFonts w:eastAsiaTheme="minorEastAsia"/>
          <w:color w:val="000000"/>
          <w:sz w:val="24"/>
        </w:rPr>
        <w:t>”</w:t>
      </w:r>
      <w:r>
        <w:rPr>
          <w:rFonts w:eastAsiaTheme="minorEastAsia"/>
          <w:color w:val="000000"/>
          <w:sz w:val="24"/>
        </w:rPr>
        <w:t>）。</w:t>
      </w:r>
    </w:p>
    <w:p w14:paraId="4EAD4DE5" w14:textId="77777777" w:rsidR="00FC5A62" w:rsidRDefault="00C76273">
      <w:pPr>
        <w:spacing w:beforeLines="50" w:before="156" w:afterLines="50" w:after="156" w:line="500" w:lineRule="exact"/>
        <w:ind w:firstLineChars="200" w:firstLine="480"/>
        <w:rPr>
          <w:rFonts w:eastAsiaTheme="minorEastAsia"/>
          <w:color w:val="000000"/>
          <w:sz w:val="24"/>
        </w:rPr>
      </w:pPr>
      <w:r>
        <w:rPr>
          <w:rFonts w:eastAsiaTheme="minorEastAsia"/>
          <w:color w:val="000000"/>
          <w:sz w:val="24"/>
        </w:rPr>
        <w:t>公司及相关各方就《问询函》中所涉及事项逐项进行了认真的核查、分析和研究，并对《问询函》中的有关问题向上交所进行了回复。同时，公司对照《问询函》的要求对《安徽省交通建设股份有限公司发行股份及支付现金购买资产并募集配套资金暨关联交易预案》及其摘要进行了修订和补充披露，并以楷体加粗标明。现将回复内容披露如下。</w:t>
      </w:r>
    </w:p>
    <w:p w14:paraId="69923244" w14:textId="77777777" w:rsidR="00FC5A62" w:rsidRDefault="00C76273">
      <w:pPr>
        <w:spacing w:beforeLines="50" w:before="156" w:afterLines="50" w:after="156" w:line="500" w:lineRule="exact"/>
        <w:ind w:firstLineChars="200" w:firstLine="480"/>
        <w:rPr>
          <w:rFonts w:eastAsiaTheme="minorEastAsia"/>
          <w:color w:val="000000"/>
          <w:sz w:val="24"/>
        </w:rPr>
      </w:pPr>
      <w:r>
        <w:rPr>
          <w:rFonts w:eastAsiaTheme="minorEastAsia"/>
          <w:color w:val="000000"/>
          <w:sz w:val="24"/>
        </w:rPr>
        <w:t>如无特别说明，本回复中的简称或名词的释义均与《安徽省交通建设股份有限公司发行股份及支付现金购买资产并募集配套资金暨关联交易预案（修订稿）》中相同。除特别说明外，若出现总数与各分项数值之和尾数不符的情况，均为四舍五入原因造成。</w:t>
      </w:r>
    </w:p>
    <w:p w14:paraId="289F4002" w14:textId="77777777" w:rsidR="00FC5A62" w:rsidRDefault="00C76273">
      <w:pPr>
        <w:widowControl/>
        <w:spacing w:beforeLines="50" w:before="156" w:afterLines="50" w:after="156"/>
        <w:jc w:val="left"/>
        <w:rPr>
          <w:rFonts w:eastAsiaTheme="minorEastAsia"/>
          <w:color w:val="000000"/>
          <w:sz w:val="24"/>
        </w:rPr>
      </w:pPr>
      <w:r>
        <w:rPr>
          <w:rFonts w:eastAsiaTheme="minorEastAsia"/>
          <w:color w:val="000000"/>
          <w:sz w:val="24"/>
        </w:rPr>
        <w:br w:type="page"/>
      </w:r>
    </w:p>
    <w:p w14:paraId="00675663" w14:textId="77777777" w:rsidR="00FC5A62" w:rsidRDefault="00C76273" w:rsidP="00876CCC">
      <w:pPr>
        <w:spacing w:beforeLines="50" w:before="156" w:afterLines="50" w:after="156" w:line="360" w:lineRule="auto"/>
        <w:ind w:firstLineChars="200" w:firstLine="480"/>
        <w:outlineLvl w:val="0"/>
        <w:rPr>
          <w:rFonts w:eastAsia="黑体"/>
          <w:sz w:val="24"/>
        </w:rPr>
      </w:pPr>
      <w:bookmarkStart w:id="3" w:name="_Toc75984750"/>
      <w:r>
        <w:rPr>
          <w:rFonts w:eastAsia="黑体"/>
          <w:sz w:val="24"/>
        </w:rPr>
        <w:lastRenderedPageBreak/>
        <w:t>一、关于</w:t>
      </w:r>
      <w:bookmarkEnd w:id="3"/>
      <w:r>
        <w:rPr>
          <w:rFonts w:eastAsia="黑体"/>
          <w:sz w:val="24"/>
        </w:rPr>
        <w:t>行业风险</w:t>
      </w:r>
    </w:p>
    <w:p w14:paraId="1769B649" w14:textId="77777777" w:rsidR="00FC5A62" w:rsidRDefault="00C76273" w:rsidP="00E63802">
      <w:pPr>
        <w:spacing w:beforeLines="50" w:before="156" w:afterLines="50" w:after="156" w:line="360" w:lineRule="auto"/>
        <w:ind w:firstLineChars="200" w:firstLine="480"/>
        <w:outlineLvl w:val="1"/>
        <w:rPr>
          <w:rFonts w:eastAsia="黑体"/>
          <w:sz w:val="24"/>
        </w:rPr>
      </w:pPr>
      <w:r>
        <w:rPr>
          <w:rFonts w:eastAsia="黑体" w:hint="eastAsia"/>
          <w:sz w:val="24"/>
        </w:rPr>
        <w:t>问题一</w:t>
      </w:r>
      <w:r>
        <w:rPr>
          <w:rFonts w:eastAsia="黑体"/>
          <w:sz w:val="24"/>
        </w:rPr>
        <w:t>、预案披露，标的公司主要从事光伏电池及组件的研发、生产及销售，主要产品为电池片及光伏组件，主要面向北美为主的海外市场。第三</w:t>
      </w:r>
      <w:proofErr w:type="gramStart"/>
      <w:r>
        <w:rPr>
          <w:rFonts w:eastAsia="黑体"/>
          <w:sz w:val="24"/>
        </w:rPr>
        <w:t>方咨询</w:t>
      </w:r>
      <w:proofErr w:type="gramEnd"/>
      <w:r>
        <w:rPr>
          <w:rFonts w:eastAsia="黑体"/>
          <w:sz w:val="24"/>
        </w:rPr>
        <w:t>机构</w:t>
      </w:r>
      <w:proofErr w:type="spellStart"/>
      <w:r>
        <w:rPr>
          <w:rFonts w:eastAsia="黑体"/>
          <w:sz w:val="24"/>
        </w:rPr>
        <w:t>InfoLink</w:t>
      </w:r>
      <w:proofErr w:type="spellEnd"/>
      <w:r>
        <w:rPr>
          <w:rFonts w:eastAsia="黑体"/>
          <w:sz w:val="24"/>
        </w:rPr>
        <w:t xml:space="preserve"> Consulting</w:t>
      </w:r>
      <w:r>
        <w:rPr>
          <w:rFonts w:eastAsia="黑体"/>
          <w:sz w:val="24"/>
        </w:rPr>
        <w:t>评估显示，</w:t>
      </w:r>
      <w:r>
        <w:rPr>
          <w:rFonts w:eastAsia="黑体"/>
          <w:sz w:val="24"/>
        </w:rPr>
        <w:t>2023</w:t>
      </w:r>
      <w:r>
        <w:rPr>
          <w:rFonts w:eastAsia="黑体"/>
          <w:sz w:val="24"/>
        </w:rPr>
        <w:t>年全球光伏装机需求乐观预计为</w:t>
      </w:r>
      <w:r>
        <w:rPr>
          <w:rFonts w:eastAsia="黑体"/>
          <w:sz w:val="24"/>
        </w:rPr>
        <w:t>398GW</w:t>
      </w:r>
      <w:r>
        <w:rPr>
          <w:rFonts w:eastAsia="黑体"/>
          <w:sz w:val="24"/>
        </w:rPr>
        <w:t>，而</w:t>
      </w:r>
      <w:r>
        <w:rPr>
          <w:rFonts w:eastAsia="黑体"/>
          <w:sz w:val="24"/>
        </w:rPr>
        <w:t>2023</w:t>
      </w:r>
      <w:r>
        <w:rPr>
          <w:rFonts w:eastAsia="黑体"/>
          <w:sz w:val="24"/>
        </w:rPr>
        <w:t>年底预计各环节总产能将超过</w:t>
      </w:r>
      <w:r>
        <w:rPr>
          <w:rFonts w:eastAsia="黑体"/>
          <w:sz w:val="24"/>
        </w:rPr>
        <w:t>800GW</w:t>
      </w:r>
      <w:r>
        <w:rPr>
          <w:rFonts w:eastAsia="黑体"/>
          <w:sz w:val="24"/>
        </w:rPr>
        <w:t>，行业存在产能过剩的风险。请公司结合标的公司主要产品构成、市场空间、未来增长率、现有产能、下游需求，以及标的公司行业地位、近期行业波动等，分析标的公司相关产品及所处行业是否存在产能过剩情况，相关产品后续是否能顺利实现销售，以及是否可能出现价格大幅下滑的问题，并充分提示风险。</w:t>
      </w:r>
    </w:p>
    <w:p w14:paraId="4D82C957" w14:textId="77777777" w:rsidR="00FC5A62" w:rsidRDefault="00C76273" w:rsidP="00E63802">
      <w:pPr>
        <w:spacing w:beforeLines="50" w:before="156" w:afterLines="50" w:after="156" w:line="360" w:lineRule="auto"/>
        <w:ind w:firstLineChars="200" w:firstLine="482"/>
        <w:rPr>
          <w:rFonts w:eastAsiaTheme="minorEastAsia"/>
          <w:b/>
          <w:bCs/>
          <w:color w:val="000000"/>
          <w:sz w:val="24"/>
        </w:rPr>
      </w:pPr>
      <w:r>
        <w:rPr>
          <w:rFonts w:eastAsiaTheme="minorEastAsia"/>
          <w:b/>
          <w:bCs/>
          <w:color w:val="000000"/>
          <w:sz w:val="24"/>
        </w:rPr>
        <w:t>回复：</w:t>
      </w:r>
    </w:p>
    <w:p w14:paraId="2D72E701" w14:textId="77777777" w:rsidR="00FC5A62" w:rsidRDefault="00C76273" w:rsidP="00E63802">
      <w:pPr>
        <w:spacing w:beforeLines="50" w:before="156" w:afterLines="50" w:after="156" w:line="360" w:lineRule="auto"/>
        <w:ind w:firstLineChars="200" w:firstLine="482"/>
        <w:outlineLvl w:val="2"/>
        <w:rPr>
          <w:b/>
          <w:bCs/>
          <w:color w:val="000000"/>
          <w:sz w:val="24"/>
        </w:rPr>
      </w:pPr>
      <w:r>
        <w:rPr>
          <w:rFonts w:hint="eastAsia"/>
          <w:b/>
          <w:bCs/>
          <w:color w:val="000000"/>
          <w:sz w:val="24"/>
        </w:rPr>
        <w:t>一、标的公司主要产品及所处行业基本情况</w:t>
      </w:r>
    </w:p>
    <w:p w14:paraId="2C14D998" w14:textId="77777777" w:rsidR="00FC5A62" w:rsidRDefault="00C76273" w:rsidP="00E63802">
      <w:pPr>
        <w:spacing w:beforeLines="50" w:before="156" w:afterLines="50" w:after="156" w:line="360" w:lineRule="auto"/>
        <w:ind w:firstLineChars="200" w:firstLine="482"/>
        <w:outlineLvl w:val="3"/>
        <w:rPr>
          <w:b/>
          <w:bCs/>
          <w:color w:val="000000"/>
          <w:sz w:val="24"/>
        </w:rPr>
      </w:pPr>
      <w:r>
        <w:rPr>
          <w:rFonts w:hint="eastAsia"/>
          <w:b/>
          <w:bCs/>
          <w:color w:val="000000"/>
          <w:sz w:val="24"/>
        </w:rPr>
        <w:t>（一）标的公司主要产品构成及现有产能情况</w:t>
      </w:r>
    </w:p>
    <w:p w14:paraId="36EC79F4" w14:textId="77777777" w:rsidR="00FC5A62" w:rsidRDefault="00C76273" w:rsidP="00E63802">
      <w:pPr>
        <w:spacing w:beforeLines="50" w:before="156" w:afterLines="50" w:after="156" w:line="360" w:lineRule="auto"/>
        <w:ind w:firstLineChars="200" w:firstLine="480"/>
        <w:rPr>
          <w:color w:val="000000"/>
          <w:sz w:val="24"/>
        </w:rPr>
      </w:pPr>
      <w:r>
        <w:rPr>
          <w:rFonts w:hint="eastAsia"/>
          <w:color w:val="000000"/>
          <w:sz w:val="24"/>
        </w:rPr>
        <w:t>报告期内，标的公司主营业务收入构成如下：</w:t>
      </w:r>
    </w:p>
    <w:p w14:paraId="290F6866" w14:textId="77777777" w:rsidR="00FC5A62" w:rsidRPr="008A1A3A" w:rsidRDefault="00C76273" w:rsidP="00876CCC">
      <w:pPr>
        <w:ind w:firstLineChars="200" w:firstLine="420"/>
        <w:jc w:val="right"/>
        <w:rPr>
          <w:color w:val="000000"/>
          <w:szCs w:val="21"/>
        </w:rPr>
      </w:pPr>
      <w:r w:rsidRPr="008A1A3A">
        <w:rPr>
          <w:rFonts w:hint="eastAsia"/>
          <w:color w:val="000000"/>
          <w:szCs w:val="21"/>
        </w:rPr>
        <w:t>单位：万元</w:t>
      </w:r>
    </w:p>
    <w:tbl>
      <w:tblPr>
        <w:tblStyle w:val="ae"/>
        <w:tblW w:w="5123" w:type="pct"/>
        <w:jc w:val="center"/>
        <w:tblLayout w:type="fixed"/>
        <w:tblLook w:val="04A0" w:firstRow="1" w:lastRow="0" w:firstColumn="1" w:lastColumn="0" w:noHBand="0" w:noVBand="1"/>
      </w:tblPr>
      <w:tblGrid>
        <w:gridCol w:w="1115"/>
        <w:gridCol w:w="1268"/>
        <w:gridCol w:w="1271"/>
        <w:gridCol w:w="1270"/>
        <w:gridCol w:w="1270"/>
        <w:gridCol w:w="1270"/>
        <w:gridCol w:w="1268"/>
      </w:tblGrid>
      <w:tr w:rsidR="005D2A83" w14:paraId="07A672B4" w14:textId="77777777" w:rsidTr="00EB0A16">
        <w:trPr>
          <w:trHeight w:val="397"/>
          <w:jc w:val="center"/>
        </w:trPr>
        <w:tc>
          <w:tcPr>
            <w:tcW w:w="639" w:type="pct"/>
            <w:vMerge w:val="restart"/>
            <w:shd w:val="clear" w:color="auto" w:fill="auto"/>
            <w:vAlign w:val="center"/>
          </w:tcPr>
          <w:p w14:paraId="7ECEC2E2" w14:textId="77777777" w:rsidR="005D2A83" w:rsidRDefault="005D2A83" w:rsidP="00EB0A16">
            <w:pPr>
              <w:widowControl/>
              <w:snapToGrid w:val="0"/>
              <w:jc w:val="center"/>
              <w:rPr>
                <w:b/>
                <w:szCs w:val="21"/>
              </w:rPr>
            </w:pPr>
            <w:r>
              <w:rPr>
                <w:b/>
                <w:szCs w:val="21"/>
              </w:rPr>
              <w:t>项目</w:t>
            </w:r>
          </w:p>
        </w:tc>
        <w:tc>
          <w:tcPr>
            <w:tcW w:w="1454" w:type="pct"/>
            <w:gridSpan w:val="2"/>
            <w:shd w:val="clear" w:color="auto" w:fill="auto"/>
            <w:vAlign w:val="center"/>
          </w:tcPr>
          <w:p w14:paraId="5D17657D" w14:textId="77777777" w:rsidR="005D2A83" w:rsidRDefault="005D2A83" w:rsidP="00EB0A16">
            <w:pPr>
              <w:widowControl/>
              <w:snapToGrid w:val="0"/>
              <w:jc w:val="center"/>
              <w:rPr>
                <w:b/>
                <w:szCs w:val="21"/>
              </w:rPr>
            </w:pPr>
            <w:r>
              <w:rPr>
                <w:b/>
                <w:szCs w:val="21"/>
              </w:rPr>
              <w:t>2023</w:t>
            </w:r>
            <w:r>
              <w:rPr>
                <w:b/>
                <w:szCs w:val="21"/>
              </w:rPr>
              <w:t>年</w:t>
            </w:r>
            <w:r>
              <w:rPr>
                <w:b/>
                <w:szCs w:val="21"/>
              </w:rPr>
              <w:t>1-3</w:t>
            </w:r>
            <w:r>
              <w:rPr>
                <w:b/>
                <w:szCs w:val="21"/>
              </w:rPr>
              <w:t>月</w:t>
            </w:r>
          </w:p>
        </w:tc>
        <w:tc>
          <w:tcPr>
            <w:tcW w:w="1454" w:type="pct"/>
            <w:gridSpan w:val="2"/>
            <w:shd w:val="clear" w:color="auto" w:fill="auto"/>
            <w:vAlign w:val="center"/>
          </w:tcPr>
          <w:p w14:paraId="659D6352" w14:textId="77777777" w:rsidR="005D2A83" w:rsidRDefault="005D2A83" w:rsidP="00EB0A16">
            <w:pPr>
              <w:widowControl/>
              <w:snapToGrid w:val="0"/>
              <w:jc w:val="center"/>
              <w:rPr>
                <w:b/>
                <w:szCs w:val="21"/>
              </w:rPr>
            </w:pPr>
            <w:r>
              <w:rPr>
                <w:b/>
                <w:szCs w:val="21"/>
              </w:rPr>
              <w:t>2022</w:t>
            </w:r>
            <w:r>
              <w:rPr>
                <w:b/>
                <w:szCs w:val="21"/>
              </w:rPr>
              <w:t>年度</w:t>
            </w:r>
          </w:p>
        </w:tc>
        <w:tc>
          <w:tcPr>
            <w:tcW w:w="1454" w:type="pct"/>
            <w:gridSpan w:val="2"/>
            <w:shd w:val="clear" w:color="auto" w:fill="auto"/>
            <w:vAlign w:val="center"/>
          </w:tcPr>
          <w:p w14:paraId="61F824BE" w14:textId="77777777" w:rsidR="005D2A83" w:rsidRDefault="005D2A83" w:rsidP="00EB0A16">
            <w:pPr>
              <w:widowControl/>
              <w:snapToGrid w:val="0"/>
              <w:jc w:val="center"/>
              <w:rPr>
                <w:b/>
                <w:szCs w:val="21"/>
              </w:rPr>
            </w:pPr>
            <w:r>
              <w:rPr>
                <w:b/>
                <w:szCs w:val="21"/>
              </w:rPr>
              <w:t>2021</w:t>
            </w:r>
            <w:r>
              <w:rPr>
                <w:b/>
                <w:szCs w:val="21"/>
              </w:rPr>
              <w:t>年度</w:t>
            </w:r>
          </w:p>
        </w:tc>
      </w:tr>
      <w:tr w:rsidR="005D2A83" w14:paraId="33A6C178" w14:textId="77777777" w:rsidTr="00EB0A16">
        <w:trPr>
          <w:trHeight w:val="397"/>
          <w:jc w:val="center"/>
        </w:trPr>
        <w:tc>
          <w:tcPr>
            <w:tcW w:w="639" w:type="pct"/>
            <w:vMerge/>
            <w:shd w:val="clear" w:color="auto" w:fill="auto"/>
            <w:vAlign w:val="center"/>
          </w:tcPr>
          <w:p w14:paraId="178B2987" w14:textId="77777777" w:rsidR="005D2A83" w:rsidRDefault="005D2A83" w:rsidP="00EB0A16">
            <w:pPr>
              <w:widowControl/>
              <w:snapToGrid w:val="0"/>
              <w:jc w:val="center"/>
              <w:rPr>
                <w:b/>
                <w:szCs w:val="21"/>
              </w:rPr>
            </w:pPr>
          </w:p>
        </w:tc>
        <w:tc>
          <w:tcPr>
            <w:tcW w:w="726" w:type="pct"/>
            <w:shd w:val="clear" w:color="auto" w:fill="auto"/>
            <w:vAlign w:val="center"/>
          </w:tcPr>
          <w:p w14:paraId="50C4D41E" w14:textId="77777777" w:rsidR="005D2A83" w:rsidRDefault="005D2A83" w:rsidP="00EB0A16">
            <w:pPr>
              <w:widowControl/>
              <w:snapToGrid w:val="0"/>
              <w:jc w:val="center"/>
              <w:rPr>
                <w:b/>
                <w:szCs w:val="21"/>
              </w:rPr>
            </w:pPr>
            <w:r>
              <w:rPr>
                <w:b/>
                <w:szCs w:val="21"/>
              </w:rPr>
              <w:t>金额</w:t>
            </w:r>
          </w:p>
        </w:tc>
        <w:tc>
          <w:tcPr>
            <w:tcW w:w="728" w:type="pct"/>
            <w:shd w:val="clear" w:color="auto" w:fill="auto"/>
            <w:vAlign w:val="center"/>
          </w:tcPr>
          <w:p w14:paraId="2A0A65F5" w14:textId="77777777" w:rsidR="005D2A83" w:rsidRDefault="005D2A83" w:rsidP="00EB0A16">
            <w:pPr>
              <w:widowControl/>
              <w:snapToGrid w:val="0"/>
              <w:jc w:val="center"/>
              <w:rPr>
                <w:b/>
                <w:szCs w:val="21"/>
              </w:rPr>
            </w:pPr>
            <w:r>
              <w:rPr>
                <w:b/>
                <w:szCs w:val="21"/>
              </w:rPr>
              <w:t>占比</w:t>
            </w:r>
          </w:p>
        </w:tc>
        <w:tc>
          <w:tcPr>
            <w:tcW w:w="727" w:type="pct"/>
            <w:shd w:val="clear" w:color="auto" w:fill="auto"/>
            <w:vAlign w:val="center"/>
          </w:tcPr>
          <w:p w14:paraId="6BF6206C" w14:textId="77777777" w:rsidR="005D2A83" w:rsidRDefault="005D2A83" w:rsidP="00EB0A16">
            <w:pPr>
              <w:widowControl/>
              <w:snapToGrid w:val="0"/>
              <w:jc w:val="center"/>
              <w:rPr>
                <w:b/>
                <w:szCs w:val="21"/>
              </w:rPr>
            </w:pPr>
            <w:r>
              <w:rPr>
                <w:b/>
                <w:szCs w:val="21"/>
              </w:rPr>
              <w:t>金额</w:t>
            </w:r>
          </w:p>
        </w:tc>
        <w:tc>
          <w:tcPr>
            <w:tcW w:w="727" w:type="pct"/>
            <w:shd w:val="clear" w:color="auto" w:fill="auto"/>
            <w:vAlign w:val="center"/>
          </w:tcPr>
          <w:p w14:paraId="5C46C6D2" w14:textId="77777777" w:rsidR="005D2A83" w:rsidRDefault="005D2A83" w:rsidP="00EB0A16">
            <w:pPr>
              <w:widowControl/>
              <w:snapToGrid w:val="0"/>
              <w:jc w:val="center"/>
              <w:rPr>
                <w:b/>
                <w:szCs w:val="21"/>
              </w:rPr>
            </w:pPr>
            <w:r>
              <w:rPr>
                <w:b/>
                <w:szCs w:val="21"/>
              </w:rPr>
              <w:t>占比</w:t>
            </w:r>
          </w:p>
        </w:tc>
        <w:tc>
          <w:tcPr>
            <w:tcW w:w="727" w:type="pct"/>
            <w:shd w:val="clear" w:color="auto" w:fill="auto"/>
            <w:vAlign w:val="center"/>
          </w:tcPr>
          <w:p w14:paraId="22463C3C" w14:textId="77777777" w:rsidR="005D2A83" w:rsidRDefault="005D2A83" w:rsidP="00EB0A16">
            <w:pPr>
              <w:widowControl/>
              <w:snapToGrid w:val="0"/>
              <w:jc w:val="center"/>
              <w:rPr>
                <w:b/>
                <w:szCs w:val="21"/>
              </w:rPr>
            </w:pPr>
            <w:r>
              <w:rPr>
                <w:b/>
                <w:szCs w:val="21"/>
              </w:rPr>
              <w:t>金额</w:t>
            </w:r>
          </w:p>
        </w:tc>
        <w:tc>
          <w:tcPr>
            <w:tcW w:w="726" w:type="pct"/>
            <w:shd w:val="clear" w:color="auto" w:fill="auto"/>
            <w:vAlign w:val="center"/>
          </w:tcPr>
          <w:p w14:paraId="7B818A62" w14:textId="77777777" w:rsidR="005D2A83" w:rsidRDefault="005D2A83" w:rsidP="00EB0A16">
            <w:pPr>
              <w:widowControl/>
              <w:snapToGrid w:val="0"/>
              <w:jc w:val="center"/>
              <w:rPr>
                <w:b/>
                <w:szCs w:val="21"/>
              </w:rPr>
            </w:pPr>
            <w:r>
              <w:rPr>
                <w:b/>
                <w:szCs w:val="21"/>
              </w:rPr>
              <w:t>占比</w:t>
            </w:r>
          </w:p>
        </w:tc>
      </w:tr>
      <w:tr w:rsidR="005D2A83" w14:paraId="198C83FA" w14:textId="77777777" w:rsidTr="00EB0A16">
        <w:trPr>
          <w:trHeight w:val="397"/>
          <w:jc w:val="center"/>
        </w:trPr>
        <w:tc>
          <w:tcPr>
            <w:tcW w:w="639" w:type="pct"/>
            <w:vAlign w:val="center"/>
          </w:tcPr>
          <w:p w14:paraId="1F58F9C7" w14:textId="77777777" w:rsidR="005D2A83" w:rsidRDefault="005D2A83" w:rsidP="00EB0A16">
            <w:pPr>
              <w:widowControl/>
              <w:snapToGrid w:val="0"/>
              <w:jc w:val="center"/>
              <w:rPr>
                <w:bCs/>
                <w:szCs w:val="21"/>
              </w:rPr>
            </w:pPr>
            <w:r>
              <w:rPr>
                <w:bCs/>
                <w:szCs w:val="21"/>
              </w:rPr>
              <w:t>组件</w:t>
            </w:r>
          </w:p>
        </w:tc>
        <w:tc>
          <w:tcPr>
            <w:tcW w:w="726" w:type="pct"/>
            <w:vAlign w:val="center"/>
          </w:tcPr>
          <w:p w14:paraId="33731153" w14:textId="77777777" w:rsidR="005D2A83" w:rsidRDefault="005D2A83" w:rsidP="00EB0A16">
            <w:pPr>
              <w:widowControl/>
              <w:snapToGrid w:val="0"/>
              <w:jc w:val="right"/>
              <w:rPr>
                <w:color w:val="000000"/>
                <w:szCs w:val="21"/>
              </w:rPr>
            </w:pPr>
            <w:r>
              <w:rPr>
                <w:color w:val="000000"/>
                <w:szCs w:val="21"/>
              </w:rPr>
              <w:t>100,024.42</w:t>
            </w:r>
          </w:p>
        </w:tc>
        <w:tc>
          <w:tcPr>
            <w:tcW w:w="728" w:type="pct"/>
            <w:vAlign w:val="center"/>
          </w:tcPr>
          <w:p w14:paraId="606C624F" w14:textId="77777777" w:rsidR="005D2A83" w:rsidRDefault="005D2A83" w:rsidP="00EB0A16">
            <w:pPr>
              <w:widowControl/>
              <w:snapToGrid w:val="0"/>
              <w:jc w:val="right"/>
              <w:rPr>
                <w:color w:val="000000"/>
                <w:szCs w:val="21"/>
              </w:rPr>
            </w:pPr>
            <w:r>
              <w:rPr>
                <w:rFonts w:hint="eastAsia"/>
                <w:color w:val="000000"/>
                <w:szCs w:val="21"/>
              </w:rPr>
              <w:t>82.61%</w:t>
            </w:r>
          </w:p>
        </w:tc>
        <w:tc>
          <w:tcPr>
            <w:tcW w:w="727" w:type="pct"/>
            <w:vAlign w:val="center"/>
          </w:tcPr>
          <w:p w14:paraId="390463A4" w14:textId="77777777" w:rsidR="005D2A83" w:rsidRDefault="005D2A83" w:rsidP="00EB0A16">
            <w:pPr>
              <w:widowControl/>
              <w:snapToGrid w:val="0"/>
              <w:jc w:val="right"/>
              <w:rPr>
                <w:color w:val="000000"/>
                <w:szCs w:val="21"/>
              </w:rPr>
            </w:pPr>
            <w:r>
              <w:rPr>
                <w:color w:val="000000"/>
                <w:szCs w:val="21"/>
              </w:rPr>
              <w:t>234,970.38</w:t>
            </w:r>
          </w:p>
        </w:tc>
        <w:tc>
          <w:tcPr>
            <w:tcW w:w="727" w:type="pct"/>
            <w:vAlign w:val="center"/>
          </w:tcPr>
          <w:p w14:paraId="786F567A" w14:textId="77777777" w:rsidR="005D2A83" w:rsidRDefault="005D2A83" w:rsidP="00EB0A16">
            <w:pPr>
              <w:widowControl/>
              <w:snapToGrid w:val="0"/>
              <w:jc w:val="right"/>
              <w:rPr>
                <w:color w:val="000000"/>
                <w:szCs w:val="21"/>
              </w:rPr>
            </w:pPr>
            <w:r>
              <w:rPr>
                <w:color w:val="000000"/>
                <w:szCs w:val="21"/>
              </w:rPr>
              <w:t>82.68%</w:t>
            </w:r>
          </w:p>
        </w:tc>
        <w:tc>
          <w:tcPr>
            <w:tcW w:w="727" w:type="pct"/>
            <w:vAlign w:val="center"/>
          </w:tcPr>
          <w:p w14:paraId="62558699" w14:textId="77777777" w:rsidR="005D2A83" w:rsidRDefault="005D2A83" w:rsidP="00EB0A16">
            <w:pPr>
              <w:widowControl/>
              <w:snapToGrid w:val="0"/>
              <w:jc w:val="right"/>
              <w:rPr>
                <w:color w:val="000000"/>
                <w:szCs w:val="21"/>
              </w:rPr>
            </w:pPr>
            <w:r>
              <w:rPr>
                <w:color w:val="000000"/>
                <w:szCs w:val="21"/>
              </w:rPr>
              <w:t>61,020.67</w:t>
            </w:r>
          </w:p>
        </w:tc>
        <w:tc>
          <w:tcPr>
            <w:tcW w:w="726" w:type="pct"/>
            <w:vAlign w:val="center"/>
          </w:tcPr>
          <w:p w14:paraId="0619743A" w14:textId="77777777" w:rsidR="005D2A83" w:rsidRDefault="005D2A83" w:rsidP="00EB0A16">
            <w:pPr>
              <w:widowControl/>
              <w:snapToGrid w:val="0"/>
              <w:jc w:val="right"/>
              <w:rPr>
                <w:color w:val="000000"/>
                <w:szCs w:val="21"/>
              </w:rPr>
            </w:pPr>
            <w:r>
              <w:rPr>
                <w:color w:val="000000"/>
                <w:szCs w:val="21"/>
              </w:rPr>
              <w:t>68.03%</w:t>
            </w:r>
          </w:p>
        </w:tc>
      </w:tr>
      <w:tr w:rsidR="005D2A83" w14:paraId="3B192A73" w14:textId="77777777" w:rsidTr="00EB0A16">
        <w:trPr>
          <w:trHeight w:val="397"/>
          <w:jc w:val="center"/>
        </w:trPr>
        <w:tc>
          <w:tcPr>
            <w:tcW w:w="639" w:type="pct"/>
            <w:vAlign w:val="center"/>
          </w:tcPr>
          <w:p w14:paraId="3EAFDC6C" w14:textId="77777777" w:rsidR="005D2A83" w:rsidRDefault="005D2A83" w:rsidP="00EB0A16">
            <w:pPr>
              <w:widowControl/>
              <w:snapToGrid w:val="0"/>
              <w:jc w:val="center"/>
              <w:rPr>
                <w:bCs/>
                <w:szCs w:val="21"/>
              </w:rPr>
            </w:pPr>
            <w:r>
              <w:rPr>
                <w:bCs/>
                <w:szCs w:val="21"/>
              </w:rPr>
              <w:t>电池片</w:t>
            </w:r>
          </w:p>
        </w:tc>
        <w:tc>
          <w:tcPr>
            <w:tcW w:w="726" w:type="pct"/>
            <w:vAlign w:val="center"/>
          </w:tcPr>
          <w:p w14:paraId="7BA7E376" w14:textId="77777777" w:rsidR="005D2A83" w:rsidRDefault="005D2A83" w:rsidP="00EB0A16">
            <w:pPr>
              <w:widowControl/>
              <w:snapToGrid w:val="0"/>
              <w:jc w:val="right"/>
              <w:rPr>
                <w:color w:val="000000"/>
                <w:szCs w:val="21"/>
              </w:rPr>
            </w:pPr>
            <w:r>
              <w:rPr>
                <w:color w:val="000000"/>
                <w:szCs w:val="21"/>
              </w:rPr>
              <w:t>21,054.35</w:t>
            </w:r>
          </w:p>
        </w:tc>
        <w:tc>
          <w:tcPr>
            <w:tcW w:w="728" w:type="pct"/>
            <w:vAlign w:val="center"/>
          </w:tcPr>
          <w:p w14:paraId="72CE29F7" w14:textId="77777777" w:rsidR="005D2A83" w:rsidRDefault="005D2A83" w:rsidP="00EB0A16">
            <w:pPr>
              <w:widowControl/>
              <w:snapToGrid w:val="0"/>
              <w:jc w:val="right"/>
              <w:rPr>
                <w:color w:val="000000"/>
                <w:szCs w:val="21"/>
              </w:rPr>
            </w:pPr>
            <w:r>
              <w:rPr>
                <w:rFonts w:hint="eastAsia"/>
                <w:color w:val="000000"/>
                <w:szCs w:val="21"/>
              </w:rPr>
              <w:t>17.39%</w:t>
            </w:r>
          </w:p>
        </w:tc>
        <w:tc>
          <w:tcPr>
            <w:tcW w:w="727" w:type="pct"/>
            <w:vAlign w:val="center"/>
          </w:tcPr>
          <w:p w14:paraId="6A2CCB8F" w14:textId="77777777" w:rsidR="005D2A83" w:rsidRDefault="005D2A83" w:rsidP="00EB0A16">
            <w:pPr>
              <w:widowControl/>
              <w:snapToGrid w:val="0"/>
              <w:jc w:val="right"/>
              <w:rPr>
                <w:color w:val="000000"/>
                <w:szCs w:val="21"/>
              </w:rPr>
            </w:pPr>
            <w:r>
              <w:rPr>
                <w:color w:val="000000"/>
                <w:szCs w:val="21"/>
              </w:rPr>
              <w:t>49,172.90</w:t>
            </w:r>
          </w:p>
        </w:tc>
        <w:tc>
          <w:tcPr>
            <w:tcW w:w="727" w:type="pct"/>
            <w:vAlign w:val="center"/>
          </w:tcPr>
          <w:p w14:paraId="538A1D44" w14:textId="77777777" w:rsidR="005D2A83" w:rsidRDefault="005D2A83" w:rsidP="00EB0A16">
            <w:pPr>
              <w:widowControl/>
              <w:snapToGrid w:val="0"/>
              <w:jc w:val="right"/>
              <w:rPr>
                <w:color w:val="000000"/>
                <w:szCs w:val="21"/>
              </w:rPr>
            </w:pPr>
            <w:r>
              <w:rPr>
                <w:color w:val="000000"/>
                <w:szCs w:val="21"/>
              </w:rPr>
              <w:t>17.30%</w:t>
            </w:r>
          </w:p>
        </w:tc>
        <w:tc>
          <w:tcPr>
            <w:tcW w:w="727" w:type="pct"/>
            <w:vAlign w:val="center"/>
          </w:tcPr>
          <w:p w14:paraId="74919E41" w14:textId="77777777" w:rsidR="005D2A83" w:rsidRDefault="005D2A83" w:rsidP="00EB0A16">
            <w:pPr>
              <w:widowControl/>
              <w:snapToGrid w:val="0"/>
              <w:jc w:val="right"/>
              <w:rPr>
                <w:color w:val="000000"/>
                <w:szCs w:val="21"/>
              </w:rPr>
            </w:pPr>
            <w:r>
              <w:rPr>
                <w:color w:val="000000"/>
                <w:szCs w:val="21"/>
              </w:rPr>
              <w:t>20,769.09</w:t>
            </w:r>
          </w:p>
        </w:tc>
        <w:tc>
          <w:tcPr>
            <w:tcW w:w="726" w:type="pct"/>
            <w:vAlign w:val="center"/>
          </w:tcPr>
          <w:p w14:paraId="11711AAD" w14:textId="77777777" w:rsidR="005D2A83" w:rsidRDefault="005D2A83" w:rsidP="00EB0A16">
            <w:pPr>
              <w:widowControl/>
              <w:snapToGrid w:val="0"/>
              <w:jc w:val="right"/>
              <w:rPr>
                <w:color w:val="000000"/>
                <w:szCs w:val="21"/>
              </w:rPr>
            </w:pPr>
            <w:r>
              <w:rPr>
                <w:color w:val="000000"/>
                <w:szCs w:val="21"/>
              </w:rPr>
              <w:t>23.15%</w:t>
            </w:r>
          </w:p>
        </w:tc>
      </w:tr>
      <w:tr w:rsidR="005D2A83" w14:paraId="50F95D86" w14:textId="77777777" w:rsidTr="00EB0A16">
        <w:trPr>
          <w:trHeight w:val="397"/>
          <w:jc w:val="center"/>
        </w:trPr>
        <w:tc>
          <w:tcPr>
            <w:tcW w:w="639" w:type="pct"/>
            <w:vAlign w:val="center"/>
          </w:tcPr>
          <w:p w14:paraId="4F7E622E" w14:textId="77777777" w:rsidR="005D2A83" w:rsidRDefault="005D2A83" w:rsidP="00EB0A16">
            <w:pPr>
              <w:widowControl/>
              <w:snapToGrid w:val="0"/>
              <w:jc w:val="center"/>
              <w:rPr>
                <w:bCs/>
                <w:szCs w:val="21"/>
              </w:rPr>
            </w:pPr>
            <w:r>
              <w:rPr>
                <w:bCs/>
                <w:szCs w:val="21"/>
              </w:rPr>
              <w:t>其他产品</w:t>
            </w:r>
          </w:p>
        </w:tc>
        <w:tc>
          <w:tcPr>
            <w:tcW w:w="726" w:type="pct"/>
            <w:vAlign w:val="center"/>
          </w:tcPr>
          <w:p w14:paraId="3E8967D6" w14:textId="77777777" w:rsidR="005D2A83" w:rsidRDefault="005D2A83" w:rsidP="00EB0A16">
            <w:pPr>
              <w:widowControl/>
              <w:snapToGrid w:val="0"/>
              <w:jc w:val="right"/>
              <w:rPr>
                <w:color w:val="000000"/>
                <w:szCs w:val="21"/>
              </w:rPr>
            </w:pPr>
            <w:r>
              <w:rPr>
                <w:color w:val="000000"/>
                <w:szCs w:val="21"/>
              </w:rPr>
              <w:t>4.13</w:t>
            </w:r>
          </w:p>
        </w:tc>
        <w:tc>
          <w:tcPr>
            <w:tcW w:w="728" w:type="pct"/>
            <w:vAlign w:val="center"/>
          </w:tcPr>
          <w:p w14:paraId="38615083" w14:textId="77777777" w:rsidR="005D2A83" w:rsidRDefault="005D2A83" w:rsidP="00EB0A16">
            <w:pPr>
              <w:widowControl/>
              <w:snapToGrid w:val="0"/>
              <w:jc w:val="right"/>
              <w:rPr>
                <w:color w:val="000000"/>
                <w:szCs w:val="21"/>
              </w:rPr>
            </w:pPr>
            <w:r>
              <w:rPr>
                <w:rFonts w:hint="eastAsia"/>
                <w:color w:val="000000"/>
                <w:szCs w:val="21"/>
              </w:rPr>
              <w:t>0.00%</w:t>
            </w:r>
          </w:p>
        </w:tc>
        <w:tc>
          <w:tcPr>
            <w:tcW w:w="727" w:type="pct"/>
            <w:vAlign w:val="center"/>
          </w:tcPr>
          <w:p w14:paraId="085A8E48" w14:textId="77777777" w:rsidR="005D2A83" w:rsidRDefault="005D2A83" w:rsidP="00EB0A16">
            <w:pPr>
              <w:widowControl/>
              <w:snapToGrid w:val="0"/>
              <w:jc w:val="right"/>
              <w:rPr>
                <w:color w:val="000000"/>
                <w:szCs w:val="21"/>
              </w:rPr>
            </w:pPr>
            <w:r>
              <w:rPr>
                <w:color w:val="000000"/>
                <w:szCs w:val="21"/>
              </w:rPr>
              <w:t>43.33</w:t>
            </w:r>
          </w:p>
        </w:tc>
        <w:tc>
          <w:tcPr>
            <w:tcW w:w="727" w:type="pct"/>
            <w:vAlign w:val="center"/>
          </w:tcPr>
          <w:p w14:paraId="151107B9" w14:textId="77777777" w:rsidR="005D2A83" w:rsidRDefault="005D2A83" w:rsidP="00EB0A16">
            <w:pPr>
              <w:widowControl/>
              <w:snapToGrid w:val="0"/>
              <w:jc w:val="right"/>
              <w:rPr>
                <w:color w:val="000000"/>
                <w:szCs w:val="21"/>
              </w:rPr>
            </w:pPr>
            <w:r>
              <w:rPr>
                <w:color w:val="000000"/>
                <w:szCs w:val="21"/>
              </w:rPr>
              <w:t>0.02%</w:t>
            </w:r>
          </w:p>
        </w:tc>
        <w:tc>
          <w:tcPr>
            <w:tcW w:w="727" w:type="pct"/>
            <w:vAlign w:val="center"/>
          </w:tcPr>
          <w:p w14:paraId="4961F416" w14:textId="77777777" w:rsidR="005D2A83" w:rsidRDefault="005D2A83" w:rsidP="00EB0A16">
            <w:pPr>
              <w:widowControl/>
              <w:snapToGrid w:val="0"/>
              <w:jc w:val="right"/>
              <w:rPr>
                <w:color w:val="000000"/>
                <w:szCs w:val="21"/>
              </w:rPr>
            </w:pPr>
            <w:r>
              <w:rPr>
                <w:color w:val="000000"/>
                <w:szCs w:val="21"/>
              </w:rPr>
              <w:t>7,908.06</w:t>
            </w:r>
          </w:p>
        </w:tc>
        <w:tc>
          <w:tcPr>
            <w:tcW w:w="726" w:type="pct"/>
            <w:vAlign w:val="center"/>
          </w:tcPr>
          <w:p w14:paraId="4DDDCC74" w14:textId="77777777" w:rsidR="005D2A83" w:rsidRDefault="005D2A83" w:rsidP="00EB0A16">
            <w:pPr>
              <w:widowControl/>
              <w:snapToGrid w:val="0"/>
              <w:jc w:val="right"/>
              <w:rPr>
                <w:color w:val="000000"/>
                <w:szCs w:val="21"/>
              </w:rPr>
            </w:pPr>
            <w:r>
              <w:rPr>
                <w:color w:val="000000"/>
                <w:szCs w:val="21"/>
              </w:rPr>
              <w:t>8.82%</w:t>
            </w:r>
          </w:p>
        </w:tc>
      </w:tr>
      <w:tr w:rsidR="005D2A83" w14:paraId="4208B727" w14:textId="77777777" w:rsidTr="00EB0A16">
        <w:trPr>
          <w:trHeight w:val="397"/>
          <w:jc w:val="center"/>
        </w:trPr>
        <w:tc>
          <w:tcPr>
            <w:tcW w:w="639" w:type="pct"/>
            <w:vAlign w:val="center"/>
          </w:tcPr>
          <w:p w14:paraId="0985C04A" w14:textId="77777777" w:rsidR="005D2A83" w:rsidRDefault="005D2A83" w:rsidP="00EB0A16">
            <w:pPr>
              <w:widowControl/>
              <w:snapToGrid w:val="0"/>
              <w:jc w:val="center"/>
              <w:rPr>
                <w:b/>
                <w:szCs w:val="21"/>
              </w:rPr>
            </w:pPr>
            <w:r>
              <w:rPr>
                <w:b/>
                <w:szCs w:val="21"/>
              </w:rPr>
              <w:t>合计</w:t>
            </w:r>
          </w:p>
        </w:tc>
        <w:tc>
          <w:tcPr>
            <w:tcW w:w="726" w:type="pct"/>
            <w:vAlign w:val="center"/>
          </w:tcPr>
          <w:p w14:paraId="6B2E8BDB" w14:textId="77777777" w:rsidR="005D2A83" w:rsidRDefault="005D2A83" w:rsidP="00EB0A16">
            <w:pPr>
              <w:widowControl/>
              <w:snapToGrid w:val="0"/>
              <w:jc w:val="right"/>
              <w:rPr>
                <w:b/>
                <w:color w:val="000000"/>
                <w:szCs w:val="21"/>
              </w:rPr>
            </w:pPr>
            <w:r>
              <w:rPr>
                <w:b/>
                <w:color w:val="000000"/>
                <w:szCs w:val="21"/>
              </w:rPr>
              <w:t>121,082.90</w:t>
            </w:r>
          </w:p>
        </w:tc>
        <w:tc>
          <w:tcPr>
            <w:tcW w:w="728" w:type="pct"/>
            <w:vAlign w:val="center"/>
          </w:tcPr>
          <w:p w14:paraId="73B83A81" w14:textId="77777777" w:rsidR="005D2A83" w:rsidRDefault="005D2A83" w:rsidP="00EB0A16">
            <w:pPr>
              <w:widowControl/>
              <w:snapToGrid w:val="0"/>
              <w:jc w:val="right"/>
              <w:rPr>
                <w:b/>
                <w:color w:val="000000"/>
                <w:szCs w:val="21"/>
              </w:rPr>
            </w:pPr>
            <w:r>
              <w:rPr>
                <w:rFonts w:hint="eastAsia"/>
                <w:b/>
                <w:color w:val="000000"/>
                <w:szCs w:val="21"/>
              </w:rPr>
              <w:t>100.00%</w:t>
            </w:r>
          </w:p>
        </w:tc>
        <w:tc>
          <w:tcPr>
            <w:tcW w:w="727" w:type="pct"/>
            <w:vAlign w:val="center"/>
          </w:tcPr>
          <w:p w14:paraId="7DA96111" w14:textId="77777777" w:rsidR="005D2A83" w:rsidRDefault="005D2A83" w:rsidP="00EB0A16">
            <w:pPr>
              <w:widowControl/>
              <w:snapToGrid w:val="0"/>
              <w:jc w:val="right"/>
              <w:rPr>
                <w:b/>
                <w:color w:val="000000"/>
                <w:szCs w:val="21"/>
              </w:rPr>
            </w:pPr>
            <w:r>
              <w:rPr>
                <w:b/>
                <w:color w:val="000000"/>
                <w:szCs w:val="21"/>
              </w:rPr>
              <w:t>284,186.61</w:t>
            </w:r>
          </w:p>
        </w:tc>
        <w:tc>
          <w:tcPr>
            <w:tcW w:w="727" w:type="pct"/>
            <w:vAlign w:val="center"/>
          </w:tcPr>
          <w:p w14:paraId="65FDD344" w14:textId="77777777" w:rsidR="005D2A83" w:rsidRDefault="005D2A83" w:rsidP="00EB0A16">
            <w:pPr>
              <w:widowControl/>
              <w:snapToGrid w:val="0"/>
              <w:jc w:val="right"/>
              <w:rPr>
                <w:b/>
                <w:color w:val="000000"/>
                <w:szCs w:val="21"/>
              </w:rPr>
            </w:pPr>
            <w:r>
              <w:rPr>
                <w:b/>
                <w:color w:val="000000"/>
                <w:szCs w:val="21"/>
              </w:rPr>
              <w:t>100.00%</w:t>
            </w:r>
          </w:p>
        </w:tc>
        <w:tc>
          <w:tcPr>
            <w:tcW w:w="727" w:type="pct"/>
            <w:vAlign w:val="center"/>
          </w:tcPr>
          <w:p w14:paraId="559ECEEA" w14:textId="77777777" w:rsidR="005D2A83" w:rsidRDefault="005D2A83" w:rsidP="00EB0A16">
            <w:pPr>
              <w:widowControl/>
              <w:snapToGrid w:val="0"/>
              <w:jc w:val="right"/>
              <w:rPr>
                <w:b/>
                <w:color w:val="000000"/>
                <w:szCs w:val="21"/>
              </w:rPr>
            </w:pPr>
            <w:r>
              <w:rPr>
                <w:b/>
                <w:color w:val="000000"/>
                <w:szCs w:val="21"/>
              </w:rPr>
              <w:t>89,697.82</w:t>
            </w:r>
          </w:p>
        </w:tc>
        <w:tc>
          <w:tcPr>
            <w:tcW w:w="726" w:type="pct"/>
            <w:vAlign w:val="center"/>
          </w:tcPr>
          <w:p w14:paraId="4874C079" w14:textId="77777777" w:rsidR="005D2A83" w:rsidRDefault="005D2A83" w:rsidP="00EB0A16">
            <w:pPr>
              <w:widowControl/>
              <w:snapToGrid w:val="0"/>
              <w:jc w:val="right"/>
              <w:rPr>
                <w:b/>
                <w:color w:val="000000"/>
                <w:szCs w:val="21"/>
              </w:rPr>
            </w:pPr>
            <w:r>
              <w:rPr>
                <w:b/>
                <w:color w:val="000000"/>
                <w:szCs w:val="21"/>
              </w:rPr>
              <w:t>100.00%</w:t>
            </w:r>
          </w:p>
        </w:tc>
      </w:tr>
    </w:tbl>
    <w:p w14:paraId="5138789D" w14:textId="2F27B6E7" w:rsidR="00FC5A62" w:rsidRDefault="00C76273">
      <w:r>
        <w:rPr>
          <w:rFonts w:hint="eastAsia"/>
        </w:rPr>
        <w:t>注：以上数据未经审计</w:t>
      </w:r>
    </w:p>
    <w:p w14:paraId="7E77EF48" w14:textId="097BD711" w:rsidR="00FC5A62" w:rsidRDefault="00C76273" w:rsidP="00B664C2">
      <w:pPr>
        <w:spacing w:beforeLines="50" w:before="156" w:afterLines="50" w:after="156" w:line="360" w:lineRule="auto"/>
        <w:ind w:firstLineChars="200" w:firstLine="480"/>
        <w:rPr>
          <w:color w:val="000000"/>
          <w:sz w:val="24"/>
        </w:rPr>
      </w:pPr>
      <w:r>
        <w:rPr>
          <w:rFonts w:hint="eastAsia"/>
          <w:color w:val="000000"/>
          <w:sz w:val="24"/>
        </w:rPr>
        <w:t>报告期内，标的公司的主要产品为光伏组件和光伏电池；其中，光伏组件的销售量分别为</w:t>
      </w:r>
      <w:r>
        <w:rPr>
          <w:color w:val="000000"/>
          <w:sz w:val="24"/>
        </w:rPr>
        <w:t>284MW</w:t>
      </w:r>
      <w:r>
        <w:rPr>
          <w:rFonts w:hint="eastAsia"/>
          <w:color w:val="000000"/>
          <w:sz w:val="24"/>
        </w:rPr>
        <w:t>、</w:t>
      </w:r>
      <w:r>
        <w:rPr>
          <w:rFonts w:hint="eastAsia"/>
          <w:color w:val="000000"/>
          <w:sz w:val="24"/>
        </w:rPr>
        <w:t>8</w:t>
      </w:r>
      <w:r>
        <w:rPr>
          <w:color w:val="000000"/>
          <w:sz w:val="24"/>
        </w:rPr>
        <w:t>39MW</w:t>
      </w:r>
      <w:r>
        <w:rPr>
          <w:rFonts w:hint="eastAsia"/>
          <w:color w:val="000000"/>
          <w:sz w:val="24"/>
        </w:rPr>
        <w:t>和</w:t>
      </w:r>
      <w:r>
        <w:rPr>
          <w:color w:val="000000"/>
          <w:sz w:val="24"/>
        </w:rPr>
        <w:t>372MW</w:t>
      </w:r>
      <w:r>
        <w:rPr>
          <w:rFonts w:hint="eastAsia"/>
          <w:color w:val="000000"/>
          <w:sz w:val="24"/>
        </w:rPr>
        <w:t>，光伏电池的销售量分别为</w:t>
      </w:r>
      <w:r>
        <w:rPr>
          <w:rFonts w:hint="eastAsia"/>
          <w:color w:val="000000"/>
          <w:sz w:val="24"/>
        </w:rPr>
        <w:t>1</w:t>
      </w:r>
      <w:r>
        <w:rPr>
          <w:color w:val="000000"/>
          <w:sz w:val="24"/>
        </w:rPr>
        <w:t>87MW</w:t>
      </w:r>
      <w:r>
        <w:rPr>
          <w:rFonts w:hint="eastAsia"/>
          <w:color w:val="000000"/>
          <w:sz w:val="24"/>
        </w:rPr>
        <w:t>、</w:t>
      </w:r>
      <w:r>
        <w:rPr>
          <w:color w:val="000000"/>
          <w:sz w:val="24"/>
        </w:rPr>
        <w:t>382MW</w:t>
      </w:r>
      <w:r>
        <w:rPr>
          <w:rFonts w:hint="eastAsia"/>
          <w:color w:val="000000"/>
          <w:sz w:val="24"/>
        </w:rPr>
        <w:t>和</w:t>
      </w:r>
      <w:r>
        <w:rPr>
          <w:rFonts w:hint="eastAsia"/>
          <w:color w:val="000000"/>
          <w:sz w:val="24"/>
        </w:rPr>
        <w:t>1</w:t>
      </w:r>
      <w:r>
        <w:rPr>
          <w:color w:val="000000"/>
          <w:sz w:val="24"/>
        </w:rPr>
        <w:t>51MW</w:t>
      </w:r>
      <w:r>
        <w:rPr>
          <w:rFonts w:hint="eastAsia"/>
          <w:color w:val="000000"/>
          <w:sz w:val="24"/>
        </w:rPr>
        <w:t>。截至</w:t>
      </w:r>
      <w:r>
        <w:rPr>
          <w:rFonts w:hint="eastAsia"/>
          <w:color w:val="000000"/>
          <w:sz w:val="24"/>
        </w:rPr>
        <w:t>2023</w:t>
      </w:r>
      <w:r>
        <w:rPr>
          <w:rFonts w:hint="eastAsia"/>
          <w:color w:val="000000"/>
          <w:sz w:val="24"/>
        </w:rPr>
        <w:t>年</w:t>
      </w:r>
      <w:r>
        <w:rPr>
          <w:rFonts w:hint="eastAsia"/>
          <w:color w:val="000000"/>
          <w:sz w:val="24"/>
        </w:rPr>
        <w:t>3</w:t>
      </w:r>
      <w:r>
        <w:rPr>
          <w:rFonts w:hint="eastAsia"/>
          <w:color w:val="000000"/>
          <w:sz w:val="24"/>
        </w:rPr>
        <w:t>月</w:t>
      </w:r>
      <w:r>
        <w:rPr>
          <w:rFonts w:hint="eastAsia"/>
          <w:color w:val="000000"/>
          <w:sz w:val="24"/>
        </w:rPr>
        <w:t>31</w:t>
      </w:r>
      <w:r>
        <w:rPr>
          <w:rFonts w:hint="eastAsia"/>
          <w:color w:val="000000"/>
          <w:sz w:val="24"/>
        </w:rPr>
        <w:t>日，标的公司在越南和柬埔寨合计拥有</w:t>
      </w:r>
      <w:r w:rsidR="002256F4">
        <w:rPr>
          <w:rFonts w:hint="eastAsia"/>
          <w:color w:val="000000"/>
          <w:sz w:val="24"/>
        </w:rPr>
        <w:t>约</w:t>
      </w:r>
      <w:r>
        <w:rPr>
          <w:rFonts w:hint="eastAsia"/>
          <w:color w:val="000000"/>
          <w:sz w:val="24"/>
        </w:rPr>
        <w:t>1</w:t>
      </w:r>
      <w:r>
        <w:rPr>
          <w:color w:val="000000"/>
          <w:sz w:val="24"/>
        </w:rPr>
        <w:t>.6</w:t>
      </w:r>
      <w:r>
        <w:rPr>
          <w:rFonts w:hint="eastAsia"/>
          <w:color w:val="000000"/>
          <w:sz w:val="24"/>
        </w:rPr>
        <w:t>GW</w:t>
      </w:r>
      <w:r>
        <w:rPr>
          <w:rFonts w:hint="eastAsia"/>
          <w:color w:val="000000"/>
          <w:sz w:val="24"/>
        </w:rPr>
        <w:t>光伏电池产能。上述生产基地生产制造的光伏电池产品，大部分通过</w:t>
      </w:r>
      <w:r>
        <w:rPr>
          <w:rFonts w:hint="eastAsia"/>
          <w:color w:val="000000"/>
          <w:sz w:val="24"/>
        </w:rPr>
        <w:t>OEM</w:t>
      </w:r>
      <w:r>
        <w:rPr>
          <w:rFonts w:hint="eastAsia"/>
          <w:color w:val="000000"/>
          <w:sz w:val="24"/>
        </w:rPr>
        <w:t>加工成光伏组件并销往以美国为主的海外市场，小部分则直接销售予海外光伏组件企业。</w:t>
      </w:r>
    </w:p>
    <w:p w14:paraId="68E908C2" w14:textId="0DB6BECB" w:rsidR="00FC5A62" w:rsidRDefault="00C76273" w:rsidP="00B664C2">
      <w:pPr>
        <w:spacing w:beforeLines="50" w:before="156" w:afterLines="50" w:after="156" w:line="360" w:lineRule="auto"/>
        <w:ind w:firstLineChars="200" w:firstLine="482"/>
        <w:outlineLvl w:val="3"/>
        <w:rPr>
          <w:b/>
          <w:bCs/>
          <w:color w:val="000000"/>
          <w:sz w:val="24"/>
        </w:rPr>
      </w:pPr>
      <w:r>
        <w:rPr>
          <w:rFonts w:hint="eastAsia"/>
          <w:b/>
          <w:bCs/>
          <w:color w:val="000000"/>
          <w:sz w:val="24"/>
        </w:rPr>
        <w:t>（二）标的公司目标市场情况</w:t>
      </w:r>
    </w:p>
    <w:p w14:paraId="4F01F116" w14:textId="6FA1B2D1" w:rsidR="00FC5A62" w:rsidRDefault="00C76273" w:rsidP="00B664C2">
      <w:pPr>
        <w:spacing w:beforeLines="50" w:before="156" w:afterLines="50" w:after="156" w:line="360" w:lineRule="auto"/>
        <w:ind w:firstLineChars="200" w:firstLine="480"/>
        <w:rPr>
          <w:color w:val="000000"/>
          <w:sz w:val="24"/>
        </w:rPr>
      </w:pPr>
      <w:r>
        <w:rPr>
          <w:rFonts w:hint="eastAsia"/>
          <w:color w:val="000000"/>
          <w:sz w:val="24"/>
        </w:rPr>
        <w:lastRenderedPageBreak/>
        <w:t>标的公司主要从事光伏电池及组件的研发、生产及销售，主要产品为电池片及光伏组件，报告期内主要面向美国为主的海外市场，标的公司</w:t>
      </w:r>
      <w:r>
        <w:rPr>
          <w:rFonts w:hint="eastAsia"/>
          <w:color w:val="000000"/>
          <w:sz w:val="24"/>
        </w:rPr>
        <w:t>2022</w:t>
      </w:r>
      <w:r>
        <w:rPr>
          <w:rFonts w:hint="eastAsia"/>
          <w:color w:val="000000"/>
          <w:sz w:val="24"/>
        </w:rPr>
        <w:t>年度光伏组件产品最终销往美国市场的占比超过</w:t>
      </w:r>
      <w:r>
        <w:rPr>
          <w:rFonts w:hint="eastAsia"/>
          <w:color w:val="000000"/>
          <w:sz w:val="24"/>
        </w:rPr>
        <w:t>9</w:t>
      </w:r>
      <w:r>
        <w:rPr>
          <w:color w:val="000000"/>
          <w:sz w:val="24"/>
        </w:rPr>
        <w:t>5</w:t>
      </w:r>
      <w:r>
        <w:rPr>
          <w:rFonts w:hint="eastAsia"/>
          <w:color w:val="000000"/>
          <w:sz w:val="24"/>
        </w:rPr>
        <w:t>%</w:t>
      </w:r>
      <w:r>
        <w:rPr>
          <w:rFonts w:hint="eastAsia"/>
          <w:color w:val="000000"/>
          <w:sz w:val="24"/>
        </w:rPr>
        <w:t>以上，美国是标的公司重要的目标市场。</w:t>
      </w:r>
    </w:p>
    <w:p w14:paraId="0C50F70C" w14:textId="77777777" w:rsidR="00FC5A62" w:rsidRDefault="00C76273" w:rsidP="00B664C2">
      <w:pPr>
        <w:spacing w:beforeLines="50" w:before="156" w:afterLines="50" w:after="156" w:line="360" w:lineRule="auto"/>
        <w:ind w:firstLineChars="200" w:firstLine="482"/>
        <w:outlineLvl w:val="4"/>
        <w:rPr>
          <w:b/>
          <w:bCs/>
          <w:color w:val="000000"/>
          <w:sz w:val="24"/>
        </w:rPr>
      </w:pPr>
      <w:r>
        <w:rPr>
          <w:rFonts w:hint="eastAsia"/>
          <w:b/>
          <w:bCs/>
          <w:color w:val="000000"/>
          <w:sz w:val="24"/>
        </w:rPr>
        <w:t>1</w:t>
      </w:r>
      <w:r>
        <w:rPr>
          <w:rFonts w:hint="eastAsia"/>
          <w:b/>
          <w:bCs/>
          <w:color w:val="000000"/>
          <w:sz w:val="24"/>
        </w:rPr>
        <w:t>、全球及美国的光伏装机情况</w:t>
      </w:r>
    </w:p>
    <w:p w14:paraId="536B5C11" w14:textId="042E0082" w:rsidR="00FC5A62" w:rsidRDefault="00C76273" w:rsidP="00B664C2">
      <w:pPr>
        <w:spacing w:beforeLines="50" w:before="156" w:afterLines="50" w:after="156" w:line="360" w:lineRule="auto"/>
        <w:ind w:firstLineChars="200" w:firstLine="480"/>
        <w:rPr>
          <w:color w:val="000000"/>
          <w:sz w:val="24"/>
        </w:rPr>
      </w:pPr>
      <w:r>
        <w:rPr>
          <w:rFonts w:hint="eastAsia"/>
          <w:color w:val="000000"/>
          <w:sz w:val="24"/>
        </w:rPr>
        <w:t>中国、欧盟和美国是全球前三大的光伏市场，美国也是除中国之外全球第二大的光伏装机国家，</w:t>
      </w:r>
      <w:r>
        <w:rPr>
          <w:rFonts w:hint="eastAsia"/>
          <w:color w:val="000000"/>
          <w:sz w:val="24"/>
        </w:rPr>
        <w:t>2022</w:t>
      </w:r>
      <w:r>
        <w:rPr>
          <w:rFonts w:hint="eastAsia"/>
          <w:color w:val="000000"/>
          <w:sz w:val="24"/>
        </w:rPr>
        <w:t>年美国新增光</w:t>
      </w:r>
      <w:proofErr w:type="gramStart"/>
      <w:r>
        <w:rPr>
          <w:rFonts w:hint="eastAsia"/>
          <w:color w:val="000000"/>
          <w:sz w:val="24"/>
        </w:rPr>
        <w:t>伏</w:t>
      </w:r>
      <w:proofErr w:type="gramEnd"/>
      <w:r>
        <w:rPr>
          <w:rFonts w:hint="eastAsia"/>
          <w:color w:val="000000"/>
          <w:sz w:val="24"/>
        </w:rPr>
        <w:t>装机</w:t>
      </w:r>
      <w:r>
        <w:rPr>
          <w:rFonts w:hint="eastAsia"/>
          <w:color w:val="000000"/>
          <w:sz w:val="24"/>
        </w:rPr>
        <w:t>20.2GW</w:t>
      </w:r>
      <w:r>
        <w:rPr>
          <w:rFonts w:hint="eastAsia"/>
          <w:color w:val="000000"/>
          <w:sz w:val="24"/>
        </w:rPr>
        <w:t>，占全球新增装机的</w:t>
      </w:r>
      <w:r>
        <w:rPr>
          <w:rFonts w:hint="eastAsia"/>
          <w:color w:val="000000"/>
          <w:sz w:val="24"/>
        </w:rPr>
        <w:t>8.78%</w:t>
      </w:r>
      <w:r>
        <w:rPr>
          <w:rFonts w:hint="eastAsia"/>
          <w:color w:val="000000"/>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890"/>
        <w:gridCol w:w="2308"/>
        <w:gridCol w:w="1551"/>
        <w:gridCol w:w="1894"/>
      </w:tblGrid>
      <w:tr w:rsidR="00FC5A62" w14:paraId="0700CECA" w14:textId="77777777">
        <w:trPr>
          <w:trHeight w:val="280"/>
          <w:jc w:val="center"/>
        </w:trPr>
        <w:tc>
          <w:tcPr>
            <w:tcW w:w="516" w:type="pct"/>
            <w:vMerge w:val="restart"/>
            <w:shd w:val="clear" w:color="auto" w:fill="auto"/>
            <w:noWrap/>
            <w:vAlign w:val="center"/>
          </w:tcPr>
          <w:p w14:paraId="58B7CF77" w14:textId="77777777" w:rsidR="00FC5A62" w:rsidRDefault="00C76273">
            <w:pPr>
              <w:widowControl/>
              <w:jc w:val="center"/>
              <w:rPr>
                <w:b/>
                <w:bCs/>
                <w:color w:val="000000"/>
                <w:kern w:val="0"/>
                <w:szCs w:val="21"/>
              </w:rPr>
            </w:pPr>
            <w:r>
              <w:rPr>
                <w:b/>
                <w:bCs/>
                <w:color w:val="000000"/>
                <w:kern w:val="0"/>
                <w:szCs w:val="21"/>
              </w:rPr>
              <w:t>排名</w:t>
            </w:r>
          </w:p>
        </w:tc>
        <w:tc>
          <w:tcPr>
            <w:tcW w:w="2463" w:type="pct"/>
            <w:gridSpan w:val="2"/>
            <w:shd w:val="clear" w:color="auto" w:fill="auto"/>
            <w:noWrap/>
            <w:vAlign w:val="center"/>
          </w:tcPr>
          <w:p w14:paraId="1E9EF986" w14:textId="77777777" w:rsidR="00FC5A62" w:rsidRDefault="00C76273">
            <w:pPr>
              <w:widowControl/>
              <w:jc w:val="center"/>
              <w:rPr>
                <w:b/>
                <w:bCs/>
                <w:color w:val="000000"/>
                <w:kern w:val="0"/>
                <w:szCs w:val="21"/>
              </w:rPr>
            </w:pPr>
            <w:r>
              <w:rPr>
                <w:b/>
                <w:bCs/>
                <w:color w:val="000000"/>
                <w:kern w:val="0"/>
                <w:szCs w:val="21"/>
              </w:rPr>
              <w:t>2022</w:t>
            </w:r>
            <w:r>
              <w:rPr>
                <w:b/>
                <w:bCs/>
                <w:color w:val="000000"/>
                <w:kern w:val="0"/>
                <w:szCs w:val="21"/>
              </w:rPr>
              <w:t>年度新增光</w:t>
            </w:r>
            <w:proofErr w:type="gramStart"/>
            <w:r>
              <w:rPr>
                <w:b/>
                <w:bCs/>
                <w:color w:val="000000"/>
                <w:kern w:val="0"/>
                <w:szCs w:val="21"/>
              </w:rPr>
              <w:t>伏</w:t>
            </w:r>
            <w:proofErr w:type="gramEnd"/>
            <w:r>
              <w:rPr>
                <w:b/>
                <w:bCs/>
                <w:color w:val="000000"/>
                <w:kern w:val="0"/>
                <w:szCs w:val="21"/>
              </w:rPr>
              <w:t>装机量排行</w:t>
            </w:r>
          </w:p>
        </w:tc>
        <w:tc>
          <w:tcPr>
            <w:tcW w:w="2021" w:type="pct"/>
            <w:gridSpan w:val="2"/>
            <w:shd w:val="clear" w:color="auto" w:fill="auto"/>
            <w:noWrap/>
            <w:vAlign w:val="center"/>
          </w:tcPr>
          <w:p w14:paraId="53D755BB" w14:textId="77777777" w:rsidR="00FC5A62" w:rsidRDefault="00C76273">
            <w:pPr>
              <w:widowControl/>
              <w:jc w:val="center"/>
              <w:rPr>
                <w:b/>
                <w:bCs/>
                <w:color w:val="000000"/>
                <w:kern w:val="0"/>
                <w:szCs w:val="21"/>
              </w:rPr>
            </w:pPr>
            <w:r>
              <w:rPr>
                <w:b/>
                <w:bCs/>
                <w:color w:val="000000"/>
                <w:kern w:val="0"/>
                <w:szCs w:val="21"/>
              </w:rPr>
              <w:t>累计光伏装机量排名</w:t>
            </w:r>
          </w:p>
        </w:tc>
      </w:tr>
      <w:tr w:rsidR="00FC5A62" w14:paraId="4E8D1877" w14:textId="77777777">
        <w:trPr>
          <w:trHeight w:val="280"/>
          <w:jc w:val="center"/>
        </w:trPr>
        <w:tc>
          <w:tcPr>
            <w:tcW w:w="516" w:type="pct"/>
            <w:vMerge/>
            <w:shd w:val="clear" w:color="auto" w:fill="auto"/>
            <w:noWrap/>
            <w:vAlign w:val="center"/>
          </w:tcPr>
          <w:p w14:paraId="4509C56B" w14:textId="77777777" w:rsidR="00FC5A62" w:rsidRDefault="00FC5A62">
            <w:pPr>
              <w:widowControl/>
              <w:jc w:val="center"/>
              <w:rPr>
                <w:b/>
                <w:bCs/>
                <w:color w:val="000000"/>
                <w:kern w:val="0"/>
                <w:szCs w:val="21"/>
              </w:rPr>
            </w:pPr>
          </w:p>
        </w:tc>
        <w:tc>
          <w:tcPr>
            <w:tcW w:w="1109" w:type="pct"/>
            <w:shd w:val="clear" w:color="auto" w:fill="auto"/>
            <w:noWrap/>
            <w:vAlign w:val="center"/>
          </w:tcPr>
          <w:p w14:paraId="22E76FE4" w14:textId="77777777" w:rsidR="00FC5A62" w:rsidRDefault="00C76273">
            <w:pPr>
              <w:widowControl/>
              <w:jc w:val="center"/>
              <w:rPr>
                <w:b/>
                <w:bCs/>
                <w:color w:val="000000"/>
                <w:kern w:val="0"/>
                <w:szCs w:val="21"/>
              </w:rPr>
            </w:pPr>
            <w:r>
              <w:rPr>
                <w:b/>
                <w:bCs/>
                <w:color w:val="000000"/>
                <w:kern w:val="0"/>
                <w:szCs w:val="21"/>
              </w:rPr>
              <w:t>国家</w:t>
            </w:r>
            <w:r>
              <w:rPr>
                <w:b/>
                <w:bCs/>
                <w:color w:val="000000"/>
                <w:kern w:val="0"/>
                <w:szCs w:val="21"/>
              </w:rPr>
              <w:t>/</w:t>
            </w:r>
            <w:r>
              <w:rPr>
                <w:b/>
                <w:bCs/>
                <w:color w:val="000000"/>
                <w:kern w:val="0"/>
                <w:szCs w:val="21"/>
              </w:rPr>
              <w:t>地区</w:t>
            </w:r>
          </w:p>
        </w:tc>
        <w:tc>
          <w:tcPr>
            <w:tcW w:w="1353" w:type="pct"/>
            <w:shd w:val="clear" w:color="auto" w:fill="auto"/>
            <w:noWrap/>
            <w:vAlign w:val="center"/>
          </w:tcPr>
          <w:p w14:paraId="23BC4563" w14:textId="77777777" w:rsidR="00FC5A62" w:rsidRDefault="00C76273">
            <w:pPr>
              <w:widowControl/>
              <w:jc w:val="center"/>
              <w:rPr>
                <w:b/>
                <w:bCs/>
                <w:color w:val="000000"/>
                <w:kern w:val="0"/>
                <w:szCs w:val="21"/>
              </w:rPr>
            </w:pPr>
            <w:r>
              <w:rPr>
                <w:b/>
                <w:bCs/>
                <w:color w:val="000000"/>
                <w:kern w:val="0"/>
                <w:szCs w:val="21"/>
              </w:rPr>
              <w:t>装机量</w:t>
            </w:r>
            <w:r>
              <w:rPr>
                <w:b/>
                <w:bCs/>
                <w:color w:val="000000"/>
                <w:kern w:val="0"/>
                <w:szCs w:val="21"/>
              </w:rPr>
              <w:t>(GW)</w:t>
            </w:r>
          </w:p>
        </w:tc>
        <w:tc>
          <w:tcPr>
            <w:tcW w:w="910" w:type="pct"/>
            <w:shd w:val="clear" w:color="auto" w:fill="auto"/>
            <w:noWrap/>
            <w:vAlign w:val="center"/>
          </w:tcPr>
          <w:p w14:paraId="08BEAC5A" w14:textId="77777777" w:rsidR="00FC5A62" w:rsidRDefault="00C76273">
            <w:pPr>
              <w:widowControl/>
              <w:jc w:val="center"/>
              <w:rPr>
                <w:b/>
                <w:bCs/>
                <w:color w:val="000000"/>
                <w:kern w:val="0"/>
                <w:szCs w:val="21"/>
              </w:rPr>
            </w:pPr>
            <w:r>
              <w:rPr>
                <w:b/>
                <w:bCs/>
                <w:color w:val="000000"/>
                <w:kern w:val="0"/>
                <w:szCs w:val="21"/>
              </w:rPr>
              <w:t>国家</w:t>
            </w:r>
            <w:r>
              <w:rPr>
                <w:b/>
                <w:bCs/>
                <w:color w:val="000000"/>
                <w:kern w:val="0"/>
                <w:szCs w:val="21"/>
              </w:rPr>
              <w:t>/</w:t>
            </w:r>
            <w:r>
              <w:rPr>
                <w:b/>
                <w:bCs/>
                <w:color w:val="000000"/>
                <w:kern w:val="0"/>
                <w:szCs w:val="21"/>
              </w:rPr>
              <w:t>地区</w:t>
            </w:r>
          </w:p>
        </w:tc>
        <w:tc>
          <w:tcPr>
            <w:tcW w:w="1111" w:type="pct"/>
            <w:shd w:val="clear" w:color="auto" w:fill="auto"/>
            <w:noWrap/>
            <w:vAlign w:val="center"/>
          </w:tcPr>
          <w:p w14:paraId="15E6B3D1" w14:textId="77777777" w:rsidR="00FC5A62" w:rsidRDefault="00C76273">
            <w:pPr>
              <w:widowControl/>
              <w:jc w:val="center"/>
              <w:rPr>
                <w:b/>
                <w:bCs/>
                <w:color w:val="000000"/>
                <w:kern w:val="0"/>
                <w:szCs w:val="21"/>
              </w:rPr>
            </w:pPr>
            <w:r>
              <w:rPr>
                <w:b/>
                <w:bCs/>
                <w:color w:val="000000"/>
                <w:kern w:val="0"/>
                <w:szCs w:val="21"/>
              </w:rPr>
              <w:t>装机量</w:t>
            </w:r>
            <w:r>
              <w:rPr>
                <w:b/>
                <w:bCs/>
                <w:color w:val="000000"/>
                <w:kern w:val="0"/>
                <w:szCs w:val="21"/>
              </w:rPr>
              <w:t>(GW)</w:t>
            </w:r>
          </w:p>
        </w:tc>
      </w:tr>
      <w:tr w:rsidR="00FC5A62" w14:paraId="5F3CC72C" w14:textId="77777777">
        <w:trPr>
          <w:trHeight w:val="280"/>
          <w:jc w:val="center"/>
        </w:trPr>
        <w:tc>
          <w:tcPr>
            <w:tcW w:w="516" w:type="pct"/>
            <w:shd w:val="clear" w:color="auto" w:fill="auto"/>
            <w:noWrap/>
            <w:vAlign w:val="center"/>
          </w:tcPr>
          <w:p w14:paraId="15F06845" w14:textId="77777777" w:rsidR="00FC5A62" w:rsidRDefault="00C76273">
            <w:pPr>
              <w:widowControl/>
              <w:jc w:val="center"/>
              <w:rPr>
                <w:color w:val="000000"/>
                <w:kern w:val="0"/>
                <w:szCs w:val="21"/>
              </w:rPr>
            </w:pPr>
            <w:r>
              <w:rPr>
                <w:color w:val="000000"/>
                <w:kern w:val="0"/>
                <w:szCs w:val="21"/>
              </w:rPr>
              <w:t>1</w:t>
            </w:r>
          </w:p>
        </w:tc>
        <w:tc>
          <w:tcPr>
            <w:tcW w:w="1109" w:type="pct"/>
            <w:shd w:val="clear" w:color="auto" w:fill="auto"/>
            <w:noWrap/>
            <w:vAlign w:val="center"/>
          </w:tcPr>
          <w:p w14:paraId="42DCED24" w14:textId="77777777" w:rsidR="00FC5A62" w:rsidRDefault="00C76273">
            <w:pPr>
              <w:widowControl/>
              <w:jc w:val="center"/>
              <w:rPr>
                <w:color w:val="000000"/>
                <w:kern w:val="0"/>
                <w:szCs w:val="21"/>
              </w:rPr>
            </w:pPr>
            <w:r>
              <w:rPr>
                <w:color w:val="000000"/>
                <w:kern w:val="0"/>
                <w:szCs w:val="21"/>
              </w:rPr>
              <w:t>中国</w:t>
            </w:r>
          </w:p>
        </w:tc>
        <w:tc>
          <w:tcPr>
            <w:tcW w:w="1353" w:type="pct"/>
            <w:shd w:val="clear" w:color="auto" w:fill="auto"/>
            <w:noWrap/>
            <w:vAlign w:val="center"/>
          </w:tcPr>
          <w:p w14:paraId="30826242" w14:textId="77777777" w:rsidR="00FC5A62" w:rsidRDefault="00C76273">
            <w:pPr>
              <w:widowControl/>
              <w:jc w:val="center"/>
              <w:rPr>
                <w:color w:val="000000"/>
                <w:kern w:val="0"/>
                <w:szCs w:val="21"/>
              </w:rPr>
            </w:pPr>
            <w:r>
              <w:rPr>
                <w:color w:val="000000"/>
                <w:kern w:val="0"/>
                <w:szCs w:val="21"/>
              </w:rPr>
              <w:t>87.41</w:t>
            </w:r>
          </w:p>
        </w:tc>
        <w:tc>
          <w:tcPr>
            <w:tcW w:w="910" w:type="pct"/>
            <w:shd w:val="clear" w:color="auto" w:fill="auto"/>
            <w:noWrap/>
            <w:vAlign w:val="center"/>
          </w:tcPr>
          <w:p w14:paraId="15005233" w14:textId="77777777" w:rsidR="00FC5A62" w:rsidRDefault="00C76273">
            <w:pPr>
              <w:widowControl/>
              <w:jc w:val="center"/>
              <w:rPr>
                <w:color w:val="000000"/>
                <w:kern w:val="0"/>
                <w:szCs w:val="21"/>
              </w:rPr>
            </w:pPr>
            <w:r>
              <w:rPr>
                <w:color w:val="000000"/>
                <w:kern w:val="0"/>
                <w:szCs w:val="21"/>
              </w:rPr>
              <w:t>中国</w:t>
            </w:r>
          </w:p>
        </w:tc>
        <w:tc>
          <w:tcPr>
            <w:tcW w:w="1111" w:type="pct"/>
            <w:shd w:val="clear" w:color="auto" w:fill="auto"/>
            <w:noWrap/>
            <w:vAlign w:val="center"/>
          </w:tcPr>
          <w:p w14:paraId="485E284C" w14:textId="77777777" w:rsidR="00FC5A62" w:rsidRDefault="00C76273">
            <w:pPr>
              <w:widowControl/>
              <w:jc w:val="center"/>
              <w:rPr>
                <w:color w:val="000000"/>
                <w:kern w:val="0"/>
                <w:szCs w:val="21"/>
              </w:rPr>
            </w:pPr>
            <w:r>
              <w:rPr>
                <w:color w:val="000000"/>
                <w:kern w:val="0"/>
                <w:szCs w:val="21"/>
              </w:rPr>
              <w:t>414.5</w:t>
            </w:r>
          </w:p>
        </w:tc>
      </w:tr>
      <w:tr w:rsidR="00FC5A62" w14:paraId="0F126DEC" w14:textId="77777777">
        <w:trPr>
          <w:trHeight w:val="280"/>
          <w:jc w:val="center"/>
        </w:trPr>
        <w:tc>
          <w:tcPr>
            <w:tcW w:w="516" w:type="pct"/>
            <w:shd w:val="clear" w:color="auto" w:fill="auto"/>
            <w:noWrap/>
            <w:vAlign w:val="center"/>
          </w:tcPr>
          <w:p w14:paraId="39B1BB7A" w14:textId="77777777" w:rsidR="00FC5A62" w:rsidRDefault="00C76273">
            <w:pPr>
              <w:widowControl/>
              <w:jc w:val="center"/>
              <w:rPr>
                <w:color w:val="000000"/>
                <w:kern w:val="0"/>
                <w:szCs w:val="21"/>
              </w:rPr>
            </w:pPr>
            <w:r>
              <w:rPr>
                <w:color w:val="000000"/>
                <w:kern w:val="0"/>
                <w:szCs w:val="21"/>
              </w:rPr>
              <w:t>2</w:t>
            </w:r>
          </w:p>
        </w:tc>
        <w:tc>
          <w:tcPr>
            <w:tcW w:w="1109" w:type="pct"/>
            <w:shd w:val="clear" w:color="auto" w:fill="auto"/>
            <w:noWrap/>
            <w:vAlign w:val="center"/>
          </w:tcPr>
          <w:p w14:paraId="7271FEA6" w14:textId="77777777" w:rsidR="00FC5A62" w:rsidRDefault="00C76273">
            <w:pPr>
              <w:widowControl/>
              <w:jc w:val="center"/>
              <w:rPr>
                <w:color w:val="000000"/>
                <w:kern w:val="0"/>
                <w:szCs w:val="21"/>
              </w:rPr>
            </w:pPr>
            <w:r>
              <w:rPr>
                <w:color w:val="000000"/>
                <w:kern w:val="0"/>
                <w:szCs w:val="21"/>
              </w:rPr>
              <w:t>欧盟</w:t>
            </w:r>
          </w:p>
        </w:tc>
        <w:tc>
          <w:tcPr>
            <w:tcW w:w="1353" w:type="pct"/>
            <w:shd w:val="clear" w:color="auto" w:fill="auto"/>
            <w:noWrap/>
            <w:vAlign w:val="center"/>
          </w:tcPr>
          <w:p w14:paraId="1A432383" w14:textId="77777777" w:rsidR="00FC5A62" w:rsidRDefault="00C76273">
            <w:pPr>
              <w:widowControl/>
              <w:jc w:val="center"/>
              <w:rPr>
                <w:color w:val="000000"/>
                <w:kern w:val="0"/>
                <w:szCs w:val="21"/>
              </w:rPr>
            </w:pPr>
            <w:r>
              <w:rPr>
                <w:color w:val="000000"/>
                <w:kern w:val="0"/>
                <w:szCs w:val="21"/>
              </w:rPr>
              <w:t>38.7</w:t>
            </w:r>
          </w:p>
        </w:tc>
        <w:tc>
          <w:tcPr>
            <w:tcW w:w="910" w:type="pct"/>
            <w:shd w:val="clear" w:color="auto" w:fill="auto"/>
            <w:noWrap/>
            <w:vAlign w:val="center"/>
          </w:tcPr>
          <w:p w14:paraId="1CB62026" w14:textId="77777777" w:rsidR="00FC5A62" w:rsidRDefault="00C76273">
            <w:pPr>
              <w:widowControl/>
              <w:jc w:val="center"/>
              <w:rPr>
                <w:color w:val="000000"/>
                <w:kern w:val="0"/>
                <w:szCs w:val="21"/>
              </w:rPr>
            </w:pPr>
            <w:r>
              <w:rPr>
                <w:color w:val="000000"/>
                <w:kern w:val="0"/>
                <w:szCs w:val="21"/>
              </w:rPr>
              <w:t>欧盟</w:t>
            </w:r>
          </w:p>
        </w:tc>
        <w:tc>
          <w:tcPr>
            <w:tcW w:w="1111" w:type="pct"/>
            <w:shd w:val="clear" w:color="auto" w:fill="auto"/>
            <w:noWrap/>
            <w:vAlign w:val="center"/>
          </w:tcPr>
          <w:p w14:paraId="11FC1731" w14:textId="77777777" w:rsidR="00FC5A62" w:rsidRDefault="00C76273">
            <w:pPr>
              <w:widowControl/>
              <w:jc w:val="center"/>
              <w:rPr>
                <w:color w:val="000000"/>
                <w:kern w:val="0"/>
                <w:szCs w:val="21"/>
              </w:rPr>
            </w:pPr>
            <w:r>
              <w:rPr>
                <w:color w:val="000000"/>
                <w:kern w:val="0"/>
                <w:szCs w:val="21"/>
              </w:rPr>
              <w:t>209.3</w:t>
            </w:r>
          </w:p>
        </w:tc>
      </w:tr>
      <w:tr w:rsidR="00FC5A62" w14:paraId="58E324CE" w14:textId="77777777">
        <w:trPr>
          <w:trHeight w:val="280"/>
          <w:jc w:val="center"/>
        </w:trPr>
        <w:tc>
          <w:tcPr>
            <w:tcW w:w="516" w:type="pct"/>
            <w:shd w:val="clear" w:color="auto" w:fill="auto"/>
            <w:noWrap/>
            <w:vAlign w:val="center"/>
          </w:tcPr>
          <w:p w14:paraId="510FB646" w14:textId="77777777" w:rsidR="00FC5A62" w:rsidRPr="008A1A3A" w:rsidRDefault="00C76273">
            <w:pPr>
              <w:widowControl/>
              <w:jc w:val="center"/>
              <w:rPr>
                <w:b/>
                <w:bCs/>
                <w:i/>
                <w:iCs/>
                <w:color w:val="000000"/>
                <w:kern w:val="0"/>
                <w:szCs w:val="21"/>
              </w:rPr>
            </w:pPr>
            <w:r w:rsidRPr="008A1A3A">
              <w:rPr>
                <w:b/>
                <w:bCs/>
                <w:i/>
                <w:iCs/>
                <w:color w:val="000000"/>
                <w:kern w:val="0"/>
                <w:szCs w:val="21"/>
              </w:rPr>
              <w:t>3</w:t>
            </w:r>
          </w:p>
        </w:tc>
        <w:tc>
          <w:tcPr>
            <w:tcW w:w="1109" w:type="pct"/>
            <w:shd w:val="clear" w:color="auto" w:fill="auto"/>
            <w:noWrap/>
            <w:vAlign w:val="center"/>
          </w:tcPr>
          <w:p w14:paraId="62D07677" w14:textId="77777777" w:rsidR="00FC5A62" w:rsidRPr="008A1A3A" w:rsidRDefault="00C76273">
            <w:pPr>
              <w:widowControl/>
              <w:jc w:val="center"/>
              <w:rPr>
                <w:b/>
                <w:bCs/>
                <w:i/>
                <w:iCs/>
                <w:color w:val="000000"/>
                <w:kern w:val="0"/>
                <w:szCs w:val="21"/>
              </w:rPr>
            </w:pPr>
            <w:r w:rsidRPr="008A1A3A">
              <w:rPr>
                <w:rFonts w:hint="eastAsia"/>
                <w:b/>
                <w:bCs/>
                <w:i/>
                <w:iCs/>
                <w:color w:val="000000"/>
                <w:kern w:val="0"/>
                <w:szCs w:val="21"/>
              </w:rPr>
              <w:t>美国</w:t>
            </w:r>
          </w:p>
        </w:tc>
        <w:tc>
          <w:tcPr>
            <w:tcW w:w="1353" w:type="pct"/>
            <w:shd w:val="clear" w:color="auto" w:fill="auto"/>
            <w:noWrap/>
            <w:vAlign w:val="center"/>
          </w:tcPr>
          <w:p w14:paraId="725DA7AB" w14:textId="77777777" w:rsidR="00FC5A62" w:rsidRPr="008A1A3A" w:rsidRDefault="00C76273">
            <w:pPr>
              <w:widowControl/>
              <w:jc w:val="center"/>
              <w:rPr>
                <w:b/>
                <w:bCs/>
                <w:i/>
                <w:iCs/>
                <w:color w:val="000000"/>
                <w:kern w:val="0"/>
                <w:szCs w:val="21"/>
              </w:rPr>
            </w:pPr>
            <w:r w:rsidRPr="008A1A3A">
              <w:rPr>
                <w:b/>
                <w:bCs/>
                <w:i/>
                <w:iCs/>
                <w:color w:val="000000"/>
                <w:kern w:val="0"/>
                <w:szCs w:val="21"/>
              </w:rPr>
              <w:t>20.2</w:t>
            </w:r>
          </w:p>
        </w:tc>
        <w:tc>
          <w:tcPr>
            <w:tcW w:w="910" w:type="pct"/>
            <w:shd w:val="clear" w:color="auto" w:fill="auto"/>
            <w:noWrap/>
            <w:vAlign w:val="center"/>
          </w:tcPr>
          <w:p w14:paraId="0DF62F4E" w14:textId="77777777" w:rsidR="00FC5A62" w:rsidRPr="008A1A3A" w:rsidRDefault="00C76273">
            <w:pPr>
              <w:widowControl/>
              <w:jc w:val="center"/>
              <w:rPr>
                <w:b/>
                <w:bCs/>
                <w:i/>
                <w:iCs/>
                <w:color w:val="000000"/>
                <w:kern w:val="0"/>
                <w:szCs w:val="21"/>
              </w:rPr>
            </w:pPr>
            <w:r w:rsidRPr="008A1A3A">
              <w:rPr>
                <w:rFonts w:hint="eastAsia"/>
                <w:b/>
                <w:bCs/>
                <w:i/>
                <w:iCs/>
                <w:color w:val="000000"/>
                <w:kern w:val="0"/>
                <w:szCs w:val="21"/>
              </w:rPr>
              <w:t>美国</w:t>
            </w:r>
          </w:p>
        </w:tc>
        <w:tc>
          <w:tcPr>
            <w:tcW w:w="1111" w:type="pct"/>
            <w:shd w:val="clear" w:color="auto" w:fill="auto"/>
            <w:noWrap/>
            <w:vAlign w:val="center"/>
          </w:tcPr>
          <w:p w14:paraId="38817145" w14:textId="77777777" w:rsidR="00FC5A62" w:rsidRPr="008A1A3A" w:rsidRDefault="00C76273">
            <w:pPr>
              <w:widowControl/>
              <w:jc w:val="center"/>
              <w:rPr>
                <w:b/>
                <w:bCs/>
                <w:i/>
                <w:iCs/>
                <w:color w:val="000000"/>
                <w:kern w:val="0"/>
                <w:szCs w:val="21"/>
              </w:rPr>
            </w:pPr>
            <w:r w:rsidRPr="008A1A3A">
              <w:rPr>
                <w:b/>
                <w:bCs/>
                <w:i/>
                <w:iCs/>
                <w:color w:val="000000"/>
                <w:kern w:val="0"/>
                <w:szCs w:val="21"/>
              </w:rPr>
              <w:t>141.6</w:t>
            </w:r>
          </w:p>
        </w:tc>
      </w:tr>
      <w:tr w:rsidR="00FC5A62" w14:paraId="75B12028" w14:textId="77777777">
        <w:trPr>
          <w:trHeight w:val="280"/>
          <w:jc w:val="center"/>
        </w:trPr>
        <w:tc>
          <w:tcPr>
            <w:tcW w:w="516" w:type="pct"/>
            <w:shd w:val="clear" w:color="auto" w:fill="auto"/>
            <w:noWrap/>
            <w:vAlign w:val="center"/>
          </w:tcPr>
          <w:p w14:paraId="1D07CA48" w14:textId="77777777" w:rsidR="00FC5A62" w:rsidRDefault="00C76273">
            <w:pPr>
              <w:widowControl/>
              <w:jc w:val="center"/>
              <w:rPr>
                <w:color w:val="000000"/>
                <w:kern w:val="0"/>
                <w:szCs w:val="21"/>
              </w:rPr>
            </w:pPr>
            <w:r>
              <w:rPr>
                <w:color w:val="000000"/>
                <w:kern w:val="0"/>
                <w:szCs w:val="21"/>
              </w:rPr>
              <w:t>4</w:t>
            </w:r>
          </w:p>
        </w:tc>
        <w:tc>
          <w:tcPr>
            <w:tcW w:w="1109" w:type="pct"/>
            <w:shd w:val="clear" w:color="auto" w:fill="auto"/>
            <w:noWrap/>
            <w:vAlign w:val="center"/>
          </w:tcPr>
          <w:p w14:paraId="4EE7DEA8" w14:textId="77777777" w:rsidR="00FC5A62" w:rsidRDefault="00C76273">
            <w:pPr>
              <w:widowControl/>
              <w:jc w:val="center"/>
              <w:rPr>
                <w:color w:val="000000"/>
                <w:kern w:val="0"/>
                <w:szCs w:val="21"/>
              </w:rPr>
            </w:pPr>
            <w:r>
              <w:rPr>
                <w:color w:val="000000"/>
                <w:kern w:val="0"/>
                <w:szCs w:val="21"/>
              </w:rPr>
              <w:t>印度</w:t>
            </w:r>
          </w:p>
        </w:tc>
        <w:tc>
          <w:tcPr>
            <w:tcW w:w="1353" w:type="pct"/>
            <w:shd w:val="clear" w:color="auto" w:fill="auto"/>
            <w:noWrap/>
            <w:vAlign w:val="center"/>
          </w:tcPr>
          <w:p w14:paraId="3055BD35" w14:textId="77777777" w:rsidR="00FC5A62" w:rsidRDefault="00C76273">
            <w:pPr>
              <w:widowControl/>
              <w:jc w:val="center"/>
              <w:rPr>
                <w:color w:val="000000"/>
                <w:kern w:val="0"/>
                <w:szCs w:val="21"/>
              </w:rPr>
            </w:pPr>
            <w:r>
              <w:rPr>
                <w:color w:val="000000"/>
                <w:kern w:val="0"/>
                <w:szCs w:val="21"/>
              </w:rPr>
              <w:t>13.96</w:t>
            </w:r>
          </w:p>
        </w:tc>
        <w:tc>
          <w:tcPr>
            <w:tcW w:w="910" w:type="pct"/>
            <w:shd w:val="clear" w:color="auto" w:fill="auto"/>
            <w:noWrap/>
            <w:vAlign w:val="center"/>
          </w:tcPr>
          <w:p w14:paraId="64485C7D" w14:textId="77777777" w:rsidR="00FC5A62" w:rsidRDefault="00C76273">
            <w:pPr>
              <w:widowControl/>
              <w:jc w:val="center"/>
              <w:rPr>
                <w:color w:val="000000"/>
                <w:kern w:val="0"/>
                <w:szCs w:val="21"/>
              </w:rPr>
            </w:pPr>
            <w:r>
              <w:rPr>
                <w:color w:val="000000"/>
                <w:kern w:val="0"/>
                <w:szCs w:val="21"/>
              </w:rPr>
              <w:t>日本</w:t>
            </w:r>
          </w:p>
        </w:tc>
        <w:tc>
          <w:tcPr>
            <w:tcW w:w="1111" w:type="pct"/>
            <w:shd w:val="clear" w:color="auto" w:fill="auto"/>
            <w:noWrap/>
            <w:vAlign w:val="center"/>
          </w:tcPr>
          <w:p w14:paraId="47111721" w14:textId="77777777" w:rsidR="00FC5A62" w:rsidRDefault="00C76273">
            <w:pPr>
              <w:widowControl/>
              <w:jc w:val="center"/>
              <w:rPr>
                <w:color w:val="000000"/>
                <w:kern w:val="0"/>
                <w:szCs w:val="21"/>
              </w:rPr>
            </w:pPr>
            <w:r>
              <w:rPr>
                <w:color w:val="000000"/>
                <w:kern w:val="0"/>
                <w:szCs w:val="21"/>
              </w:rPr>
              <w:t>84.9</w:t>
            </w:r>
          </w:p>
        </w:tc>
      </w:tr>
      <w:tr w:rsidR="00FC5A62" w14:paraId="723A1C91" w14:textId="77777777">
        <w:trPr>
          <w:trHeight w:val="280"/>
          <w:jc w:val="center"/>
        </w:trPr>
        <w:tc>
          <w:tcPr>
            <w:tcW w:w="516" w:type="pct"/>
            <w:shd w:val="clear" w:color="auto" w:fill="auto"/>
            <w:noWrap/>
            <w:vAlign w:val="center"/>
          </w:tcPr>
          <w:p w14:paraId="272B9033" w14:textId="77777777" w:rsidR="00FC5A62" w:rsidRDefault="00C76273">
            <w:pPr>
              <w:widowControl/>
              <w:jc w:val="center"/>
              <w:rPr>
                <w:color w:val="000000"/>
                <w:kern w:val="0"/>
                <w:szCs w:val="21"/>
              </w:rPr>
            </w:pPr>
            <w:r>
              <w:rPr>
                <w:color w:val="000000"/>
                <w:kern w:val="0"/>
                <w:szCs w:val="21"/>
              </w:rPr>
              <w:t>5</w:t>
            </w:r>
          </w:p>
        </w:tc>
        <w:tc>
          <w:tcPr>
            <w:tcW w:w="1109" w:type="pct"/>
            <w:shd w:val="clear" w:color="auto" w:fill="auto"/>
            <w:noWrap/>
            <w:vAlign w:val="center"/>
          </w:tcPr>
          <w:p w14:paraId="4D47BD22" w14:textId="77777777" w:rsidR="00FC5A62" w:rsidRDefault="00C76273">
            <w:pPr>
              <w:widowControl/>
              <w:jc w:val="center"/>
              <w:rPr>
                <w:color w:val="000000"/>
                <w:kern w:val="0"/>
                <w:szCs w:val="21"/>
              </w:rPr>
            </w:pPr>
            <w:r>
              <w:rPr>
                <w:color w:val="000000"/>
                <w:kern w:val="0"/>
                <w:szCs w:val="21"/>
              </w:rPr>
              <w:t>巴西</w:t>
            </w:r>
          </w:p>
        </w:tc>
        <w:tc>
          <w:tcPr>
            <w:tcW w:w="1353" w:type="pct"/>
            <w:shd w:val="clear" w:color="auto" w:fill="auto"/>
            <w:noWrap/>
            <w:vAlign w:val="center"/>
          </w:tcPr>
          <w:p w14:paraId="542F9B90" w14:textId="77777777" w:rsidR="00FC5A62" w:rsidRDefault="00C76273">
            <w:pPr>
              <w:widowControl/>
              <w:jc w:val="center"/>
              <w:rPr>
                <w:color w:val="000000"/>
                <w:kern w:val="0"/>
                <w:szCs w:val="21"/>
              </w:rPr>
            </w:pPr>
            <w:r>
              <w:rPr>
                <w:color w:val="000000"/>
                <w:kern w:val="0"/>
                <w:szCs w:val="21"/>
              </w:rPr>
              <w:t>9.9</w:t>
            </w:r>
          </w:p>
        </w:tc>
        <w:tc>
          <w:tcPr>
            <w:tcW w:w="910" w:type="pct"/>
            <w:shd w:val="clear" w:color="auto" w:fill="auto"/>
            <w:noWrap/>
            <w:vAlign w:val="center"/>
          </w:tcPr>
          <w:p w14:paraId="416FD7D4" w14:textId="77777777" w:rsidR="00FC5A62" w:rsidRDefault="00C76273">
            <w:pPr>
              <w:widowControl/>
              <w:jc w:val="center"/>
              <w:rPr>
                <w:color w:val="000000"/>
                <w:kern w:val="0"/>
                <w:szCs w:val="21"/>
              </w:rPr>
            </w:pPr>
            <w:r>
              <w:rPr>
                <w:color w:val="000000"/>
                <w:kern w:val="0"/>
                <w:szCs w:val="21"/>
              </w:rPr>
              <w:t>印度</w:t>
            </w:r>
          </w:p>
        </w:tc>
        <w:tc>
          <w:tcPr>
            <w:tcW w:w="1111" w:type="pct"/>
            <w:shd w:val="clear" w:color="auto" w:fill="auto"/>
            <w:noWrap/>
            <w:vAlign w:val="center"/>
          </w:tcPr>
          <w:p w14:paraId="7AB7A4CC" w14:textId="77777777" w:rsidR="00FC5A62" w:rsidRDefault="00C76273">
            <w:pPr>
              <w:widowControl/>
              <w:jc w:val="center"/>
              <w:rPr>
                <w:color w:val="000000"/>
                <w:kern w:val="0"/>
                <w:szCs w:val="21"/>
              </w:rPr>
            </w:pPr>
            <w:r>
              <w:rPr>
                <w:color w:val="000000"/>
                <w:kern w:val="0"/>
                <w:szCs w:val="21"/>
              </w:rPr>
              <w:t>79.1</w:t>
            </w:r>
          </w:p>
        </w:tc>
      </w:tr>
      <w:tr w:rsidR="00FC5A62" w14:paraId="08AF4C42" w14:textId="77777777">
        <w:trPr>
          <w:trHeight w:val="280"/>
          <w:jc w:val="center"/>
        </w:trPr>
        <w:tc>
          <w:tcPr>
            <w:tcW w:w="516" w:type="pct"/>
            <w:shd w:val="clear" w:color="auto" w:fill="auto"/>
            <w:noWrap/>
            <w:vAlign w:val="center"/>
          </w:tcPr>
          <w:p w14:paraId="3A66ED9F" w14:textId="77777777" w:rsidR="00FC5A62" w:rsidRDefault="00C76273">
            <w:pPr>
              <w:widowControl/>
              <w:jc w:val="center"/>
              <w:rPr>
                <w:color w:val="000000"/>
                <w:kern w:val="0"/>
                <w:szCs w:val="21"/>
              </w:rPr>
            </w:pPr>
            <w:r>
              <w:rPr>
                <w:color w:val="000000"/>
                <w:kern w:val="0"/>
                <w:szCs w:val="21"/>
              </w:rPr>
              <w:t>6</w:t>
            </w:r>
          </w:p>
        </w:tc>
        <w:tc>
          <w:tcPr>
            <w:tcW w:w="1109" w:type="pct"/>
            <w:shd w:val="clear" w:color="auto" w:fill="auto"/>
            <w:noWrap/>
            <w:vAlign w:val="center"/>
          </w:tcPr>
          <w:p w14:paraId="19B6CBD9" w14:textId="77777777" w:rsidR="00FC5A62" w:rsidRDefault="00C76273">
            <w:pPr>
              <w:widowControl/>
              <w:jc w:val="center"/>
              <w:rPr>
                <w:color w:val="000000"/>
                <w:kern w:val="0"/>
                <w:szCs w:val="21"/>
              </w:rPr>
            </w:pPr>
            <w:r>
              <w:rPr>
                <w:color w:val="000000"/>
                <w:kern w:val="0"/>
                <w:szCs w:val="21"/>
              </w:rPr>
              <w:t>德国</w:t>
            </w:r>
          </w:p>
        </w:tc>
        <w:tc>
          <w:tcPr>
            <w:tcW w:w="1353" w:type="pct"/>
            <w:shd w:val="clear" w:color="auto" w:fill="auto"/>
            <w:noWrap/>
            <w:vAlign w:val="center"/>
          </w:tcPr>
          <w:p w14:paraId="14B70A91" w14:textId="77777777" w:rsidR="00FC5A62" w:rsidRDefault="00C76273">
            <w:pPr>
              <w:widowControl/>
              <w:jc w:val="center"/>
              <w:rPr>
                <w:color w:val="000000"/>
                <w:kern w:val="0"/>
                <w:szCs w:val="21"/>
              </w:rPr>
            </w:pPr>
            <w:r>
              <w:rPr>
                <w:color w:val="000000"/>
                <w:kern w:val="0"/>
                <w:szCs w:val="21"/>
              </w:rPr>
              <w:t>7.5</w:t>
            </w:r>
          </w:p>
        </w:tc>
        <w:tc>
          <w:tcPr>
            <w:tcW w:w="910" w:type="pct"/>
            <w:shd w:val="clear" w:color="auto" w:fill="auto"/>
            <w:noWrap/>
            <w:vAlign w:val="center"/>
          </w:tcPr>
          <w:p w14:paraId="4D1D2222" w14:textId="77777777" w:rsidR="00FC5A62" w:rsidRDefault="00C76273">
            <w:pPr>
              <w:widowControl/>
              <w:jc w:val="center"/>
              <w:rPr>
                <w:color w:val="000000"/>
                <w:kern w:val="0"/>
                <w:szCs w:val="21"/>
              </w:rPr>
            </w:pPr>
            <w:r>
              <w:rPr>
                <w:color w:val="000000"/>
                <w:kern w:val="0"/>
                <w:szCs w:val="21"/>
              </w:rPr>
              <w:t>德国</w:t>
            </w:r>
          </w:p>
        </w:tc>
        <w:tc>
          <w:tcPr>
            <w:tcW w:w="1111" w:type="pct"/>
            <w:shd w:val="clear" w:color="auto" w:fill="auto"/>
            <w:noWrap/>
            <w:vAlign w:val="center"/>
          </w:tcPr>
          <w:p w14:paraId="71B35ACD" w14:textId="77777777" w:rsidR="00FC5A62" w:rsidRDefault="00C76273">
            <w:pPr>
              <w:widowControl/>
              <w:jc w:val="center"/>
              <w:rPr>
                <w:color w:val="000000"/>
                <w:kern w:val="0"/>
                <w:szCs w:val="21"/>
              </w:rPr>
            </w:pPr>
            <w:r>
              <w:rPr>
                <w:color w:val="000000"/>
                <w:kern w:val="0"/>
                <w:szCs w:val="21"/>
              </w:rPr>
              <w:t>67.2</w:t>
            </w:r>
          </w:p>
        </w:tc>
      </w:tr>
      <w:tr w:rsidR="00FC5A62" w14:paraId="68FF8756" w14:textId="77777777">
        <w:trPr>
          <w:trHeight w:val="280"/>
          <w:jc w:val="center"/>
        </w:trPr>
        <w:tc>
          <w:tcPr>
            <w:tcW w:w="516" w:type="pct"/>
            <w:shd w:val="clear" w:color="auto" w:fill="auto"/>
            <w:noWrap/>
            <w:vAlign w:val="center"/>
          </w:tcPr>
          <w:p w14:paraId="480D351A" w14:textId="77777777" w:rsidR="00FC5A62" w:rsidRDefault="00C76273">
            <w:pPr>
              <w:widowControl/>
              <w:jc w:val="center"/>
              <w:rPr>
                <w:color w:val="000000"/>
                <w:kern w:val="0"/>
                <w:szCs w:val="21"/>
              </w:rPr>
            </w:pPr>
            <w:r>
              <w:rPr>
                <w:color w:val="000000"/>
                <w:kern w:val="0"/>
                <w:szCs w:val="21"/>
              </w:rPr>
              <w:t>7</w:t>
            </w:r>
          </w:p>
        </w:tc>
        <w:tc>
          <w:tcPr>
            <w:tcW w:w="1109" w:type="pct"/>
            <w:shd w:val="clear" w:color="auto" w:fill="auto"/>
            <w:noWrap/>
            <w:vAlign w:val="center"/>
          </w:tcPr>
          <w:p w14:paraId="3DBAF7F8" w14:textId="77777777" w:rsidR="00FC5A62" w:rsidRDefault="00C76273">
            <w:pPr>
              <w:widowControl/>
              <w:jc w:val="center"/>
              <w:rPr>
                <w:color w:val="000000"/>
                <w:kern w:val="0"/>
                <w:szCs w:val="21"/>
              </w:rPr>
            </w:pPr>
            <w:r>
              <w:rPr>
                <w:color w:val="000000"/>
                <w:kern w:val="0"/>
                <w:szCs w:val="21"/>
              </w:rPr>
              <w:t>西班牙</w:t>
            </w:r>
          </w:p>
        </w:tc>
        <w:tc>
          <w:tcPr>
            <w:tcW w:w="1353" w:type="pct"/>
            <w:shd w:val="clear" w:color="auto" w:fill="auto"/>
            <w:noWrap/>
            <w:vAlign w:val="center"/>
          </w:tcPr>
          <w:p w14:paraId="48C7B08C" w14:textId="77777777" w:rsidR="00FC5A62" w:rsidRDefault="00C76273">
            <w:pPr>
              <w:widowControl/>
              <w:jc w:val="center"/>
              <w:rPr>
                <w:color w:val="000000"/>
                <w:kern w:val="0"/>
                <w:szCs w:val="21"/>
              </w:rPr>
            </w:pPr>
            <w:r>
              <w:rPr>
                <w:color w:val="000000"/>
                <w:kern w:val="0"/>
                <w:szCs w:val="21"/>
              </w:rPr>
              <w:t>6.2</w:t>
            </w:r>
          </w:p>
        </w:tc>
        <w:tc>
          <w:tcPr>
            <w:tcW w:w="910" w:type="pct"/>
            <w:shd w:val="clear" w:color="auto" w:fill="auto"/>
            <w:noWrap/>
            <w:vAlign w:val="center"/>
          </w:tcPr>
          <w:p w14:paraId="2FCCC154" w14:textId="77777777" w:rsidR="00FC5A62" w:rsidRDefault="00C76273">
            <w:pPr>
              <w:widowControl/>
              <w:jc w:val="center"/>
              <w:rPr>
                <w:color w:val="000000"/>
                <w:kern w:val="0"/>
                <w:szCs w:val="21"/>
              </w:rPr>
            </w:pPr>
            <w:r>
              <w:rPr>
                <w:color w:val="000000"/>
                <w:kern w:val="0"/>
                <w:szCs w:val="21"/>
              </w:rPr>
              <w:t>澳大利亚</w:t>
            </w:r>
          </w:p>
        </w:tc>
        <w:tc>
          <w:tcPr>
            <w:tcW w:w="1111" w:type="pct"/>
            <w:shd w:val="clear" w:color="auto" w:fill="auto"/>
            <w:noWrap/>
            <w:vAlign w:val="center"/>
          </w:tcPr>
          <w:p w14:paraId="5D217E84" w14:textId="77777777" w:rsidR="00FC5A62" w:rsidRDefault="00C76273">
            <w:pPr>
              <w:widowControl/>
              <w:jc w:val="center"/>
              <w:rPr>
                <w:color w:val="000000"/>
                <w:kern w:val="0"/>
                <w:szCs w:val="21"/>
              </w:rPr>
            </w:pPr>
            <w:r>
              <w:rPr>
                <w:color w:val="000000"/>
                <w:kern w:val="0"/>
                <w:szCs w:val="21"/>
              </w:rPr>
              <w:t>30</w:t>
            </w:r>
          </w:p>
        </w:tc>
      </w:tr>
      <w:tr w:rsidR="00FC5A62" w14:paraId="0AB01C1A" w14:textId="77777777">
        <w:trPr>
          <w:trHeight w:val="280"/>
          <w:jc w:val="center"/>
        </w:trPr>
        <w:tc>
          <w:tcPr>
            <w:tcW w:w="516" w:type="pct"/>
            <w:shd w:val="clear" w:color="auto" w:fill="auto"/>
            <w:noWrap/>
            <w:vAlign w:val="center"/>
          </w:tcPr>
          <w:p w14:paraId="2DF7D1F9" w14:textId="77777777" w:rsidR="00FC5A62" w:rsidRDefault="00C76273">
            <w:pPr>
              <w:widowControl/>
              <w:jc w:val="center"/>
              <w:rPr>
                <w:color w:val="000000"/>
                <w:kern w:val="0"/>
                <w:szCs w:val="21"/>
              </w:rPr>
            </w:pPr>
            <w:r>
              <w:rPr>
                <w:color w:val="000000"/>
                <w:kern w:val="0"/>
                <w:szCs w:val="21"/>
              </w:rPr>
              <w:t>8</w:t>
            </w:r>
          </w:p>
        </w:tc>
        <w:tc>
          <w:tcPr>
            <w:tcW w:w="1109" w:type="pct"/>
            <w:shd w:val="clear" w:color="auto" w:fill="auto"/>
            <w:noWrap/>
            <w:vAlign w:val="center"/>
          </w:tcPr>
          <w:p w14:paraId="173F0E3C" w14:textId="77777777" w:rsidR="00FC5A62" w:rsidRDefault="00C76273">
            <w:pPr>
              <w:widowControl/>
              <w:jc w:val="center"/>
              <w:rPr>
                <w:color w:val="000000"/>
                <w:kern w:val="0"/>
                <w:szCs w:val="21"/>
              </w:rPr>
            </w:pPr>
            <w:r>
              <w:rPr>
                <w:color w:val="000000"/>
                <w:kern w:val="0"/>
                <w:szCs w:val="21"/>
              </w:rPr>
              <w:t>波兰</w:t>
            </w:r>
          </w:p>
        </w:tc>
        <w:tc>
          <w:tcPr>
            <w:tcW w:w="1353" w:type="pct"/>
            <w:shd w:val="clear" w:color="auto" w:fill="auto"/>
            <w:noWrap/>
            <w:vAlign w:val="center"/>
          </w:tcPr>
          <w:p w14:paraId="6911BFED" w14:textId="77777777" w:rsidR="00FC5A62" w:rsidRDefault="00C76273">
            <w:pPr>
              <w:widowControl/>
              <w:jc w:val="center"/>
              <w:rPr>
                <w:color w:val="000000"/>
                <w:kern w:val="0"/>
                <w:szCs w:val="21"/>
              </w:rPr>
            </w:pPr>
            <w:r>
              <w:rPr>
                <w:color w:val="000000"/>
                <w:kern w:val="0"/>
                <w:szCs w:val="21"/>
              </w:rPr>
              <w:t>4.9</w:t>
            </w:r>
          </w:p>
        </w:tc>
        <w:tc>
          <w:tcPr>
            <w:tcW w:w="910" w:type="pct"/>
            <w:shd w:val="clear" w:color="auto" w:fill="auto"/>
            <w:noWrap/>
            <w:vAlign w:val="center"/>
          </w:tcPr>
          <w:p w14:paraId="68FCE6C6" w14:textId="77777777" w:rsidR="00FC5A62" w:rsidRDefault="00C76273">
            <w:pPr>
              <w:widowControl/>
              <w:jc w:val="center"/>
              <w:rPr>
                <w:color w:val="000000"/>
                <w:kern w:val="0"/>
                <w:szCs w:val="21"/>
              </w:rPr>
            </w:pPr>
            <w:r>
              <w:rPr>
                <w:color w:val="000000"/>
                <w:kern w:val="0"/>
                <w:szCs w:val="21"/>
              </w:rPr>
              <w:t>西班牙</w:t>
            </w:r>
          </w:p>
        </w:tc>
        <w:tc>
          <w:tcPr>
            <w:tcW w:w="1111" w:type="pct"/>
            <w:shd w:val="clear" w:color="auto" w:fill="auto"/>
            <w:noWrap/>
            <w:vAlign w:val="center"/>
          </w:tcPr>
          <w:p w14:paraId="492E278D" w14:textId="77777777" w:rsidR="00FC5A62" w:rsidRDefault="00C76273">
            <w:pPr>
              <w:widowControl/>
              <w:jc w:val="center"/>
              <w:rPr>
                <w:color w:val="000000"/>
                <w:kern w:val="0"/>
                <w:szCs w:val="21"/>
              </w:rPr>
            </w:pPr>
            <w:r>
              <w:rPr>
                <w:color w:val="000000"/>
                <w:kern w:val="0"/>
                <w:szCs w:val="21"/>
              </w:rPr>
              <w:t>26.6</w:t>
            </w:r>
          </w:p>
        </w:tc>
      </w:tr>
      <w:tr w:rsidR="00FC5A62" w14:paraId="6A7BEB43" w14:textId="77777777">
        <w:trPr>
          <w:trHeight w:val="280"/>
          <w:jc w:val="center"/>
        </w:trPr>
        <w:tc>
          <w:tcPr>
            <w:tcW w:w="516" w:type="pct"/>
            <w:shd w:val="clear" w:color="auto" w:fill="auto"/>
            <w:noWrap/>
            <w:vAlign w:val="center"/>
          </w:tcPr>
          <w:p w14:paraId="2132B6B0" w14:textId="77777777" w:rsidR="00FC5A62" w:rsidRDefault="00C76273">
            <w:pPr>
              <w:widowControl/>
              <w:jc w:val="center"/>
              <w:rPr>
                <w:color w:val="000000"/>
                <w:kern w:val="0"/>
                <w:szCs w:val="21"/>
              </w:rPr>
            </w:pPr>
            <w:r>
              <w:rPr>
                <w:color w:val="000000"/>
                <w:kern w:val="0"/>
                <w:szCs w:val="21"/>
              </w:rPr>
              <w:t>9</w:t>
            </w:r>
          </w:p>
        </w:tc>
        <w:tc>
          <w:tcPr>
            <w:tcW w:w="1109" w:type="pct"/>
            <w:shd w:val="clear" w:color="auto" w:fill="auto"/>
            <w:noWrap/>
            <w:vAlign w:val="center"/>
          </w:tcPr>
          <w:p w14:paraId="31973BFB" w14:textId="77777777" w:rsidR="00FC5A62" w:rsidRDefault="00C76273">
            <w:pPr>
              <w:widowControl/>
              <w:jc w:val="center"/>
              <w:rPr>
                <w:color w:val="000000"/>
                <w:kern w:val="0"/>
                <w:szCs w:val="21"/>
              </w:rPr>
            </w:pPr>
            <w:r>
              <w:rPr>
                <w:color w:val="000000"/>
                <w:kern w:val="0"/>
                <w:szCs w:val="21"/>
              </w:rPr>
              <w:t>日本</w:t>
            </w:r>
          </w:p>
        </w:tc>
        <w:tc>
          <w:tcPr>
            <w:tcW w:w="1353" w:type="pct"/>
            <w:shd w:val="clear" w:color="auto" w:fill="auto"/>
            <w:noWrap/>
            <w:vAlign w:val="center"/>
          </w:tcPr>
          <w:p w14:paraId="11E4CEF3" w14:textId="77777777" w:rsidR="00FC5A62" w:rsidRDefault="00C76273">
            <w:pPr>
              <w:widowControl/>
              <w:jc w:val="center"/>
              <w:rPr>
                <w:color w:val="000000"/>
                <w:kern w:val="0"/>
                <w:szCs w:val="21"/>
              </w:rPr>
            </w:pPr>
            <w:r>
              <w:rPr>
                <w:color w:val="000000"/>
                <w:kern w:val="0"/>
                <w:szCs w:val="21"/>
              </w:rPr>
              <w:t>4.6</w:t>
            </w:r>
          </w:p>
        </w:tc>
        <w:tc>
          <w:tcPr>
            <w:tcW w:w="910" w:type="pct"/>
            <w:shd w:val="clear" w:color="auto" w:fill="auto"/>
            <w:noWrap/>
            <w:vAlign w:val="center"/>
          </w:tcPr>
          <w:p w14:paraId="11E3EDB0" w14:textId="77777777" w:rsidR="00FC5A62" w:rsidRDefault="00C76273">
            <w:pPr>
              <w:widowControl/>
              <w:jc w:val="center"/>
              <w:rPr>
                <w:color w:val="000000"/>
                <w:kern w:val="0"/>
                <w:szCs w:val="21"/>
              </w:rPr>
            </w:pPr>
            <w:r>
              <w:rPr>
                <w:color w:val="000000"/>
                <w:kern w:val="0"/>
                <w:szCs w:val="21"/>
              </w:rPr>
              <w:t>意大利</w:t>
            </w:r>
          </w:p>
        </w:tc>
        <w:tc>
          <w:tcPr>
            <w:tcW w:w="1111" w:type="pct"/>
            <w:shd w:val="clear" w:color="auto" w:fill="auto"/>
            <w:noWrap/>
            <w:vAlign w:val="center"/>
          </w:tcPr>
          <w:p w14:paraId="70222F42" w14:textId="77777777" w:rsidR="00FC5A62" w:rsidRDefault="00C76273">
            <w:pPr>
              <w:widowControl/>
              <w:jc w:val="center"/>
              <w:rPr>
                <w:color w:val="000000"/>
                <w:kern w:val="0"/>
                <w:szCs w:val="21"/>
              </w:rPr>
            </w:pPr>
            <w:r>
              <w:rPr>
                <w:color w:val="000000"/>
                <w:kern w:val="0"/>
                <w:szCs w:val="21"/>
              </w:rPr>
              <w:t>25</w:t>
            </w:r>
          </w:p>
        </w:tc>
      </w:tr>
      <w:tr w:rsidR="00FC5A62" w14:paraId="6BC6332D" w14:textId="77777777">
        <w:trPr>
          <w:trHeight w:val="280"/>
          <w:jc w:val="center"/>
        </w:trPr>
        <w:tc>
          <w:tcPr>
            <w:tcW w:w="516" w:type="pct"/>
            <w:shd w:val="clear" w:color="auto" w:fill="auto"/>
            <w:noWrap/>
            <w:vAlign w:val="center"/>
          </w:tcPr>
          <w:p w14:paraId="2EFD65F2" w14:textId="77777777" w:rsidR="00FC5A62" w:rsidRDefault="00C76273">
            <w:pPr>
              <w:widowControl/>
              <w:jc w:val="center"/>
              <w:rPr>
                <w:color w:val="000000"/>
                <w:kern w:val="0"/>
                <w:szCs w:val="21"/>
              </w:rPr>
            </w:pPr>
            <w:r>
              <w:rPr>
                <w:color w:val="000000"/>
                <w:kern w:val="0"/>
                <w:szCs w:val="21"/>
              </w:rPr>
              <w:t>10</w:t>
            </w:r>
          </w:p>
        </w:tc>
        <w:tc>
          <w:tcPr>
            <w:tcW w:w="1109" w:type="pct"/>
            <w:shd w:val="clear" w:color="auto" w:fill="auto"/>
            <w:noWrap/>
            <w:vAlign w:val="center"/>
          </w:tcPr>
          <w:p w14:paraId="4A3CD160" w14:textId="77777777" w:rsidR="00FC5A62" w:rsidRDefault="00C76273">
            <w:pPr>
              <w:widowControl/>
              <w:jc w:val="center"/>
              <w:rPr>
                <w:color w:val="000000"/>
                <w:kern w:val="0"/>
                <w:szCs w:val="21"/>
              </w:rPr>
            </w:pPr>
            <w:r>
              <w:rPr>
                <w:color w:val="000000"/>
                <w:kern w:val="0"/>
                <w:szCs w:val="21"/>
              </w:rPr>
              <w:t>澳大利亚</w:t>
            </w:r>
          </w:p>
        </w:tc>
        <w:tc>
          <w:tcPr>
            <w:tcW w:w="1353" w:type="pct"/>
            <w:shd w:val="clear" w:color="auto" w:fill="auto"/>
            <w:noWrap/>
            <w:vAlign w:val="center"/>
          </w:tcPr>
          <w:p w14:paraId="1A392F43" w14:textId="77777777" w:rsidR="00FC5A62" w:rsidRDefault="00C76273">
            <w:pPr>
              <w:widowControl/>
              <w:jc w:val="center"/>
              <w:rPr>
                <w:color w:val="000000"/>
                <w:kern w:val="0"/>
                <w:szCs w:val="21"/>
              </w:rPr>
            </w:pPr>
            <w:r>
              <w:rPr>
                <w:color w:val="000000"/>
                <w:kern w:val="0"/>
                <w:szCs w:val="21"/>
              </w:rPr>
              <w:t>3.9</w:t>
            </w:r>
          </w:p>
        </w:tc>
        <w:tc>
          <w:tcPr>
            <w:tcW w:w="910" w:type="pct"/>
            <w:shd w:val="clear" w:color="auto" w:fill="auto"/>
            <w:noWrap/>
            <w:vAlign w:val="center"/>
          </w:tcPr>
          <w:p w14:paraId="1ED6D996" w14:textId="77777777" w:rsidR="00FC5A62" w:rsidRDefault="00C76273">
            <w:pPr>
              <w:widowControl/>
              <w:jc w:val="center"/>
              <w:rPr>
                <w:color w:val="000000"/>
                <w:kern w:val="0"/>
                <w:szCs w:val="21"/>
              </w:rPr>
            </w:pPr>
            <w:r>
              <w:rPr>
                <w:color w:val="000000"/>
                <w:kern w:val="0"/>
                <w:szCs w:val="21"/>
              </w:rPr>
              <w:t>韩国</w:t>
            </w:r>
          </w:p>
        </w:tc>
        <w:tc>
          <w:tcPr>
            <w:tcW w:w="1111" w:type="pct"/>
            <w:shd w:val="clear" w:color="auto" w:fill="auto"/>
            <w:noWrap/>
            <w:vAlign w:val="center"/>
          </w:tcPr>
          <w:p w14:paraId="33660478" w14:textId="77777777" w:rsidR="00FC5A62" w:rsidRDefault="00C76273">
            <w:pPr>
              <w:widowControl/>
              <w:jc w:val="center"/>
              <w:rPr>
                <w:color w:val="000000"/>
                <w:kern w:val="0"/>
                <w:szCs w:val="21"/>
              </w:rPr>
            </w:pPr>
            <w:r>
              <w:rPr>
                <w:color w:val="000000"/>
                <w:kern w:val="0"/>
                <w:szCs w:val="21"/>
              </w:rPr>
              <w:t>24.8</w:t>
            </w:r>
          </w:p>
        </w:tc>
      </w:tr>
      <w:tr w:rsidR="00FC5A62" w14:paraId="24134DBC" w14:textId="77777777">
        <w:trPr>
          <w:trHeight w:val="280"/>
          <w:jc w:val="center"/>
        </w:trPr>
        <w:tc>
          <w:tcPr>
            <w:tcW w:w="516" w:type="pct"/>
            <w:shd w:val="clear" w:color="auto" w:fill="auto"/>
            <w:noWrap/>
            <w:vAlign w:val="center"/>
          </w:tcPr>
          <w:p w14:paraId="2DA63F68" w14:textId="77777777" w:rsidR="00FC5A62" w:rsidRDefault="00C76273">
            <w:pPr>
              <w:widowControl/>
              <w:jc w:val="center"/>
              <w:rPr>
                <w:color w:val="000000"/>
                <w:kern w:val="0"/>
                <w:szCs w:val="21"/>
              </w:rPr>
            </w:pPr>
            <w:r>
              <w:rPr>
                <w:color w:val="000000"/>
                <w:kern w:val="0"/>
                <w:szCs w:val="21"/>
              </w:rPr>
              <w:t>11</w:t>
            </w:r>
          </w:p>
        </w:tc>
        <w:tc>
          <w:tcPr>
            <w:tcW w:w="1109" w:type="pct"/>
            <w:shd w:val="clear" w:color="auto" w:fill="auto"/>
            <w:noWrap/>
            <w:vAlign w:val="center"/>
          </w:tcPr>
          <w:p w14:paraId="5DDB4E93" w14:textId="77777777" w:rsidR="00FC5A62" w:rsidRDefault="00C76273">
            <w:pPr>
              <w:widowControl/>
              <w:jc w:val="center"/>
              <w:rPr>
                <w:color w:val="000000"/>
                <w:kern w:val="0"/>
                <w:szCs w:val="21"/>
              </w:rPr>
            </w:pPr>
            <w:r>
              <w:rPr>
                <w:color w:val="000000"/>
                <w:kern w:val="0"/>
                <w:szCs w:val="21"/>
              </w:rPr>
              <w:t>荷兰</w:t>
            </w:r>
          </w:p>
        </w:tc>
        <w:tc>
          <w:tcPr>
            <w:tcW w:w="1353" w:type="pct"/>
            <w:shd w:val="clear" w:color="auto" w:fill="auto"/>
            <w:noWrap/>
            <w:vAlign w:val="center"/>
          </w:tcPr>
          <w:p w14:paraId="4162366B" w14:textId="77777777" w:rsidR="00FC5A62" w:rsidRDefault="00C76273">
            <w:pPr>
              <w:widowControl/>
              <w:jc w:val="center"/>
              <w:rPr>
                <w:color w:val="000000"/>
                <w:kern w:val="0"/>
                <w:szCs w:val="21"/>
              </w:rPr>
            </w:pPr>
            <w:r>
              <w:rPr>
                <w:color w:val="000000"/>
                <w:kern w:val="0"/>
                <w:szCs w:val="21"/>
              </w:rPr>
              <w:t>3.9</w:t>
            </w:r>
          </w:p>
        </w:tc>
        <w:tc>
          <w:tcPr>
            <w:tcW w:w="910" w:type="pct"/>
            <w:shd w:val="clear" w:color="auto" w:fill="auto"/>
            <w:noWrap/>
            <w:vAlign w:val="center"/>
          </w:tcPr>
          <w:p w14:paraId="6FCE789E" w14:textId="77777777" w:rsidR="00FC5A62" w:rsidRDefault="00C76273">
            <w:pPr>
              <w:widowControl/>
              <w:jc w:val="center"/>
              <w:rPr>
                <w:color w:val="000000"/>
                <w:kern w:val="0"/>
                <w:szCs w:val="21"/>
              </w:rPr>
            </w:pPr>
            <w:r>
              <w:rPr>
                <w:color w:val="000000"/>
                <w:kern w:val="0"/>
                <w:szCs w:val="21"/>
              </w:rPr>
              <w:t>巴西</w:t>
            </w:r>
          </w:p>
        </w:tc>
        <w:tc>
          <w:tcPr>
            <w:tcW w:w="1111" w:type="pct"/>
            <w:shd w:val="clear" w:color="auto" w:fill="auto"/>
            <w:noWrap/>
            <w:vAlign w:val="center"/>
          </w:tcPr>
          <w:p w14:paraId="5EF625C1" w14:textId="77777777" w:rsidR="00FC5A62" w:rsidRDefault="00C76273">
            <w:pPr>
              <w:widowControl/>
              <w:jc w:val="center"/>
              <w:rPr>
                <w:color w:val="000000"/>
                <w:kern w:val="0"/>
                <w:szCs w:val="21"/>
              </w:rPr>
            </w:pPr>
            <w:r>
              <w:rPr>
                <w:color w:val="000000"/>
                <w:kern w:val="0"/>
                <w:szCs w:val="21"/>
              </w:rPr>
              <w:t>23.6</w:t>
            </w:r>
          </w:p>
        </w:tc>
      </w:tr>
    </w:tbl>
    <w:p w14:paraId="1399D900" w14:textId="77777777" w:rsidR="00FC5A62" w:rsidRDefault="00C76273">
      <w:r>
        <w:rPr>
          <w:rFonts w:hint="eastAsia"/>
        </w:rPr>
        <w:t>数据来源：</w:t>
      </w:r>
      <w:r>
        <w:rPr>
          <w:rFonts w:hint="eastAsia"/>
        </w:rPr>
        <w:t>IEA</w:t>
      </w:r>
      <w:r>
        <w:rPr>
          <w:rFonts w:hint="eastAsia"/>
        </w:rPr>
        <w:t>、</w:t>
      </w:r>
      <w:r>
        <w:rPr>
          <w:rFonts w:hint="eastAsia"/>
        </w:rPr>
        <w:t>SEIA</w:t>
      </w:r>
      <w:r>
        <w:rPr>
          <w:rFonts w:hint="eastAsia"/>
        </w:rPr>
        <w:t>和国家能源局、</w:t>
      </w:r>
      <w:r>
        <w:rPr>
          <w:rFonts w:hint="eastAsia"/>
        </w:rPr>
        <w:t>JK Research</w:t>
      </w:r>
      <w:r>
        <w:rPr>
          <w:rFonts w:hint="eastAsia"/>
        </w:rPr>
        <w:t>和</w:t>
      </w:r>
      <w:r>
        <w:rPr>
          <w:rFonts w:hint="eastAsia"/>
        </w:rPr>
        <w:t>IRENA</w:t>
      </w:r>
      <w:r>
        <w:rPr>
          <w:rFonts w:hint="eastAsia"/>
        </w:rPr>
        <w:t>等</w:t>
      </w:r>
    </w:p>
    <w:p w14:paraId="390F1D53" w14:textId="3455A6C5" w:rsidR="00FC5A62" w:rsidRDefault="00292AE2" w:rsidP="006860E4">
      <w:pPr>
        <w:spacing w:beforeLines="50" w:before="156" w:afterLines="50" w:after="156" w:line="360" w:lineRule="auto"/>
        <w:ind w:firstLineChars="200" w:firstLine="482"/>
        <w:rPr>
          <w:b/>
          <w:bCs/>
          <w:color w:val="000000"/>
          <w:sz w:val="24"/>
        </w:rPr>
      </w:pPr>
      <w:r>
        <w:rPr>
          <w:b/>
          <w:bCs/>
          <w:color w:val="000000"/>
          <w:sz w:val="24"/>
        </w:rPr>
        <w:t>2</w:t>
      </w:r>
      <w:r w:rsidR="00C76273">
        <w:rPr>
          <w:rFonts w:hint="eastAsia"/>
          <w:b/>
          <w:bCs/>
          <w:color w:val="000000"/>
          <w:sz w:val="24"/>
        </w:rPr>
        <w:t>、美国</w:t>
      </w:r>
      <w:r w:rsidR="008B1060">
        <w:rPr>
          <w:rFonts w:hint="eastAsia"/>
          <w:b/>
          <w:bCs/>
          <w:color w:val="000000"/>
          <w:sz w:val="24"/>
        </w:rPr>
        <w:t>市场</w:t>
      </w:r>
      <w:r w:rsidR="00C76273">
        <w:rPr>
          <w:rFonts w:hint="eastAsia"/>
          <w:b/>
          <w:bCs/>
          <w:color w:val="000000"/>
          <w:sz w:val="24"/>
        </w:rPr>
        <w:t>的下游需求、市场空间以及未来增长率</w:t>
      </w:r>
    </w:p>
    <w:p w14:paraId="13E4C00A" w14:textId="0C2B7086" w:rsidR="00FC5A62" w:rsidRDefault="00C76273" w:rsidP="00876CCC">
      <w:pPr>
        <w:spacing w:beforeLines="50" w:before="156" w:afterLines="50" w:after="156" w:line="360" w:lineRule="auto"/>
        <w:ind w:firstLineChars="200" w:firstLine="480"/>
        <w:rPr>
          <w:color w:val="000000"/>
          <w:sz w:val="24"/>
        </w:rPr>
      </w:pPr>
      <w:r>
        <w:rPr>
          <w:rFonts w:hint="eastAsia"/>
          <w:color w:val="000000"/>
          <w:sz w:val="24"/>
        </w:rPr>
        <w:t>在</w:t>
      </w:r>
      <w:r w:rsidR="006D1319">
        <w:rPr>
          <w:rFonts w:hint="eastAsia"/>
          <w:color w:val="000000"/>
          <w:sz w:val="24"/>
        </w:rPr>
        <w:t>零排放长期</w:t>
      </w:r>
      <w:r>
        <w:rPr>
          <w:rFonts w:hint="eastAsia"/>
          <w:color w:val="000000"/>
          <w:sz w:val="24"/>
        </w:rPr>
        <w:t>战略和</w:t>
      </w:r>
      <w:r>
        <w:rPr>
          <w:rFonts w:hint="eastAsia"/>
          <w:color w:val="000000"/>
          <w:sz w:val="24"/>
        </w:rPr>
        <w:t>IRA</w:t>
      </w:r>
      <w:r>
        <w:rPr>
          <w:rFonts w:hint="eastAsia"/>
          <w:color w:val="000000"/>
          <w:sz w:val="24"/>
        </w:rPr>
        <w:t>法案的刺激下，美国光</w:t>
      </w:r>
      <w:proofErr w:type="gramStart"/>
      <w:r>
        <w:rPr>
          <w:rFonts w:hint="eastAsia"/>
          <w:color w:val="000000"/>
          <w:sz w:val="24"/>
        </w:rPr>
        <w:t>伏市场</w:t>
      </w:r>
      <w:proofErr w:type="gramEnd"/>
      <w:r>
        <w:rPr>
          <w:rFonts w:hint="eastAsia"/>
          <w:color w:val="000000"/>
          <w:sz w:val="24"/>
        </w:rPr>
        <w:t>将迎来持续增长态势。</w:t>
      </w:r>
      <w:r w:rsidR="006D1319">
        <w:rPr>
          <w:rFonts w:hint="eastAsia"/>
          <w:color w:val="000000"/>
          <w:sz w:val="24"/>
        </w:rPr>
        <w:t>根据</w:t>
      </w:r>
      <w:r>
        <w:rPr>
          <w:rFonts w:hint="eastAsia"/>
          <w:color w:val="000000"/>
          <w:sz w:val="24"/>
        </w:rPr>
        <w:t>Bloomberg NEF</w:t>
      </w:r>
      <w:r>
        <w:rPr>
          <w:rFonts w:hint="eastAsia"/>
          <w:color w:val="000000"/>
          <w:sz w:val="24"/>
        </w:rPr>
        <w:t>预测，美国</w:t>
      </w:r>
      <w:r>
        <w:rPr>
          <w:rFonts w:hint="eastAsia"/>
          <w:color w:val="000000"/>
          <w:sz w:val="24"/>
        </w:rPr>
        <w:t>2030</w:t>
      </w:r>
      <w:r>
        <w:rPr>
          <w:rFonts w:hint="eastAsia"/>
          <w:color w:val="000000"/>
          <w:sz w:val="24"/>
        </w:rPr>
        <w:t>年的光伏新增装机容量将达到</w:t>
      </w:r>
      <w:r>
        <w:rPr>
          <w:rFonts w:hint="eastAsia"/>
          <w:color w:val="000000"/>
          <w:sz w:val="24"/>
        </w:rPr>
        <w:t>60GW</w:t>
      </w:r>
      <w:r>
        <w:rPr>
          <w:rFonts w:hint="eastAsia"/>
          <w:color w:val="000000"/>
          <w:sz w:val="24"/>
        </w:rPr>
        <w:t>，相较于</w:t>
      </w:r>
      <w:r>
        <w:rPr>
          <w:rFonts w:hint="eastAsia"/>
          <w:color w:val="000000"/>
          <w:sz w:val="24"/>
        </w:rPr>
        <w:t>2022</w:t>
      </w:r>
      <w:r>
        <w:rPr>
          <w:rFonts w:hint="eastAsia"/>
          <w:color w:val="000000"/>
          <w:sz w:val="24"/>
        </w:rPr>
        <w:t>年新增装机规模的年复合增长率达到</w:t>
      </w:r>
      <w:r>
        <w:rPr>
          <w:rFonts w:hint="eastAsia"/>
          <w:color w:val="000000"/>
          <w:sz w:val="24"/>
        </w:rPr>
        <w:t>12.19%</w:t>
      </w:r>
      <w:r>
        <w:rPr>
          <w:rFonts w:hint="eastAsia"/>
          <w:color w:val="000000"/>
          <w:sz w:val="24"/>
        </w:rPr>
        <w:t>。</w:t>
      </w:r>
    </w:p>
    <w:p w14:paraId="49A7ECAA" w14:textId="77777777" w:rsidR="00FC5A62" w:rsidRDefault="00C76273" w:rsidP="00876CCC">
      <w:pPr>
        <w:spacing w:beforeLines="50" w:before="156" w:afterLines="50" w:after="156" w:line="360" w:lineRule="auto"/>
        <w:ind w:firstLineChars="200" w:firstLine="480"/>
        <w:rPr>
          <w:color w:val="000000"/>
          <w:sz w:val="24"/>
        </w:rPr>
      </w:pPr>
      <w:r>
        <w:rPr>
          <w:rFonts w:hint="eastAsia"/>
          <w:color w:val="000000"/>
          <w:sz w:val="24"/>
        </w:rPr>
        <w:t>据</w:t>
      </w:r>
      <w:r>
        <w:rPr>
          <w:rFonts w:hint="eastAsia"/>
          <w:color w:val="000000"/>
          <w:sz w:val="24"/>
        </w:rPr>
        <w:t>Wood Mackenzie</w:t>
      </w:r>
      <w:r>
        <w:rPr>
          <w:rFonts w:hint="eastAsia"/>
          <w:color w:val="000000"/>
          <w:sz w:val="24"/>
        </w:rPr>
        <w:t>统计，截至</w:t>
      </w:r>
      <w:r>
        <w:rPr>
          <w:rFonts w:hint="eastAsia"/>
          <w:color w:val="000000"/>
          <w:sz w:val="24"/>
        </w:rPr>
        <w:t>2022</w:t>
      </w:r>
      <w:r>
        <w:rPr>
          <w:rFonts w:hint="eastAsia"/>
          <w:color w:val="000000"/>
          <w:sz w:val="24"/>
        </w:rPr>
        <w:t>年末，美国本土的光伏组件产能约为</w:t>
      </w:r>
      <w:r>
        <w:rPr>
          <w:rFonts w:hint="eastAsia"/>
          <w:color w:val="000000"/>
          <w:sz w:val="24"/>
        </w:rPr>
        <w:t>10.6GW</w:t>
      </w:r>
      <w:r>
        <w:rPr>
          <w:rFonts w:hint="eastAsia"/>
          <w:color w:val="000000"/>
          <w:sz w:val="24"/>
        </w:rPr>
        <w:t>，与下游需求之间仍存在较大的缺口。因此，美国的光伏组件主要依靠海外进口，并以东南亚市场为主，</w:t>
      </w:r>
      <w:r>
        <w:rPr>
          <w:rFonts w:hint="eastAsia"/>
          <w:color w:val="000000"/>
          <w:sz w:val="24"/>
        </w:rPr>
        <w:t>2021</w:t>
      </w:r>
      <w:r>
        <w:rPr>
          <w:rFonts w:hint="eastAsia"/>
          <w:color w:val="000000"/>
          <w:sz w:val="24"/>
        </w:rPr>
        <w:t>年美国光伏组件主要进口国家包括：马来西亚（</w:t>
      </w:r>
      <w:r>
        <w:rPr>
          <w:rFonts w:hint="eastAsia"/>
          <w:color w:val="000000"/>
          <w:sz w:val="24"/>
        </w:rPr>
        <w:t>7.4GW</w:t>
      </w:r>
      <w:r>
        <w:rPr>
          <w:rFonts w:hint="eastAsia"/>
          <w:color w:val="000000"/>
          <w:sz w:val="24"/>
        </w:rPr>
        <w:t>，占比</w:t>
      </w:r>
      <w:r>
        <w:rPr>
          <w:rFonts w:hint="eastAsia"/>
          <w:color w:val="000000"/>
          <w:sz w:val="24"/>
        </w:rPr>
        <w:t>29%</w:t>
      </w:r>
      <w:r>
        <w:rPr>
          <w:rFonts w:hint="eastAsia"/>
          <w:color w:val="000000"/>
          <w:sz w:val="24"/>
        </w:rPr>
        <w:t>）、越南（</w:t>
      </w:r>
      <w:r>
        <w:rPr>
          <w:rFonts w:hint="eastAsia"/>
          <w:color w:val="000000"/>
          <w:sz w:val="24"/>
        </w:rPr>
        <w:t>7.5GW</w:t>
      </w:r>
      <w:r>
        <w:rPr>
          <w:rFonts w:hint="eastAsia"/>
          <w:color w:val="000000"/>
          <w:sz w:val="24"/>
        </w:rPr>
        <w:t>，占比</w:t>
      </w:r>
      <w:r>
        <w:rPr>
          <w:rFonts w:hint="eastAsia"/>
          <w:color w:val="000000"/>
          <w:sz w:val="24"/>
        </w:rPr>
        <w:t>29%</w:t>
      </w:r>
      <w:r>
        <w:rPr>
          <w:rFonts w:hint="eastAsia"/>
          <w:color w:val="000000"/>
          <w:sz w:val="24"/>
        </w:rPr>
        <w:t>）、泰国（</w:t>
      </w:r>
      <w:r>
        <w:rPr>
          <w:rFonts w:hint="eastAsia"/>
          <w:color w:val="000000"/>
          <w:sz w:val="24"/>
        </w:rPr>
        <w:t>6.4GW</w:t>
      </w:r>
      <w:r>
        <w:rPr>
          <w:rFonts w:hint="eastAsia"/>
          <w:color w:val="000000"/>
          <w:sz w:val="24"/>
        </w:rPr>
        <w:t>，占比</w:t>
      </w:r>
      <w:r>
        <w:rPr>
          <w:rFonts w:hint="eastAsia"/>
          <w:color w:val="000000"/>
          <w:sz w:val="24"/>
        </w:rPr>
        <w:t>25%</w:t>
      </w:r>
      <w:r>
        <w:rPr>
          <w:rFonts w:hint="eastAsia"/>
          <w:color w:val="000000"/>
          <w:sz w:val="24"/>
        </w:rPr>
        <w:t>）、韩国（</w:t>
      </w:r>
      <w:r>
        <w:rPr>
          <w:rFonts w:hint="eastAsia"/>
          <w:color w:val="000000"/>
          <w:sz w:val="24"/>
        </w:rPr>
        <w:t>1.8GW</w:t>
      </w:r>
      <w:r>
        <w:rPr>
          <w:rFonts w:hint="eastAsia"/>
          <w:color w:val="000000"/>
          <w:sz w:val="24"/>
        </w:rPr>
        <w:t>，占比</w:t>
      </w:r>
      <w:r>
        <w:rPr>
          <w:rFonts w:hint="eastAsia"/>
          <w:color w:val="000000"/>
          <w:sz w:val="24"/>
        </w:rPr>
        <w:t xml:space="preserve"> 7%</w:t>
      </w:r>
      <w:r>
        <w:rPr>
          <w:rFonts w:hint="eastAsia"/>
          <w:color w:val="000000"/>
          <w:sz w:val="24"/>
        </w:rPr>
        <w:t>）、柬埔寨（</w:t>
      </w:r>
      <w:r>
        <w:rPr>
          <w:rFonts w:hint="eastAsia"/>
          <w:color w:val="000000"/>
          <w:sz w:val="24"/>
        </w:rPr>
        <w:t>0.8GW</w:t>
      </w:r>
      <w:r>
        <w:rPr>
          <w:rFonts w:hint="eastAsia"/>
          <w:color w:val="000000"/>
          <w:sz w:val="24"/>
        </w:rPr>
        <w:t>，占比</w:t>
      </w:r>
      <w:r>
        <w:rPr>
          <w:rFonts w:hint="eastAsia"/>
          <w:color w:val="000000"/>
          <w:sz w:val="24"/>
        </w:rPr>
        <w:t xml:space="preserve"> 3%</w:t>
      </w:r>
      <w:r>
        <w:rPr>
          <w:rFonts w:hint="eastAsia"/>
          <w:color w:val="000000"/>
          <w:sz w:val="24"/>
        </w:rPr>
        <w:t>）。</w:t>
      </w:r>
    </w:p>
    <w:p w14:paraId="4A2F15F7" w14:textId="77777777" w:rsidR="00FC5A62" w:rsidRDefault="00C76273">
      <w:r>
        <w:rPr>
          <w:noProof/>
          <w:color w:val="000000"/>
        </w:rPr>
        <w:lastRenderedPageBreak/>
        <w:drawing>
          <wp:inline distT="0" distB="0" distL="0" distR="0" wp14:anchorId="28A4CADE" wp14:editId="55077A44">
            <wp:extent cx="5274310" cy="2752725"/>
            <wp:effectExtent l="0" t="0" r="2540" b="9525"/>
            <wp:docPr id="2108127174" name="图表 210812717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6A8744" w14:textId="77777777" w:rsidR="00FC5A62" w:rsidRDefault="00C76273">
      <w:pPr>
        <w:rPr>
          <w:color w:val="000000"/>
        </w:rPr>
      </w:pPr>
      <w:r>
        <w:rPr>
          <w:rFonts w:hint="eastAsia"/>
          <w:color w:val="000000"/>
        </w:rPr>
        <w:t>数据来源：</w:t>
      </w:r>
      <w:r>
        <w:rPr>
          <w:rFonts w:hint="eastAsia"/>
          <w:color w:val="000000"/>
        </w:rPr>
        <w:t>Bloomberg NEF</w:t>
      </w:r>
      <w:r>
        <w:rPr>
          <w:rFonts w:hint="eastAsia"/>
          <w:color w:val="000000"/>
        </w:rPr>
        <w:t>，</w:t>
      </w:r>
      <w:r>
        <w:rPr>
          <w:rFonts w:hint="eastAsia"/>
          <w:color w:val="000000"/>
        </w:rPr>
        <w:t>All country PV build scenarios, 3Q 2023</w:t>
      </w:r>
      <w:r>
        <w:rPr>
          <w:rFonts w:hint="eastAsia"/>
          <w:color w:val="000000"/>
        </w:rPr>
        <w:t>。</w:t>
      </w:r>
    </w:p>
    <w:p w14:paraId="6B0E1BF8" w14:textId="01132EEF" w:rsidR="00FC5A62" w:rsidRDefault="00C76273" w:rsidP="00B664C2">
      <w:pPr>
        <w:spacing w:beforeLines="50" w:before="156" w:afterLines="50" w:after="156" w:line="360" w:lineRule="auto"/>
        <w:ind w:firstLineChars="200" w:firstLine="482"/>
        <w:outlineLvl w:val="3"/>
        <w:rPr>
          <w:b/>
          <w:bCs/>
          <w:color w:val="000000"/>
          <w:sz w:val="24"/>
        </w:rPr>
      </w:pPr>
      <w:r>
        <w:rPr>
          <w:rFonts w:hint="eastAsia"/>
          <w:b/>
          <w:bCs/>
          <w:color w:val="000000"/>
          <w:sz w:val="24"/>
        </w:rPr>
        <w:t>（三）标的公司行业地位</w:t>
      </w:r>
    </w:p>
    <w:p w14:paraId="1753F8B3" w14:textId="77777777" w:rsidR="00FC5A62" w:rsidRDefault="00C76273" w:rsidP="00B664C2">
      <w:pPr>
        <w:spacing w:beforeLines="50" w:before="156" w:afterLines="50" w:after="156" w:line="360" w:lineRule="auto"/>
        <w:ind w:firstLineChars="200" w:firstLine="482"/>
        <w:outlineLvl w:val="4"/>
        <w:rPr>
          <w:b/>
          <w:bCs/>
          <w:color w:val="000000"/>
          <w:sz w:val="24"/>
        </w:rPr>
      </w:pPr>
      <w:r>
        <w:rPr>
          <w:rFonts w:hint="eastAsia"/>
          <w:b/>
          <w:bCs/>
          <w:color w:val="000000"/>
          <w:sz w:val="24"/>
        </w:rPr>
        <w:t>1</w:t>
      </w:r>
      <w:r>
        <w:rPr>
          <w:rFonts w:hint="eastAsia"/>
          <w:b/>
          <w:bCs/>
          <w:color w:val="000000"/>
          <w:sz w:val="24"/>
        </w:rPr>
        <w:t>、标的公司的产能排名</w:t>
      </w:r>
    </w:p>
    <w:p w14:paraId="0B78AB65" w14:textId="57FC35F4" w:rsidR="00FC5A62" w:rsidRDefault="00C76273" w:rsidP="00B664C2">
      <w:pPr>
        <w:spacing w:beforeLines="50" w:before="156" w:afterLines="50" w:after="156" w:line="360" w:lineRule="auto"/>
        <w:ind w:firstLineChars="200" w:firstLine="480"/>
        <w:rPr>
          <w:color w:val="000000"/>
          <w:sz w:val="24"/>
        </w:rPr>
      </w:pPr>
      <w:r>
        <w:rPr>
          <w:rFonts w:hint="eastAsia"/>
          <w:color w:val="000000"/>
          <w:sz w:val="24"/>
        </w:rPr>
        <w:t>根据</w:t>
      </w:r>
      <w:proofErr w:type="spellStart"/>
      <w:r>
        <w:rPr>
          <w:rFonts w:hint="eastAsia"/>
          <w:color w:val="000000"/>
          <w:sz w:val="24"/>
        </w:rPr>
        <w:t>InfoLink</w:t>
      </w:r>
      <w:proofErr w:type="spellEnd"/>
      <w:r>
        <w:rPr>
          <w:rFonts w:hint="eastAsia"/>
          <w:color w:val="000000"/>
          <w:sz w:val="24"/>
        </w:rPr>
        <w:t>的数据披露，截至</w:t>
      </w:r>
      <w:r>
        <w:rPr>
          <w:rFonts w:hint="eastAsia"/>
          <w:color w:val="000000"/>
          <w:sz w:val="24"/>
        </w:rPr>
        <w:t>2022</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日，东南亚地区光伏电池产能合计约</w:t>
      </w:r>
      <w:r>
        <w:rPr>
          <w:rFonts w:hint="eastAsia"/>
          <w:color w:val="000000"/>
          <w:sz w:val="24"/>
        </w:rPr>
        <w:t>59.8GW</w:t>
      </w:r>
      <w:r>
        <w:rPr>
          <w:rFonts w:hint="eastAsia"/>
          <w:color w:val="000000"/>
          <w:sz w:val="24"/>
        </w:rPr>
        <w:t>，光伏组件产能合计约</w:t>
      </w:r>
      <w:r>
        <w:rPr>
          <w:rFonts w:hint="eastAsia"/>
          <w:color w:val="000000"/>
          <w:sz w:val="24"/>
        </w:rPr>
        <w:t>90.6GW</w:t>
      </w:r>
      <w:r>
        <w:rPr>
          <w:rFonts w:hint="eastAsia"/>
          <w:color w:val="000000"/>
          <w:sz w:val="24"/>
        </w:rPr>
        <w:t>，组件产能显著高于电池产能，在东南亚市场存在较大的电池采购需求。东南亚地区主要企业的电池产能情况统计如下：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2243"/>
        <w:gridCol w:w="1343"/>
        <w:gridCol w:w="3593"/>
      </w:tblGrid>
      <w:tr w:rsidR="00FC5A62" w14:paraId="31D06257" w14:textId="77777777">
        <w:trPr>
          <w:trHeight w:val="280"/>
          <w:jc w:val="center"/>
        </w:trPr>
        <w:tc>
          <w:tcPr>
            <w:tcW w:w="788" w:type="pct"/>
            <w:shd w:val="clear" w:color="auto" w:fill="auto"/>
            <w:noWrap/>
            <w:vAlign w:val="center"/>
          </w:tcPr>
          <w:p w14:paraId="2F53F64B" w14:textId="77777777" w:rsidR="00FC5A62" w:rsidRDefault="00C76273">
            <w:pPr>
              <w:widowControl/>
              <w:jc w:val="center"/>
              <w:rPr>
                <w:b/>
                <w:bCs/>
                <w:color w:val="000000"/>
                <w:kern w:val="0"/>
                <w:szCs w:val="21"/>
              </w:rPr>
            </w:pPr>
            <w:r>
              <w:rPr>
                <w:b/>
                <w:bCs/>
                <w:color w:val="000000"/>
                <w:kern w:val="0"/>
                <w:szCs w:val="21"/>
              </w:rPr>
              <w:t>排名</w:t>
            </w:r>
          </w:p>
        </w:tc>
        <w:tc>
          <w:tcPr>
            <w:tcW w:w="1316" w:type="pct"/>
            <w:shd w:val="clear" w:color="auto" w:fill="auto"/>
            <w:noWrap/>
            <w:vAlign w:val="center"/>
          </w:tcPr>
          <w:p w14:paraId="431C625A" w14:textId="77777777" w:rsidR="00FC5A62" w:rsidRDefault="00C76273">
            <w:pPr>
              <w:widowControl/>
              <w:jc w:val="center"/>
              <w:rPr>
                <w:b/>
                <w:bCs/>
                <w:color w:val="000000"/>
                <w:kern w:val="0"/>
                <w:szCs w:val="21"/>
              </w:rPr>
            </w:pPr>
            <w:r>
              <w:rPr>
                <w:b/>
                <w:bCs/>
                <w:color w:val="000000"/>
                <w:kern w:val="0"/>
                <w:szCs w:val="21"/>
              </w:rPr>
              <w:t>公司名称</w:t>
            </w:r>
          </w:p>
        </w:tc>
        <w:tc>
          <w:tcPr>
            <w:tcW w:w="788" w:type="pct"/>
            <w:shd w:val="clear" w:color="auto" w:fill="auto"/>
            <w:noWrap/>
            <w:vAlign w:val="center"/>
          </w:tcPr>
          <w:p w14:paraId="32F5FEFF" w14:textId="77777777" w:rsidR="00FC5A62" w:rsidRDefault="00C76273">
            <w:pPr>
              <w:widowControl/>
              <w:jc w:val="center"/>
              <w:rPr>
                <w:b/>
                <w:bCs/>
                <w:color w:val="000000"/>
                <w:kern w:val="0"/>
                <w:szCs w:val="21"/>
              </w:rPr>
            </w:pPr>
            <w:r>
              <w:rPr>
                <w:b/>
                <w:bCs/>
                <w:color w:val="000000"/>
                <w:kern w:val="0"/>
                <w:szCs w:val="21"/>
              </w:rPr>
              <w:t>产能</w:t>
            </w:r>
            <w:r>
              <w:rPr>
                <w:rFonts w:hint="eastAsia"/>
                <w:b/>
                <w:bCs/>
                <w:color w:val="000000"/>
                <w:kern w:val="0"/>
                <w:szCs w:val="21"/>
              </w:rPr>
              <w:t>G</w:t>
            </w:r>
            <w:r>
              <w:rPr>
                <w:b/>
                <w:bCs/>
                <w:color w:val="000000"/>
                <w:kern w:val="0"/>
                <w:szCs w:val="21"/>
              </w:rPr>
              <w:t>W</w:t>
            </w:r>
          </w:p>
        </w:tc>
        <w:tc>
          <w:tcPr>
            <w:tcW w:w="2109" w:type="pct"/>
            <w:shd w:val="clear" w:color="auto" w:fill="auto"/>
            <w:noWrap/>
            <w:vAlign w:val="center"/>
          </w:tcPr>
          <w:p w14:paraId="2244507C" w14:textId="77777777" w:rsidR="00FC5A62" w:rsidRDefault="00C76273">
            <w:pPr>
              <w:widowControl/>
              <w:jc w:val="center"/>
              <w:rPr>
                <w:b/>
                <w:bCs/>
                <w:color w:val="000000"/>
                <w:kern w:val="0"/>
                <w:szCs w:val="21"/>
              </w:rPr>
            </w:pPr>
            <w:r>
              <w:rPr>
                <w:b/>
                <w:bCs/>
                <w:color w:val="000000"/>
                <w:kern w:val="0"/>
                <w:szCs w:val="21"/>
              </w:rPr>
              <w:t>生产基地</w:t>
            </w:r>
          </w:p>
        </w:tc>
      </w:tr>
      <w:tr w:rsidR="00FC5A62" w14:paraId="39A88DCE" w14:textId="77777777">
        <w:trPr>
          <w:trHeight w:val="280"/>
          <w:jc w:val="center"/>
        </w:trPr>
        <w:tc>
          <w:tcPr>
            <w:tcW w:w="788" w:type="pct"/>
            <w:shd w:val="clear" w:color="auto" w:fill="auto"/>
            <w:noWrap/>
            <w:vAlign w:val="center"/>
          </w:tcPr>
          <w:p w14:paraId="22596D69" w14:textId="77777777" w:rsidR="00FC5A62" w:rsidRDefault="00C76273">
            <w:pPr>
              <w:widowControl/>
              <w:jc w:val="center"/>
              <w:rPr>
                <w:color w:val="000000"/>
                <w:kern w:val="0"/>
                <w:szCs w:val="21"/>
              </w:rPr>
            </w:pPr>
            <w:r>
              <w:rPr>
                <w:color w:val="000000"/>
                <w:kern w:val="0"/>
                <w:szCs w:val="21"/>
              </w:rPr>
              <w:t>1</w:t>
            </w:r>
          </w:p>
        </w:tc>
        <w:tc>
          <w:tcPr>
            <w:tcW w:w="1316" w:type="pct"/>
            <w:shd w:val="clear" w:color="auto" w:fill="auto"/>
            <w:noWrap/>
            <w:vAlign w:val="center"/>
          </w:tcPr>
          <w:p w14:paraId="5BC72BC3" w14:textId="77777777" w:rsidR="00FC5A62" w:rsidRDefault="00C76273">
            <w:pPr>
              <w:widowControl/>
              <w:jc w:val="left"/>
              <w:rPr>
                <w:color w:val="000000"/>
                <w:kern w:val="0"/>
                <w:szCs w:val="21"/>
              </w:rPr>
            </w:pPr>
            <w:r>
              <w:rPr>
                <w:color w:val="000000"/>
                <w:kern w:val="0"/>
                <w:szCs w:val="21"/>
              </w:rPr>
              <w:t>隆</w:t>
            </w:r>
            <w:proofErr w:type="gramStart"/>
            <w:r>
              <w:rPr>
                <w:color w:val="000000"/>
                <w:kern w:val="0"/>
                <w:szCs w:val="21"/>
              </w:rPr>
              <w:t>基绿能</w:t>
            </w:r>
            <w:proofErr w:type="gramEnd"/>
          </w:p>
        </w:tc>
        <w:tc>
          <w:tcPr>
            <w:tcW w:w="788" w:type="pct"/>
            <w:shd w:val="clear" w:color="auto" w:fill="auto"/>
            <w:noWrap/>
            <w:vAlign w:val="center"/>
          </w:tcPr>
          <w:p w14:paraId="02E6B0C9" w14:textId="77777777" w:rsidR="00FC5A62" w:rsidRDefault="00C76273">
            <w:pPr>
              <w:widowControl/>
              <w:jc w:val="right"/>
              <w:rPr>
                <w:color w:val="000000"/>
                <w:kern w:val="0"/>
                <w:szCs w:val="21"/>
              </w:rPr>
            </w:pPr>
            <w:r>
              <w:rPr>
                <w:color w:val="000000"/>
                <w:kern w:val="0"/>
                <w:szCs w:val="21"/>
              </w:rPr>
              <w:t>8.5</w:t>
            </w:r>
          </w:p>
        </w:tc>
        <w:tc>
          <w:tcPr>
            <w:tcW w:w="2109" w:type="pct"/>
            <w:shd w:val="clear" w:color="auto" w:fill="auto"/>
            <w:noWrap/>
            <w:vAlign w:val="center"/>
          </w:tcPr>
          <w:p w14:paraId="6718B36F" w14:textId="77777777" w:rsidR="00FC5A62" w:rsidRDefault="00C76273">
            <w:pPr>
              <w:widowControl/>
              <w:jc w:val="center"/>
              <w:rPr>
                <w:color w:val="000000"/>
                <w:kern w:val="0"/>
                <w:szCs w:val="21"/>
              </w:rPr>
            </w:pPr>
            <w:r>
              <w:rPr>
                <w:color w:val="000000"/>
                <w:kern w:val="0"/>
                <w:szCs w:val="21"/>
              </w:rPr>
              <w:t>马来西亚、越南</w:t>
            </w:r>
          </w:p>
        </w:tc>
      </w:tr>
      <w:tr w:rsidR="00FC5A62" w14:paraId="6AD79DE2" w14:textId="77777777">
        <w:trPr>
          <w:trHeight w:val="280"/>
          <w:jc w:val="center"/>
        </w:trPr>
        <w:tc>
          <w:tcPr>
            <w:tcW w:w="788" w:type="pct"/>
            <w:shd w:val="clear" w:color="auto" w:fill="auto"/>
            <w:noWrap/>
            <w:vAlign w:val="center"/>
          </w:tcPr>
          <w:p w14:paraId="1254F892" w14:textId="77777777" w:rsidR="00FC5A62" w:rsidRDefault="00C76273">
            <w:pPr>
              <w:widowControl/>
              <w:jc w:val="center"/>
              <w:rPr>
                <w:color w:val="000000"/>
                <w:kern w:val="0"/>
                <w:szCs w:val="21"/>
              </w:rPr>
            </w:pPr>
            <w:r>
              <w:rPr>
                <w:color w:val="000000"/>
                <w:kern w:val="0"/>
                <w:szCs w:val="21"/>
              </w:rPr>
              <w:t>2</w:t>
            </w:r>
          </w:p>
        </w:tc>
        <w:tc>
          <w:tcPr>
            <w:tcW w:w="1316" w:type="pct"/>
            <w:shd w:val="clear" w:color="auto" w:fill="auto"/>
            <w:noWrap/>
            <w:vAlign w:val="center"/>
          </w:tcPr>
          <w:p w14:paraId="60D0BF9F" w14:textId="77777777" w:rsidR="00FC5A62" w:rsidRDefault="00C76273">
            <w:pPr>
              <w:widowControl/>
              <w:jc w:val="left"/>
              <w:rPr>
                <w:color w:val="000000"/>
                <w:kern w:val="0"/>
                <w:szCs w:val="21"/>
              </w:rPr>
            </w:pPr>
            <w:proofErr w:type="gramStart"/>
            <w:r>
              <w:rPr>
                <w:color w:val="000000"/>
                <w:kern w:val="0"/>
                <w:szCs w:val="21"/>
              </w:rPr>
              <w:t>晶科能源</w:t>
            </w:r>
            <w:proofErr w:type="gramEnd"/>
          </w:p>
        </w:tc>
        <w:tc>
          <w:tcPr>
            <w:tcW w:w="788" w:type="pct"/>
            <w:shd w:val="clear" w:color="auto" w:fill="auto"/>
            <w:noWrap/>
            <w:vAlign w:val="center"/>
          </w:tcPr>
          <w:p w14:paraId="435414A6" w14:textId="77777777" w:rsidR="00FC5A62" w:rsidRDefault="00C76273">
            <w:pPr>
              <w:widowControl/>
              <w:jc w:val="right"/>
              <w:rPr>
                <w:color w:val="000000"/>
                <w:kern w:val="0"/>
                <w:szCs w:val="21"/>
              </w:rPr>
            </w:pPr>
            <w:r>
              <w:rPr>
                <w:color w:val="000000"/>
                <w:kern w:val="0"/>
                <w:szCs w:val="21"/>
              </w:rPr>
              <w:t>7</w:t>
            </w:r>
          </w:p>
        </w:tc>
        <w:tc>
          <w:tcPr>
            <w:tcW w:w="2109" w:type="pct"/>
            <w:shd w:val="clear" w:color="auto" w:fill="auto"/>
            <w:noWrap/>
            <w:vAlign w:val="center"/>
          </w:tcPr>
          <w:p w14:paraId="0BA8EEA3" w14:textId="77777777" w:rsidR="00FC5A62" w:rsidRDefault="00C76273">
            <w:pPr>
              <w:widowControl/>
              <w:jc w:val="center"/>
              <w:rPr>
                <w:color w:val="000000"/>
                <w:kern w:val="0"/>
                <w:szCs w:val="21"/>
              </w:rPr>
            </w:pPr>
            <w:r>
              <w:rPr>
                <w:color w:val="000000"/>
                <w:kern w:val="0"/>
                <w:szCs w:val="21"/>
              </w:rPr>
              <w:t>马来西亚</w:t>
            </w:r>
          </w:p>
        </w:tc>
      </w:tr>
      <w:tr w:rsidR="00FC5A62" w14:paraId="1222942F" w14:textId="77777777">
        <w:trPr>
          <w:trHeight w:val="280"/>
          <w:jc w:val="center"/>
        </w:trPr>
        <w:tc>
          <w:tcPr>
            <w:tcW w:w="788" w:type="pct"/>
            <w:shd w:val="clear" w:color="auto" w:fill="auto"/>
            <w:noWrap/>
            <w:vAlign w:val="center"/>
          </w:tcPr>
          <w:p w14:paraId="6CD0C98E" w14:textId="77777777" w:rsidR="00FC5A62" w:rsidRDefault="00C76273">
            <w:pPr>
              <w:widowControl/>
              <w:jc w:val="center"/>
              <w:rPr>
                <w:color w:val="000000"/>
                <w:kern w:val="0"/>
                <w:szCs w:val="21"/>
              </w:rPr>
            </w:pPr>
            <w:r>
              <w:rPr>
                <w:color w:val="000000"/>
                <w:kern w:val="0"/>
                <w:szCs w:val="21"/>
              </w:rPr>
              <w:t>3</w:t>
            </w:r>
          </w:p>
        </w:tc>
        <w:tc>
          <w:tcPr>
            <w:tcW w:w="1316" w:type="pct"/>
            <w:shd w:val="clear" w:color="auto" w:fill="auto"/>
            <w:noWrap/>
            <w:vAlign w:val="center"/>
          </w:tcPr>
          <w:p w14:paraId="20D14081" w14:textId="77777777" w:rsidR="00FC5A62" w:rsidRDefault="00C76273">
            <w:pPr>
              <w:widowControl/>
              <w:jc w:val="left"/>
              <w:rPr>
                <w:color w:val="000000"/>
                <w:kern w:val="0"/>
                <w:szCs w:val="21"/>
              </w:rPr>
            </w:pPr>
            <w:r>
              <w:rPr>
                <w:color w:val="000000"/>
                <w:kern w:val="0"/>
                <w:szCs w:val="21"/>
              </w:rPr>
              <w:t>润阳光伏</w:t>
            </w:r>
          </w:p>
        </w:tc>
        <w:tc>
          <w:tcPr>
            <w:tcW w:w="788" w:type="pct"/>
            <w:shd w:val="clear" w:color="auto" w:fill="auto"/>
            <w:noWrap/>
            <w:vAlign w:val="center"/>
          </w:tcPr>
          <w:p w14:paraId="16A44858" w14:textId="77777777" w:rsidR="00FC5A62" w:rsidRDefault="00C76273">
            <w:pPr>
              <w:widowControl/>
              <w:jc w:val="right"/>
              <w:rPr>
                <w:color w:val="000000"/>
                <w:kern w:val="0"/>
                <w:szCs w:val="21"/>
              </w:rPr>
            </w:pPr>
            <w:r>
              <w:rPr>
                <w:color w:val="000000"/>
                <w:kern w:val="0"/>
                <w:szCs w:val="21"/>
              </w:rPr>
              <w:t>5</w:t>
            </w:r>
          </w:p>
        </w:tc>
        <w:tc>
          <w:tcPr>
            <w:tcW w:w="2109" w:type="pct"/>
            <w:shd w:val="clear" w:color="auto" w:fill="auto"/>
            <w:noWrap/>
            <w:vAlign w:val="center"/>
          </w:tcPr>
          <w:p w14:paraId="37780347" w14:textId="77777777" w:rsidR="00FC5A62" w:rsidRDefault="00C76273">
            <w:pPr>
              <w:widowControl/>
              <w:jc w:val="center"/>
              <w:rPr>
                <w:color w:val="000000"/>
                <w:kern w:val="0"/>
                <w:szCs w:val="21"/>
              </w:rPr>
            </w:pPr>
            <w:r>
              <w:rPr>
                <w:color w:val="000000"/>
                <w:kern w:val="0"/>
                <w:szCs w:val="21"/>
              </w:rPr>
              <w:t>泰国</w:t>
            </w:r>
          </w:p>
        </w:tc>
      </w:tr>
      <w:tr w:rsidR="00FC5A62" w14:paraId="023CF58C" w14:textId="77777777">
        <w:trPr>
          <w:trHeight w:val="280"/>
          <w:jc w:val="center"/>
        </w:trPr>
        <w:tc>
          <w:tcPr>
            <w:tcW w:w="788" w:type="pct"/>
            <w:shd w:val="clear" w:color="auto" w:fill="auto"/>
            <w:noWrap/>
            <w:vAlign w:val="center"/>
          </w:tcPr>
          <w:p w14:paraId="539B9D4C" w14:textId="77777777" w:rsidR="00FC5A62" w:rsidRDefault="00C76273">
            <w:pPr>
              <w:widowControl/>
              <w:jc w:val="center"/>
              <w:rPr>
                <w:color w:val="000000"/>
                <w:kern w:val="0"/>
                <w:szCs w:val="21"/>
              </w:rPr>
            </w:pPr>
            <w:r>
              <w:rPr>
                <w:color w:val="000000"/>
                <w:kern w:val="0"/>
                <w:szCs w:val="21"/>
              </w:rPr>
              <w:t>4</w:t>
            </w:r>
          </w:p>
        </w:tc>
        <w:tc>
          <w:tcPr>
            <w:tcW w:w="1316" w:type="pct"/>
            <w:shd w:val="clear" w:color="auto" w:fill="auto"/>
            <w:noWrap/>
            <w:vAlign w:val="center"/>
          </w:tcPr>
          <w:p w14:paraId="13EE5EBA" w14:textId="77777777" w:rsidR="00FC5A62" w:rsidRDefault="00C76273">
            <w:pPr>
              <w:widowControl/>
              <w:jc w:val="left"/>
              <w:rPr>
                <w:color w:val="000000"/>
                <w:kern w:val="0"/>
                <w:szCs w:val="21"/>
              </w:rPr>
            </w:pPr>
            <w:proofErr w:type="gramStart"/>
            <w:r>
              <w:rPr>
                <w:color w:val="000000"/>
                <w:kern w:val="0"/>
                <w:szCs w:val="21"/>
              </w:rPr>
              <w:t>晶澳科技</w:t>
            </w:r>
            <w:proofErr w:type="gramEnd"/>
          </w:p>
        </w:tc>
        <w:tc>
          <w:tcPr>
            <w:tcW w:w="788" w:type="pct"/>
            <w:shd w:val="clear" w:color="auto" w:fill="auto"/>
            <w:noWrap/>
            <w:vAlign w:val="center"/>
          </w:tcPr>
          <w:p w14:paraId="3AB4D18C" w14:textId="77777777" w:rsidR="00FC5A62" w:rsidRDefault="00C76273">
            <w:pPr>
              <w:widowControl/>
              <w:jc w:val="right"/>
              <w:rPr>
                <w:color w:val="000000"/>
                <w:kern w:val="0"/>
                <w:szCs w:val="21"/>
              </w:rPr>
            </w:pPr>
            <w:r>
              <w:rPr>
                <w:color w:val="000000"/>
                <w:kern w:val="0"/>
                <w:szCs w:val="21"/>
              </w:rPr>
              <w:t>4</w:t>
            </w:r>
          </w:p>
        </w:tc>
        <w:tc>
          <w:tcPr>
            <w:tcW w:w="2109" w:type="pct"/>
            <w:shd w:val="clear" w:color="auto" w:fill="auto"/>
            <w:noWrap/>
            <w:vAlign w:val="center"/>
          </w:tcPr>
          <w:p w14:paraId="45D7C8BE" w14:textId="77777777" w:rsidR="00FC5A62" w:rsidRDefault="00C76273">
            <w:pPr>
              <w:widowControl/>
              <w:jc w:val="center"/>
              <w:rPr>
                <w:color w:val="000000"/>
                <w:kern w:val="0"/>
                <w:szCs w:val="21"/>
              </w:rPr>
            </w:pPr>
            <w:r>
              <w:rPr>
                <w:color w:val="000000"/>
                <w:kern w:val="0"/>
                <w:szCs w:val="21"/>
              </w:rPr>
              <w:t>越南</w:t>
            </w:r>
          </w:p>
        </w:tc>
      </w:tr>
      <w:tr w:rsidR="00FC5A62" w14:paraId="6F9B6E92" w14:textId="77777777">
        <w:trPr>
          <w:trHeight w:val="280"/>
          <w:jc w:val="center"/>
        </w:trPr>
        <w:tc>
          <w:tcPr>
            <w:tcW w:w="788" w:type="pct"/>
            <w:shd w:val="clear" w:color="auto" w:fill="auto"/>
            <w:noWrap/>
            <w:vAlign w:val="center"/>
          </w:tcPr>
          <w:p w14:paraId="77A4AB23" w14:textId="77777777" w:rsidR="00FC5A62" w:rsidRDefault="00C76273">
            <w:pPr>
              <w:widowControl/>
              <w:jc w:val="center"/>
              <w:rPr>
                <w:color w:val="000000"/>
                <w:kern w:val="0"/>
                <w:szCs w:val="21"/>
              </w:rPr>
            </w:pPr>
            <w:r>
              <w:rPr>
                <w:color w:val="000000"/>
                <w:kern w:val="0"/>
                <w:szCs w:val="21"/>
              </w:rPr>
              <w:t>5</w:t>
            </w:r>
          </w:p>
        </w:tc>
        <w:tc>
          <w:tcPr>
            <w:tcW w:w="1316" w:type="pct"/>
            <w:shd w:val="clear" w:color="auto" w:fill="auto"/>
            <w:noWrap/>
            <w:vAlign w:val="center"/>
          </w:tcPr>
          <w:p w14:paraId="03464F2A" w14:textId="77777777" w:rsidR="00FC5A62" w:rsidRDefault="00C76273">
            <w:pPr>
              <w:widowControl/>
              <w:jc w:val="left"/>
              <w:rPr>
                <w:color w:val="000000"/>
                <w:kern w:val="0"/>
                <w:szCs w:val="21"/>
              </w:rPr>
            </w:pPr>
            <w:r>
              <w:rPr>
                <w:color w:val="000000"/>
                <w:kern w:val="0"/>
                <w:szCs w:val="21"/>
              </w:rPr>
              <w:t>天合光能</w:t>
            </w:r>
          </w:p>
        </w:tc>
        <w:tc>
          <w:tcPr>
            <w:tcW w:w="788" w:type="pct"/>
            <w:shd w:val="clear" w:color="auto" w:fill="auto"/>
            <w:noWrap/>
            <w:vAlign w:val="center"/>
          </w:tcPr>
          <w:p w14:paraId="3B57A299" w14:textId="77777777" w:rsidR="00FC5A62" w:rsidRDefault="00C76273">
            <w:pPr>
              <w:widowControl/>
              <w:jc w:val="right"/>
              <w:rPr>
                <w:color w:val="000000"/>
                <w:kern w:val="0"/>
                <w:szCs w:val="21"/>
              </w:rPr>
            </w:pPr>
            <w:r>
              <w:rPr>
                <w:color w:val="000000"/>
                <w:kern w:val="0"/>
                <w:szCs w:val="21"/>
              </w:rPr>
              <w:t>4</w:t>
            </w:r>
          </w:p>
        </w:tc>
        <w:tc>
          <w:tcPr>
            <w:tcW w:w="2109" w:type="pct"/>
            <w:shd w:val="clear" w:color="auto" w:fill="auto"/>
            <w:noWrap/>
            <w:vAlign w:val="center"/>
          </w:tcPr>
          <w:p w14:paraId="2C05A519" w14:textId="77777777" w:rsidR="00FC5A62" w:rsidRDefault="00C76273">
            <w:pPr>
              <w:widowControl/>
              <w:jc w:val="center"/>
              <w:rPr>
                <w:color w:val="000000"/>
                <w:kern w:val="0"/>
                <w:szCs w:val="21"/>
              </w:rPr>
            </w:pPr>
            <w:r>
              <w:rPr>
                <w:color w:val="000000"/>
                <w:kern w:val="0"/>
                <w:szCs w:val="21"/>
              </w:rPr>
              <w:t>越南、泰国</w:t>
            </w:r>
          </w:p>
        </w:tc>
      </w:tr>
      <w:tr w:rsidR="00FC5A62" w14:paraId="5D8ADFD7" w14:textId="77777777">
        <w:trPr>
          <w:trHeight w:val="280"/>
          <w:jc w:val="center"/>
        </w:trPr>
        <w:tc>
          <w:tcPr>
            <w:tcW w:w="788" w:type="pct"/>
            <w:shd w:val="clear" w:color="auto" w:fill="auto"/>
            <w:noWrap/>
            <w:vAlign w:val="center"/>
          </w:tcPr>
          <w:p w14:paraId="38EDC39C" w14:textId="77777777" w:rsidR="00FC5A62" w:rsidRDefault="00C76273">
            <w:pPr>
              <w:widowControl/>
              <w:jc w:val="center"/>
              <w:rPr>
                <w:color w:val="000000"/>
                <w:kern w:val="0"/>
                <w:szCs w:val="21"/>
              </w:rPr>
            </w:pPr>
            <w:r>
              <w:rPr>
                <w:color w:val="000000"/>
                <w:kern w:val="0"/>
                <w:szCs w:val="21"/>
              </w:rPr>
              <w:t>6</w:t>
            </w:r>
          </w:p>
        </w:tc>
        <w:tc>
          <w:tcPr>
            <w:tcW w:w="1316" w:type="pct"/>
            <w:shd w:val="clear" w:color="auto" w:fill="auto"/>
            <w:noWrap/>
            <w:vAlign w:val="center"/>
          </w:tcPr>
          <w:p w14:paraId="14761928" w14:textId="77777777" w:rsidR="00FC5A62" w:rsidRDefault="00C76273">
            <w:pPr>
              <w:widowControl/>
              <w:jc w:val="left"/>
              <w:rPr>
                <w:color w:val="000000"/>
                <w:kern w:val="0"/>
                <w:szCs w:val="21"/>
              </w:rPr>
            </w:pPr>
            <w:r>
              <w:rPr>
                <w:color w:val="000000"/>
                <w:kern w:val="0"/>
                <w:szCs w:val="21"/>
              </w:rPr>
              <w:t>阿</w:t>
            </w:r>
            <w:proofErr w:type="gramStart"/>
            <w:r>
              <w:rPr>
                <w:color w:val="000000"/>
                <w:kern w:val="0"/>
                <w:szCs w:val="21"/>
              </w:rPr>
              <w:t>特</w:t>
            </w:r>
            <w:proofErr w:type="gramEnd"/>
            <w:r>
              <w:rPr>
                <w:color w:val="000000"/>
                <w:kern w:val="0"/>
                <w:szCs w:val="21"/>
              </w:rPr>
              <w:t>斯</w:t>
            </w:r>
          </w:p>
        </w:tc>
        <w:tc>
          <w:tcPr>
            <w:tcW w:w="788" w:type="pct"/>
            <w:shd w:val="clear" w:color="auto" w:fill="auto"/>
            <w:noWrap/>
            <w:vAlign w:val="center"/>
          </w:tcPr>
          <w:p w14:paraId="11AFD313" w14:textId="77777777" w:rsidR="00FC5A62" w:rsidRDefault="00C76273">
            <w:pPr>
              <w:widowControl/>
              <w:jc w:val="right"/>
              <w:rPr>
                <w:color w:val="000000"/>
                <w:kern w:val="0"/>
                <w:szCs w:val="21"/>
              </w:rPr>
            </w:pPr>
            <w:r>
              <w:rPr>
                <w:color w:val="000000"/>
                <w:kern w:val="0"/>
                <w:szCs w:val="21"/>
              </w:rPr>
              <w:t>3.4</w:t>
            </w:r>
          </w:p>
        </w:tc>
        <w:tc>
          <w:tcPr>
            <w:tcW w:w="2109" w:type="pct"/>
            <w:shd w:val="clear" w:color="auto" w:fill="auto"/>
            <w:noWrap/>
            <w:vAlign w:val="center"/>
          </w:tcPr>
          <w:p w14:paraId="21413494" w14:textId="77777777" w:rsidR="00FC5A62" w:rsidRDefault="00C76273">
            <w:pPr>
              <w:widowControl/>
              <w:jc w:val="center"/>
              <w:rPr>
                <w:color w:val="000000"/>
                <w:kern w:val="0"/>
                <w:szCs w:val="21"/>
              </w:rPr>
            </w:pPr>
            <w:r>
              <w:rPr>
                <w:color w:val="000000"/>
                <w:kern w:val="0"/>
                <w:szCs w:val="21"/>
              </w:rPr>
              <w:t>泰国</w:t>
            </w:r>
          </w:p>
        </w:tc>
      </w:tr>
      <w:tr w:rsidR="00FC5A62" w14:paraId="13A0DF31" w14:textId="77777777">
        <w:trPr>
          <w:trHeight w:val="280"/>
          <w:jc w:val="center"/>
        </w:trPr>
        <w:tc>
          <w:tcPr>
            <w:tcW w:w="788" w:type="pct"/>
            <w:shd w:val="clear" w:color="auto" w:fill="auto"/>
            <w:noWrap/>
            <w:vAlign w:val="center"/>
          </w:tcPr>
          <w:p w14:paraId="33BA1F49" w14:textId="77777777" w:rsidR="00FC5A62" w:rsidRDefault="00C76273">
            <w:pPr>
              <w:widowControl/>
              <w:jc w:val="center"/>
              <w:rPr>
                <w:color w:val="000000"/>
                <w:kern w:val="0"/>
                <w:szCs w:val="21"/>
              </w:rPr>
            </w:pPr>
            <w:r>
              <w:rPr>
                <w:color w:val="000000"/>
                <w:kern w:val="0"/>
                <w:szCs w:val="21"/>
              </w:rPr>
              <w:t>7</w:t>
            </w:r>
          </w:p>
        </w:tc>
        <w:tc>
          <w:tcPr>
            <w:tcW w:w="1316" w:type="pct"/>
            <w:shd w:val="clear" w:color="auto" w:fill="auto"/>
            <w:noWrap/>
            <w:vAlign w:val="center"/>
          </w:tcPr>
          <w:p w14:paraId="064F07BE" w14:textId="77777777" w:rsidR="00FC5A62" w:rsidRDefault="00C76273">
            <w:pPr>
              <w:widowControl/>
              <w:jc w:val="left"/>
              <w:rPr>
                <w:color w:val="000000"/>
                <w:kern w:val="0"/>
                <w:szCs w:val="21"/>
              </w:rPr>
            </w:pPr>
            <w:r>
              <w:rPr>
                <w:color w:val="000000"/>
                <w:kern w:val="0"/>
                <w:szCs w:val="21"/>
              </w:rPr>
              <w:t>东方日升</w:t>
            </w:r>
          </w:p>
        </w:tc>
        <w:tc>
          <w:tcPr>
            <w:tcW w:w="788" w:type="pct"/>
            <w:shd w:val="clear" w:color="auto" w:fill="auto"/>
            <w:noWrap/>
            <w:vAlign w:val="center"/>
          </w:tcPr>
          <w:p w14:paraId="20E8BDCC" w14:textId="77777777" w:rsidR="00FC5A62" w:rsidRDefault="00C76273">
            <w:pPr>
              <w:widowControl/>
              <w:jc w:val="right"/>
              <w:rPr>
                <w:color w:val="000000"/>
                <w:kern w:val="0"/>
                <w:szCs w:val="21"/>
              </w:rPr>
            </w:pPr>
            <w:r>
              <w:rPr>
                <w:color w:val="000000"/>
                <w:kern w:val="0"/>
                <w:szCs w:val="21"/>
              </w:rPr>
              <w:t>3</w:t>
            </w:r>
          </w:p>
        </w:tc>
        <w:tc>
          <w:tcPr>
            <w:tcW w:w="2109" w:type="pct"/>
            <w:shd w:val="clear" w:color="auto" w:fill="auto"/>
            <w:noWrap/>
            <w:vAlign w:val="center"/>
          </w:tcPr>
          <w:p w14:paraId="1BC5F050" w14:textId="77777777" w:rsidR="00FC5A62" w:rsidRDefault="00C76273">
            <w:pPr>
              <w:widowControl/>
              <w:jc w:val="center"/>
              <w:rPr>
                <w:color w:val="000000"/>
                <w:kern w:val="0"/>
                <w:szCs w:val="21"/>
              </w:rPr>
            </w:pPr>
            <w:r>
              <w:rPr>
                <w:color w:val="000000"/>
                <w:kern w:val="0"/>
                <w:szCs w:val="21"/>
              </w:rPr>
              <w:t>马来西亚</w:t>
            </w:r>
          </w:p>
        </w:tc>
      </w:tr>
      <w:tr w:rsidR="00FC5A62" w14:paraId="3ED23830" w14:textId="77777777">
        <w:trPr>
          <w:trHeight w:val="280"/>
          <w:jc w:val="center"/>
        </w:trPr>
        <w:tc>
          <w:tcPr>
            <w:tcW w:w="788" w:type="pct"/>
            <w:shd w:val="clear" w:color="auto" w:fill="auto"/>
            <w:noWrap/>
            <w:vAlign w:val="center"/>
          </w:tcPr>
          <w:p w14:paraId="1D9F2223" w14:textId="77777777" w:rsidR="00FC5A62" w:rsidRDefault="00C76273">
            <w:pPr>
              <w:widowControl/>
              <w:jc w:val="center"/>
              <w:rPr>
                <w:color w:val="000000"/>
                <w:kern w:val="0"/>
                <w:szCs w:val="21"/>
              </w:rPr>
            </w:pPr>
            <w:r>
              <w:rPr>
                <w:color w:val="000000"/>
                <w:kern w:val="0"/>
                <w:szCs w:val="21"/>
              </w:rPr>
              <w:t>8</w:t>
            </w:r>
          </w:p>
        </w:tc>
        <w:tc>
          <w:tcPr>
            <w:tcW w:w="1316" w:type="pct"/>
            <w:shd w:val="clear" w:color="auto" w:fill="auto"/>
            <w:noWrap/>
            <w:vAlign w:val="center"/>
          </w:tcPr>
          <w:p w14:paraId="7CED4931" w14:textId="77777777" w:rsidR="00FC5A62" w:rsidRDefault="00C76273">
            <w:pPr>
              <w:widowControl/>
              <w:jc w:val="left"/>
              <w:rPr>
                <w:color w:val="000000"/>
                <w:kern w:val="0"/>
                <w:szCs w:val="21"/>
              </w:rPr>
            </w:pPr>
            <w:r>
              <w:rPr>
                <w:color w:val="000000"/>
                <w:kern w:val="0"/>
                <w:szCs w:val="21"/>
              </w:rPr>
              <w:t>韩华</w:t>
            </w:r>
          </w:p>
        </w:tc>
        <w:tc>
          <w:tcPr>
            <w:tcW w:w="788" w:type="pct"/>
            <w:shd w:val="clear" w:color="auto" w:fill="auto"/>
            <w:noWrap/>
            <w:vAlign w:val="center"/>
          </w:tcPr>
          <w:p w14:paraId="361DCAA6" w14:textId="77777777" w:rsidR="00FC5A62" w:rsidRDefault="00C76273">
            <w:pPr>
              <w:widowControl/>
              <w:jc w:val="right"/>
              <w:rPr>
                <w:color w:val="000000"/>
                <w:kern w:val="0"/>
                <w:szCs w:val="21"/>
              </w:rPr>
            </w:pPr>
            <w:r>
              <w:rPr>
                <w:color w:val="000000"/>
                <w:kern w:val="0"/>
                <w:szCs w:val="21"/>
              </w:rPr>
              <w:t>2.5</w:t>
            </w:r>
          </w:p>
        </w:tc>
        <w:tc>
          <w:tcPr>
            <w:tcW w:w="2109" w:type="pct"/>
            <w:shd w:val="clear" w:color="auto" w:fill="auto"/>
            <w:noWrap/>
            <w:vAlign w:val="center"/>
          </w:tcPr>
          <w:p w14:paraId="2FF400DF" w14:textId="77777777" w:rsidR="00FC5A62" w:rsidRDefault="00C76273">
            <w:pPr>
              <w:widowControl/>
              <w:jc w:val="center"/>
              <w:rPr>
                <w:color w:val="000000"/>
                <w:kern w:val="0"/>
                <w:szCs w:val="21"/>
              </w:rPr>
            </w:pPr>
            <w:r>
              <w:rPr>
                <w:color w:val="000000"/>
                <w:kern w:val="0"/>
                <w:szCs w:val="21"/>
              </w:rPr>
              <w:t>马来西亚</w:t>
            </w:r>
          </w:p>
        </w:tc>
      </w:tr>
      <w:tr w:rsidR="00FC5A62" w14:paraId="4B3F9FA3" w14:textId="77777777">
        <w:trPr>
          <w:trHeight w:val="280"/>
          <w:jc w:val="center"/>
        </w:trPr>
        <w:tc>
          <w:tcPr>
            <w:tcW w:w="788" w:type="pct"/>
            <w:shd w:val="clear" w:color="auto" w:fill="auto"/>
            <w:noWrap/>
            <w:vAlign w:val="center"/>
          </w:tcPr>
          <w:p w14:paraId="21C266BA" w14:textId="77777777" w:rsidR="00FC5A62" w:rsidRPr="008A1A3A" w:rsidRDefault="00C76273">
            <w:pPr>
              <w:widowControl/>
              <w:jc w:val="center"/>
              <w:rPr>
                <w:b/>
                <w:bCs/>
                <w:i/>
                <w:iCs/>
                <w:color w:val="000000"/>
                <w:kern w:val="0"/>
                <w:szCs w:val="21"/>
              </w:rPr>
            </w:pPr>
            <w:r w:rsidRPr="008A1A3A">
              <w:rPr>
                <w:b/>
                <w:bCs/>
                <w:i/>
                <w:iCs/>
                <w:color w:val="000000"/>
                <w:kern w:val="0"/>
                <w:szCs w:val="21"/>
              </w:rPr>
              <w:t>9</w:t>
            </w:r>
          </w:p>
        </w:tc>
        <w:tc>
          <w:tcPr>
            <w:tcW w:w="1316" w:type="pct"/>
            <w:shd w:val="clear" w:color="auto" w:fill="auto"/>
            <w:noWrap/>
            <w:vAlign w:val="center"/>
          </w:tcPr>
          <w:p w14:paraId="39EBA684" w14:textId="77777777" w:rsidR="00FC5A62" w:rsidRPr="008A1A3A" w:rsidRDefault="00C76273">
            <w:pPr>
              <w:widowControl/>
              <w:jc w:val="left"/>
              <w:rPr>
                <w:b/>
                <w:bCs/>
                <w:i/>
                <w:iCs/>
                <w:color w:val="000000"/>
                <w:kern w:val="0"/>
                <w:szCs w:val="21"/>
              </w:rPr>
            </w:pPr>
            <w:r w:rsidRPr="008A1A3A">
              <w:rPr>
                <w:b/>
                <w:bCs/>
                <w:i/>
                <w:iCs/>
                <w:color w:val="000000"/>
                <w:kern w:val="0"/>
                <w:szCs w:val="21"/>
              </w:rPr>
              <w:t>ET Solar</w:t>
            </w:r>
          </w:p>
        </w:tc>
        <w:tc>
          <w:tcPr>
            <w:tcW w:w="788" w:type="pct"/>
            <w:shd w:val="clear" w:color="auto" w:fill="auto"/>
            <w:noWrap/>
            <w:vAlign w:val="center"/>
          </w:tcPr>
          <w:p w14:paraId="205FF198" w14:textId="77777777" w:rsidR="00FC5A62" w:rsidRPr="008A1A3A" w:rsidRDefault="00C76273">
            <w:pPr>
              <w:widowControl/>
              <w:jc w:val="right"/>
              <w:rPr>
                <w:b/>
                <w:bCs/>
                <w:i/>
                <w:iCs/>
                <w:color w:val="000000"/>
                <w:kern w:val="0"/>
                <w:szCs w:val="21"/>
              </w:rPr>
            </w:pPr>
            <w:r w:rsidRPr="008A1A3A">
              <w:rPr>
                <w:b/>
                <w:bCs/>
                <w:i/>
                <w:iCs/>
                <w:color w:val="000000"/>
                <w:kern w:val="0"/>
                <w:szCs w:val="21"/>
              </w:rPr>
              <w:t>1.6</w:t>
            </w:r>
          </w:p>
        </w:tc>
        <w:tc>
          <w:tcPr>
            <w:tcW w:w="2109" w:type="pct"/>
            <w:shd w:val="clear" w:color="auto" w:fill="auto"/>
            <w:noWrap/>
            <w:vAlign w:val="center"/>
          </w:tcPr>
          <w:p w14:paraId="1BC40D51" w14:textId="77777777" w:rsidR="00FC5A62" w:rsidRPr="008A1A3A" w:rsidRDefault="00C76273">
            <w:pPr>
              <w:widowControl/>
              <w:jc w:val="center"/>
              <w:rPr>
                <w:b/>
                <w:bCs/>
                <w:i/>
                <w:iCs/>
                <w:color w:val="000000"/>
                <w:kern w:val="0"/>
                <w:szCs w:val="21"/>
              </w:rPr>
            </w:pPr>
            <w:r w:rsidRPr="008A1A3A">
              <w:rPr>
                <w:rFonts w:hint="eastAsia"/>
                <w:b/>
                <w:bCs/>
                <w:i/>
                <w:iCs/>
                <w:color w:val="000000"/>
                <w:kern w:val="0"/>
                <w:szCs w:val="21"/>
              </w:rPr>
              <w:t>越南、柬埔寨</w:t>
            </w:r>
          </w:p>
        </w:tc>
      </w:tr>
      <w:tr w:rsidR="00FC5A62" w14:paraId="0EC6B437" w14:textId="77777777">
        <w:trPr>
          <w:trHeight w:val="280"/>
          <w:jc w:val="center"/>
        </w:trPr>
        <w:tc>
          <w:tcPr>
            <w:tcW w:w="788" w:type="pct"/>
            <w:shd w:val="clear" w:color="auto" w:fill="auto"/>
            <w:noWrap/>
            <w:vAlign w:val="center"/>
          </w:tcPr>
          <w:p w14:paraId="62DC076E" w14:textId="77777777" w:rsidR="00FC5A62" w:rsidRDefault="00C76273">
            <w:pPr>
              <w:widowControl/>
              <w:jc w:val="center"/>
              <w:rPr>
                <w:color w:val="000000"/>
                <w:kern w:val="0"/>
                <w:szCs w:val="21"/>
              </w:rPr>
            </w:pPr>
            <w:r>
              <w:rPr>
                <w:color w:val="000000"/>
                <w:kern w:val="0"/>
                <w:szCs w:val="21"/>
              </w:rPr>
              <w:t>10</w:t>
            </w:r>
          </w:p>
        </w:tc>
        <w:tc>
          <w:tcPr>
            <w:tcW w:w="1316" w:type="pct"/>
            <w:shd w:val="clear" w:color="auto" w:fill="auto"/>
            <w:noWrap/>
            <w:vAlign w:val="center"/>
          </w:tcPr>
          <w:p w14:paraId="2E15F149" w14:textId="77777777" w:rsidR="00FC5A62" w:rsidRDefault="00C76273">
            <w:pPr>
              <w:widowControl/>
              <w:jc w:val="left"/>
              <w:rPr>
                <w:color w:val="000000"/>
                <w:kern w:val="0"/>
                <w:szCs w:val="21"/>
              </w:rPr>
            </w:pPr>
            <w:r>
              <w:rPr>
                <w:color w:val="000000"/>
                <w:kern w:val="0"/>
                <w:szCs w:val="21"/>
              </w:rPr>
              <w:t>正泰新能源</w:t>
            </w:r>
          </w:p>
        </w:tc>
        <w:tc>
          <w:tcPr>
            <w:tcW w:w="788" w:type="pct"/>
            <w:shd w:val="clear" w:color="auto" w:fill="auto"/>
            <w:noWrap/>
            <w:vAlign w:val="center"/>
          </w:tcPr>
          <w:p w14:paraId="1AD64DB2" w14:textId="77777777" w:rsidR="00FC5A62" w:rsidRDefault="00C76273">
            <w:pPr>
              <w:widowControl/>
              <w:jc w:val="right"/>
              <w:rPr>
                <w:color w:val="000000"/>
                <w:kern w:val="0"/>
                <w:szCs w:val="21"/>
              </w:rPr>
            </w:pPr>
            <w:r>
              <w:rPr>
                <w:color w:val="000000"/>
                <w:kern w:val="0"/>
                <w:szCs w:val="21"/>
              </w:rPr>
              <w:t>1.5</w:t>
            </w:r>
          </w:p>
        </w:tc>
        <w:tc>
          <w:tcPr>
            <w:tcW w:w="2109" w:type="pct"/>
            <w:shd w:val="clear" w:color="auto" w:fill="auto"/>
            <w:noWrap/>
            <w:vAlign w:val="center"/>
          </w:tcPr>
          <w:p w14:paraId="2A6F66C7" w14:textId="77777777" w:rsidR="00FC5A62" w:rsidRDefault="00C76273">
            <w:pPr>
              <w:widowControl/>
              <w:jc w:val="center"/>
              <w:rPr>
                <w:color w:val="000000"/>
                <w:kern w:val="0"/>
                <w:szCs w:val="21"/>
              </w:rPr>
            </w:pPr>
            <w:r>
              <w:rPr>
                <w:color w:val="000000"/>
                <w:kern w:val="0"/>
                <w:szCs w:val="21"/>
              </w:rPr>
              <w:t>泰国</w:t>
            </w:r>
          </w:p>
        </w:tc>
      </w:tr>
    </w:tbl>
    <w:p w14:paraId="77FC663D" w14:textId="77777777" w:rsidR="00FC5A62" w:rsidRDefault="00C76273">
      <w:r>
        <w:rPr>
          <w:rFonts w:hint="eastAsia"/>
        </w:rPr>
        <w:t>数据来源：</w:t>
      </w:r>
      <w:proofErr w:type="spellStart"/>
      <w:r>
        <w:rPr>
          <w:rFonts w:hint="eastAsia"/>
        </w:rPr>
        <w:t>InfoLink</w:t>
      </w:r>
      <w:proofErr w:type="spellEnd"/>
    </w:p>
    <w:p w14:paraId="28EB1E35" w14:textId="77777777" w:rsidR="00FC5A62" w:rsidRDefault="00C76273" w:rsidP="00876CCC">
      <w:pPr>
        <w:spacing w:beforeLines="50" w:before="156" w:afterLines="50" w:after="156" w:line="360" w:lineRule="auto"/>
        <w:ind w:firstLineChars="200" w:firstLine="480"/>
        <w:rPr>
          <w:color w:val="000000"/>
          <w:sz w:val="24"/>
        </w:rPr>
      </w:pPr>
      <w:r>
        <w:rPr>
          <w:rFonts w:hint="eastAsia"/>
          <w:color w:val="000000"/>
          <w:sz w:val="24"/>
        </w:rPr>
        <w:t>根据公开数据披露，标的公司电池产能在东南亚地区位列前十。</w:t>
      </w:r>
    </w:p>
    <w:p w14:paraId="5EF2AE65" w14:textId="77777777" w:rsidR="00FC5A62" w:rsidRDefault="00C76273" w:rsidP="00876CCC">
      <w:pPr>
        <w:spacing w:beforeLines="50" w:before="156" w:afterLines="50" w:after="156" w:line="360" w:lineRule="auto"/>
        <w:ind w:firstLineChars="200" w:firstLine="482"/>
        <w:outlineLvl w:val="4"/>
        <w:rPr>
          <w:b/>
          <w:bCs/>
          <w:color w:val="000000"/>
          <w:sz w:val="24"/>
        </w:rPr>
      </w:pPr>
      <w:r>
        <w:rPr>
          <w:rFonts w:hint="eastAsia"/>
          <w:b/>
          <w:bCs/>
          <w:color w:val="000000"/>
          <w:sz w:val="24"/>
        </w:rPr>
        <w:t>2</w:t>
      </w:r>
      <w:r>
        <w:rPr>
          <w:rFonts w:hint="eastAsia"/>
          <w:b/>
          <w:bCs/>
          <w:color w:val="000000"/>
          <w:sz w:val="24"/>
        </w:rPr>
        <w:t>、标的公司的销售排名</w:t>
      </w:r>
    </w:p>
    <w:p w14:paraId="1F193C0C" w14:textId="3E3D0F7C" w:rsidR="00FC5A62" w:rsidRDefault="00C76273" w:rsidP="00876CCC">
      <w:pPr>
        <w:spacing w:beforeLines="50" w:before="156" w:afterLines="50" w:after="156" w:line="360" w:lineRule="auto"/>
        <w:ind w:firstLineChars="200" w:firstLine="480"/>
        <w:rPr>
          <w:color w:val="000000"/>
          <w:sz w:val="24"/>
        </w:rPr>
      </w:pPr>
      <w:r>
        <w:rPr>
          <w:rFonts w:hint="eastAsia"/>
          <w:color w:val="000000"/>
          <w:sz w:val="24"/>
        </w:rPr>
        <w:t>2022</w:t>
      </w:r>
      <w:r>
        <w:rPr>
          <w:rFonts w:hint="eastAsia"/>
          <w:color w:val="000000"/>
          <w:sz w:val="24"/>
        </w:rPr>
        <w:t>年度，标的公司在美国市场的组件出货量约为</w:t>
      </w:r>
      <w:r>
        <w:rPr>
          <w:rFonts w:hint="eastAsia"/>
          <w:color w:val="000000"/>
          <w:sz w:val="24"/>
        </w:rPr>
        <w:t>8</w:t>
      </w:r>
      <w:r>
        <w:rPr>
          <w:color w:val="000000"/>
          <w:sz w:val="24"/>
        </w:rPr>
        <w:t>15MW</w:t>
      </w:r>
      <w:r>
        <w:rPr>
          <w:rFonts w:hint="eastAsia"/>
          <w:color w:val="000000"/>
          <w:sz w:val="24"/>
        </w:rPr>
        <w:t>，当年美国光伏</w:t>
      </w:r>
      <w:r>
        <w:rPr>
          <w:rFonts w:hint="eastAsia"/>
          <w:color w:val="000000"/>
          <w:sz w:val="24"/>
        </w:rPr>
        <w:lastRenderedPageBreak/>
        <w:t>新增装机容量为</w:t>
      </w:r>
      <w:r>
        <w:rPr>
          <w:rFonts w:hint="eastAsia"/>
          <w:color w:val="000000"/>
          <w:sz w:val="24"/>
        </w:rPr>
        <w:t>20.2GW</w:t>
      </w:r>
      <w:r>
        <w:rPr>
          <w:rFonts w:hint="eastAsia"/>
          <w:color w:val="000000"/>
          <w:sz w:val="24"/>
        </w:rPr>
        <w:t>，标的公司在美国的市场占有率约为</w:t>
      </w:r>
      <w:r>
        <w:rPr>
          <w:rFonts w:hint="eastAsia"/>
          <w:color w:val="000000"/>
          <w:sz w:val="24"/>
        </w:rPr>
        <w:t>4</w:t>
      </w:r>
      <w:r>
        <w:rPr>
          <w:color w:val="000000"/>
          <w:sz w:val="24"/>
        </w:rPr>
        <w:t>%</w:t>
      </w:r>
      <w:r>
        <w:rPr>
          <w:rFonts w:hint="eastAsia"/>
          <w:color w:val="000000"/>
          <w:sz w:val="24"/>
        </w:rPr>
        <w:t>。</w:t>
      </w:r>
    </w:p>
    <w:p w14:paraId="4A194202" w14:textId="77777777" w:rsidR="00FC5A62" w:rsidRDefault="00C76273" w:rsidP="00876CCC">
      <w:pPr>
        <w:spacing w:beforeLines="50" w:before="156" w:afterLines="50" w:after="156" w:line="360" w:lineRule="auto"/>
        <w:ind w:firstLineChars="200" w:firstLine="482"/>
        <w:outlineLvl w:val="4"/>
        <w:rPr>
          <w:b/>
          <w:bCs/>
          <w:color w:val="000000"/>
          <w:sz w:val="24"/>
        </w:rPr>
      </w:pPr>
      <w:r>
        <w:rPr>
          <w:rFonts w:hint="eastAsia"/>
          <w:b/>
          <w:bCs/>
          <w:color w:val="000000"/>
          <w:sz w:val="24"/>
        </w:rPr>
        <w:t>3</w:t>
      </w:r>
      <w:r>
        <w:rPr>
          <w:rFonts w:hint="eastAsia"/>
          <w:b/>
          <w:bCs/>
          <w:color w:val="000000"/>
          <w:sz w:val="24"/>
        </w:rPr>
        <w:t>、标的公司的品牌排名</w:t>
      </w:r>
    </w:p>
    <w:p w14:paraId="17B84B1B" w14:textId="77777777" w:rsidR="00B023DA" w:rsidRDefault="00C76273" w:rsidP="006860E4">
      <w:pPr>
        <w:spacing w:beforeLines="50" w:before="156" w:afterLines="50" w:after="156" w:line="360" w:lineRule="auto"/>
        <w:ind w:firstLineChars="200" w:firstLine="480"/>
        <w:rPr>
          <w:color w:val="000000"/>
          <w:sz w:val="24"/>
        </w:rPr>
      </w:pPr>
      <w:r>
        <w:rPr>
          <w:rFonts w:hint="eastAsia"/>
          <w:color w:val="000000"/>
          <w:sz w:val="24"/>
        </w:rPr>
        <w:t>自</w:t>
      </w:r>
      <w:r>
        <w:rPr>
          <w:rFonts w:hint="eastAsia"/>
          <w:color w:val="000000"/>
          <w:sz w:val="24"/>
        </w:rPr>
        <w:t>2012</w:t>
      </w:r>
      <w:r>
        <w:rPr>
          <w:rFonts w:hint="eastAsia"/>
          <w:color w:val="000000"/>
          <w:sz w:val="24"/>
        </w:rPr>
        <w:t>年起，标的公司旗</w:t>
      </w:r>
      <w:proofErr w:type="gramStart"/>
      <w:r>
        <w:rPr>
          <w:rFonts w:hint="eastAsia"/>
          <w:color w:val="000000"/>
          <w:sz w:val="24"/>
        </w:rPr>
        <w:t>下品牌</w:t>
      </w:r>
      <w:proofErr w:type="gramEnd"/>
      <w:r>
        <w:rPr>
          <w:rFonts w:hint="eastAsia"/>
          <w:color w:val="000000"/>
          <w:sz w:val="24"/>
        </w:rPr>
        <w:t>ET Solar/</w:t>
      </w:r>
      <w:r>
        <w:rPr>
          <w:color w:val="000000"/>
          <w:sz w:val="24"/>
        </w:rPr>
        <w:t xml:space="preserve"> </w:t>
      </w:r>
      <w:proofErr w:type="spellStart"/>
      <w:r>
        <w:rPr>
          <w:rFonts w:hint="eastAsia"/>
          <w:color w:val="000000"/>
          <w:sz w:val="24"/>
        </w:rPr>
        <w:t>EliTe</w:t>
      </w:r>
      <w:proofErr w:type="spellEnd"/>
      <w:r>
        <w:rPr>
          <w:rFonts w:hint="eastAsia"/>
          <w:color w:val="000000"/>
          <w:sz w:val="24"/>
        </w:rPr>
        <w:t xml:space="preserve"> Solar</w:t>
      </w:r>
      <w:r>
        <w:rPr>
          <w:rFonts w:hint="eastAsia"/>
          <w:color w:val="000000"/>
          <w:sz w:val="24"/>
        </w:rPr>
        <w:t>连续十二年位列彭博新能源财经“全球一线组件制造商</w:t>
      </w:r>
      <w:r>
        <w:rPr>
          <w:rFonts w:hint="eastAsia"/>
          <w:color w:val="000000"/>
          <w:sz w:val="24"/>
        </w:rPr>
        <w:t>(BNEF Tier 1)</w:t>
      </w:r>
      <w:r>
        <w:rPr>
          <w:rFonts w:hint="eastAsia"/>
          <w:color w:val="000000"/>
          <w:sz w:val="24"/>
        </w:rPr>
        <w:t>”；</w:t>
      </w:r>
      <w:r>
        <w:rPr>
          <w:rFonts w:hint="eastAsia"/>
          <w:color w:val="000000"/>
          <w:sz w:val="24"/>
        </w:rPr>
        <w:t>2021-2023</w:t>
      </w:r>
      <w:r>
        <w:rPr>
          <w:rFonts w:hint="eastAsia"/>
          <w:color w:val="000000"/>
          <w:sz w:val="24"/>
        </w:rPr>
        <w:t>年，其核心产品连续三年荣获全球权威独立光伏组件性能测试实验室</w:t>
      </w:r>
      <w:r>
        <w:rPr>
          <w:rFonts w:hint="eastAsia"/>
          <w:color w:val="000000"/>
          <w:sz w:val="24"/>
        </w:rPr>
        <w:t>PVEL</w:t>
      </w:r>
      <w:r>
        <w:rPr>
          <w:rFonts w:hint="eastAsia"/>
          <w:color w:val="000000"/>
          <w:sz w:val="24"/>
        </w:rPr>
        <w:t>认证的“全球最佳表现”组件制造商；</w:t>
      </w:r>
      <w:r>
        <w:rPr>
          <w:rFonts w:hint="eastAsia"/>
          <w:color w:val="000000"/>
          <w:sz w:val="24"/>
        </w:rPr>
        <w:t>2022</w:t>
      </w:r>
      <w:r>
        <w:rPr>
          <w:rFonts w:hint="eastAsia"/>
          <w:color w:val="000000"/>
          <w:sz w:val="24"/>
        </w:rPr>
        <w:t>年荣获全球权威调研机构</w:t>
      </w:r>
      <w:r>
        <w:rPr>
          <w:rFonts w:hint="eastAsia"/>
          <w:color w:val="000000"/>
          <w:sz w:val="24"/>
        </w:rPr>
        <w:t>EUPD Research</w:t>
      </w:r>
      <w:r>
        <w:rPr>
          <w:rFonts w:hint="eastAsia"/>
          <w:color w:val="000000"/>
          <w:sz w:val="24"/>
        </w:rPr>
        <w:t>认证的“美国地区顶级光伏品牌”。同时，标的公司在</w:t>
      </w:r>
      <w:r>
        <w:rPr>
          <w:rFonts w:hint="eastAsia"/>
          <w:color w:val="000000"/>
          <w:sz w:val="24"/>
        </w:rPr>
        <w:t>2022</w:t>
      </w:r>
      <w:r>
        <w:rPr>
          <w:rFonts w:hint="eastAsia"/>
          <w:color w:val="000000"/>
          <w:sz w:val="24"/>
        </w:rPr>
        <w:t>年全球组件企业可融资性排名中，从</w:t>
      </w:r>
      <w:r>
        <w:rPr>
          <w:rFonts w:hint="eastAsia"/>
          <w:color w:val="000000"/>
          <w:sz w:val="24"/>
        </w:rPr>
        <w:t>36</w:t>
      </w:r>
      <w:r>
        <w:rPr>
          <w:rFonts w:hint="eastAsia"/>
          <w:color w:val="000000"/>
          <w:sz w:val="24"/>
        </w:rPr>
        <w:t>名跃升至</w:t>
      </w:r>
      <w:r>
        <w:rPr>
          <w:rFonts w:hint="eastAsia"/>
          <w:color w:val="000000"/>
          <w:sz w:val="24"/>
        </w:rPr>
        <w:t>17</w:t>
      </w:r>
      <w:r>
        <w:rPr>
          <w:rFonts w:hint="eastAsia"/>
          <w:color w:val="000000"/>
          <w:sz w:val="24"/>
        </w:rPr>
        <w:t>名。</w:t>
      </w:r>
    </w:p>
    <w:p w14:paraId="5402F458" w14:textId="11B63FBF" w:rsidR="00FC5A62" w:rsidRDefault="00C76273" w:rsidP="006860E4">
      <w:pPr>
        <w:spacing w:beforeLines="50" w:before="156" w:afterLines="50" w:after="156" w:line="360" w:lineRule="auto"/>
        <w:ind w:firstLineChars="200" w:firstLine="482"/>
        <w:rPr>
          <w:b/>
          <w:bCs/>
          <w:color w:val="000000"/>
          <w:sz w:val="24"/>
        </w:rPr>
      </w:pPr>
      <w:r>
        <w:rPr>
          <w:rFonts w:hint="eastAsia"/>
          <w:b/>
          <w:bCs/>
          <w:color w:val="000000"/>
          <w:sz w:val="24"/>
        </w:rPr>
        <w:t>（四）近期行业波动情况</w:t>
      </w:r>
    </w:p>
    <w:p w14:paraId="0535644B" w14:textId="0003ED49" w:rsidR="00FC5A62" w:rsidRDefault="00C76273" w:rsidP="005D37EA">
      <w:pPr>
        <w:spacing w:beforeLines="50" w:before="156" w:afterLines="50" w:after="156" w:line="360" w:lineRule="auto"/>
        <w:ind w:firstLineChars="200" w:firstLine="480"/>
        <w:rPr>
          <w:color w:val="000000"/>
          <w:sz w:val="24"/>
        </w:rPr>
      </w:pPr>
      <w:r>
        <w:rPr>
          <w:rFonts w:hint="eastAsia"/>
          <w:color w:val="000000"/>
          <w:sz w:val="24"/>
        </w:rPr>
        <w:t>2021</w:t>
      </w:r>
      <w:r>
        <w:rPr>
          <w:rFonts w:hint="eastAsia"/>
          <w:color w:val="000000"/>
          <w:sz w:val="24"/>
        </w:rPr>
        <w:t>年至</w:t>
      </w:r>
      <w:r>
        <w:rPr>
          <w:rFonts w:hint="eastAsia"/>
          <w:color w:val="000000"/>
          <w:sz w:val="24"/>
        </w:rPr>
        <w:t>2022</w:t>
      </w:r>
      <w:r>
        <w:rPr>
          <w:rFonts w:hint="eastAsia"/>
          <w:color w:val="000000"/>
          <w:sz w:val="24"/>
        </w:rPr>
        <w:t>年，光</w:t>
      </w:r>
      <w:proofErr w:type="gramStart"/>
      <w:r>
        <w:rPr>
          <w:rFonts w:hint="eastAsia"/>
          <w:color w:val="000000"/>
          <w:sz w:val="24"/>
        </w:rPr>
        <w:t>伏行业</w:t>
      </w:r>
      <w:proofErr w:type="gramEnd"/>
      <w:r>
        <w:rPr>
          <w:rFonts w:hint="eastAsia"/>
          <w:color w:val="000000"/>
          <w:sz w:val="24"/>
        </w:rPr>
        <w:t>受到上游多晶硅产能供不应求的影响，多晶</w:t>
      </w:r>
      <w:proofErr w:type="gramStart"/>
      <w:r>
        <w:rPr>
          <w:rFonts w:hint="eastAsia"/>
          <w:color w:val="000000"/>
          <w:sz w:val="24"/>
        </w:rPr>
        <w:t>硅价格</w:t>
      </w:r>
      <w:proofErr w:type="gramEnd"/>
      <w:r>
        <w:rPr>
          <w:rFonts w:hint="eastAsia"/>
          <w:color w:val="000000"/>
          <w:sz w:val="24"/>
        </w:rPr>
        <w:t>整体呈现大幅上升趋势，组件价格也随之受到较大影响，进而影响了</w:t>
      </w:r>
      <w:r>
        <w:rPr>
          <w:rFonts w:hint="eastAsia"/>
          <w:color w:val="000000"/>
          <w:sz w:val="24"/>
        </w:rPr>
        <w:t>2021</w:t>
      </w:r>
      <w:r>
        <w:rPr>
          <w:rFonts w:hint="eastAsia"/>
          <w:color w:val="000000"/>
          <w:sz w:val="24"/>
        </w:rPr>
        <w:t>年和</w:t>
      </w:r>
      <w:r>
        <w:rPr>
          <w:rFonts w:hint="eastAsia"/>
          <w:color w:val="000000"/>
          <w:sz w:val="24"/>
        </w:rPr>
        <w:t>2022</w:t>
      </w:r>
      <w:r>
        <w:rPr>
          <w:rFonts w:hint="eastAsia"/>
          <w:color w:val="000000"/>
          <w:sz w:val="24"/>
        </w:rPr>
        <w:t>年光伏电站的装机节奏和光</w:t>
      </w:r>
      <w:proofErr w:type="gramStart"/>
      <w:r>
        <w:rPr>
          <w:rFonts w:hint="eastAsia"/>
          <w:color w:val="000000"/>
          <w:sz w:val="24"/>
        </w:rPr>
        <w:t>伏行业</w:t>
      </w:r>
      <w:proofErr w:type="gramEnd"/>
      <w:r>
        <w:rPr>
          <w:rFonts w:hint="eastAsia"/>
          <w:color w:val="000000"/>
          <w:sz w:val="24"/>
        </w:rPr>
        <w:t>的毛利率分布。</w:t>
      </w:r>
    </w:p>
    <w:p w14:paraId="6C553C8D" w14:textId="77777777" w:rsidR="00FC5A62" w:rsidRPr="005D37EA" w:rsidRDefault="00C76273">
      <w:pPr>
        <w:spacing w:line="500" w:lineRule="exact"/>
        <w:jc w:val="center"/>
        <w:rPr>
          <w:color w:val="000000"/>
          <w:szCs w:val="21"/>
        </w:rPr>
      </w:pPr>
      <w:r w:rsidRPr="005D37EA">
        <w:rPr>
          <w:noProof/>
          <w:color w:val="000000"/>
          <w:szCs w:val="21"/>
        </w:rPr>
        <w:drawing>
          <wp:anchor distT="0" distB="0" distL="114300" distR="114300" simplePos="0" relativeHeight="251660288" behindDoc="0" locked="0" layoutInCell="1" allowOverlap="1" wp14:anchorId="0CFD6537" wp14:editId="7020AC1F">
            <wp:simplePos x="0" y="0"/>
            <wp:positionH relativeFrom="column">
              <wp:align>center</wp:align>
            </wp:positionH>
            <wp:positionV relativeFrom="paragraph">
              <wp:posOffset>490220</wp:posOffset>
            </wp:positionV>
            <wp:extent cx="5400040" cy="3243580"/>
            <wp:effectExtent l="0" t="0" r="0" b="0"/>
            <wp:wrapSquare wrapText="bothSides"/>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0"/>
                    <a:stretch>
                      <a:fillRect/>
                    </a:stretch>
                  </pic:blipFill>
                  <pic:spPr>
                    <a:xfrm>
                      <a:off x="0" y="0"/>
                      <a:ext cx="5400000" cy="3243600"/>
                    </a:xfrm>
                    <a:prstGeom prst="rect">
                      <a:avLst/>
                    </a:prstGeom>
                  </pic:spPr>
                </pic:pic>
              </a:graphicData>
            </a:graphic>
          </wp:anchor>
        </w:drawing>
      </w:r>
      <w:r w:rsidRPr="005D37EA">
        <w:rPr>
          <w:rFonts w:hint="eastAsia"/>
          <w:color w:val="000000"/>
          <w:szCs w:val="21"/>
        </w:rPr>
        <w:t>图：多晶硅和光伏组件价格走势图</w:t>
      </w:r>
    </w:p>
    <w:p w14:paraId="1D00ECFA" w14:textId="77777777" w:rsidR="00FC5A62" w:rsidRDefault="00C76273">
      <w:r>
        <w:rPr>
          <w:rFonts w:hint="eastAsia"/>
        </w:rPr>
        <w:t>数据来源：</w:t>
      </w:r>
      <w:r>
        <w:t xml:space="preserve">Wind </w:t>
      </w:r>
    </w:p>
    <w:p w14:paraId="7A87D4FB" w14:textId="76F0CE75" w:rsidR="00FC5A62" w:rsidRDefault="00C76273" w:rsidP="00E86A8E">
      <w:pPr>
        <w:spacing w:beforeLines="50" w:before="156" w:afterLines="50" w:after="156" w:line="360" w:lineRule="auto"/>
        <w:ind w:firstLineChars="200" w:firstLine="480"/>
        <w:rPr>
          <w:color w:val="000000"/>
          <w:sz w:val="24"/>
        </w:rPr>
      </w:pPr>
      <w:r>
        <w:rPr>
          <w:rFonts w:hint="eastAsia"/>
          <w:color w:val="000000"/>
          <w:sz w:val="24"/>
        </w:rPr>
        <w:t>随着多晶硅产能的逐步释放，多晶</w:t>
      </w:r>
      <w:proofErr w:type="gramStart"/>
      <w:r>
        <w:rPr>
          <w:rFonts w:hint="eastAsia"/>
          <w:color w:val="000000"/>
          <w:sz w:val="24"/>
        </w:rPr>
        <w:t>硅价格</w:t>
      </w:r>
      <w:proofErr w:type="gramEnd"/>
      <w:r>
        <w:rPr>
          <w:rFonts w:hint="eastAsia"/>
          <w:color w:val="000000"/>
          <w:sz w:val="24"/>
        </w:rPr>
        <w:t>已由</w:t>
      </w:r>
      <w:r>
        <w:rPr>
          <w:rFonts w:hint="eastAsia"/>
          <w:color w:val="000000"/>
          <w:sz w:val="24"/>
        </w:rPr>
        <w:t>2022</w:t>
      </w:r>
      <w:r>
        <w:rPr>
          <w:rFonts w:hint="eastAsia"/>
          <w:color w:val="000000"/>
          <w:sz w:val="24"/>
        </w:rPr>
        <w:t>年最高约</w:t>
      </w:r>
      <w:r>
        <w:rPr>
          <w:color w:val="000000"/>
          <w:sz w:val="24"/>
        </w:rPr>
        <w:t>38.3</w:t>
      </w:r>
      <w:r>
        <w:rPr>
          <w:rFonts w:hint="eastAsia"/>
          <w:color w:val="000000"/>
          <w:sz w:val="24"/>
        </w:rPr>
        <w:t>美元</w:t>
      </w:r>
      <w:r>
        <w:rPr>
          <w:rFonts w:hint="eastAsia"/>
          <w:color w:val="000000"/>
          <w:sz w:val="24"/>
        </w:rPr>
        <w:t>/KG</w:t>
      </w:r>
      <w:r>
        <w:rPr>
          <w:rFonts w:hint="eastAsia"/>
          <w:color w:val="000000"/>
          <w:sz w:val="24"/>
        </w:rPr>
        <w:t>降至约</w:t>
      </w:r>
      <w:r>
        <w:rPr>
          <w:color w:val="000000"/>
          <w:sz w:val="24"/>
        </w:rPr>
        <w:t>9.3</w:t>
      </w:r>
      <w:r>
        <w:rPr>
          <w:rFonts w:hint="eastAsia"/>
          <w:color w:val="000000"/>
          <w:sz w:val="24"/>
        </w:rPr>
        <w:t>美元</w:t>
      </w:r>
      <w:r>
        <w:rPr>
          <w:rFonts w:hint="eastAsia"/>
          <w:color w:val="000000"/>
          <w:sz w:val="24"/>
        </w:rPr>
        <w:t>/KG</w:t>
      </w:r>
      <w:r>
        <w:rPr>
          <w:rFonts w:hint="eastAsia"/>
          <w:color w:val="000000"/>
          <w:sz w:val="24"/>
        </w:rPr>
        <w:t>，组件价格也由最高约</w:t>
      </w:r>
      <w:r>
        <w:rPr>
          <w:rFonts w:hint="eastAsia"/>
          <w:color w:val="000000"/>
          <w:sz w:val="24"/>
        </w:rPr>
        <w:t>0</w:t>
      </w:r>
      <w:r>
        <w:rPr>
          <w:color w:val="000000"/>
          <w:sz w:val="24"/>
        </w:rPr>
        <w:t>.</w:t>
      </w:r>
      <w:r>
        <w:rPr>
          <w:rFonts w:hint="eastAsia"/>
          <w:color w:val="000000"/>
          <w:sz w:val="24"/>
        </w:rPr>
        <w:t>22</w:t>
      </w:r>
      <w:r>
        <w:rPr>
          <w:rFonts w:hint="eastAsia"/>
          <w:color w:val="000000"/>
          <w:sz w:val="24"/>
        </w:rPr>
        <w:t>美元</w:t>
      </w:r>
      <w:r>
        <w:rPr>
          <w:rFonts w:hint="eastAsia"/>
          <w:color w:val="000000"/>
          <w:sz w:val="24"/>
        </w:rPr>
        <w:t>/W</w:t>
      </w:r>
      <w:r>
        <w:rPr>
          <w:rFonts w:hint="eastAsia"/>
          <w:color w:val="000000"/>
          <w:sz w:val="24"/>
        </w:rPr>
        <w:t>降至约</w:t>
      </w:r>
      <w:r>
        <w:rPr>
          <w:rFonts w:hint="eastAsia"/>
          <w:color w:val="000000"/>
          <w:sz w:val="24"/>
        </w:rPr>
        <w:t>0</w:t>
      </w:r>
      <w:r>
        <w:rPr>
          <w:color w:val="000000"/>
          <w:sz w:val="24"/>
        </w:rPr>
        <w:t>.</w:t>
      </w:r>
      <w:r>
        <w:rPr>
          <w:rFonts w:hint="eastAsia"/>
          <w:color w:val="000000"/>
          <w:sz w:val="24"/>
        </w:rPr>
        <w:t>1</w:t>
      </w:r>
      <w:r>
        <w:rPr>
          <w:color w:val="000000"/>
          <w:sz w:val="24"/>
        </w:rPr>
        <w:t>3</w:t>
      </w:r>
      <w:r>
        <w:rPr>
          <w:rFonts w:hint="eastAsia"/>
          <w:color w:val="000000"/>
          <w:sz w:val="24"/>
        </w:rPr>
        <w:t>美元</w:t>
      </w:r>
      <w:r>
        <w:rPr>
          <w:rFonts w:hint="eastAsia"/>
          <w:color w:val="000000"/>
          <w:sz w:val="24"/>
        </w:rPr>
        <w:t>/W</w:t>
      </w:r>
      <w:r>
        <w:rPr>
          <w:rFonts w:hint="eastAsia"/>
          <w:color w:val="000000"/>
          <w:sz w:val="24"/>
        </w:rPr>
        <w:t>，各</w:t>
      </w:r>
      <w:r>
        <w:rPr>
          <w:rFonts w:hint="eastAsia"/>
          <w:color w:val="000000"/>
          <w:sz w:val="24"/>
        </w:rPr>
        <w:lastRenderedPageBreak/>
        <w:t>环节毛利率恢复到行业正常水平。</w:t>
      </w:r>
    </w:p>
    <w:p w14:paraId="48028F67" w14:textId="4787D692" w:rsidR="00FC5A62" w:rsidRDefault="00C76273" w:rsidP="00E86A8E">
      <w:pPr>
        <w:spacing w:beforeLines="50" w:before="156" w:afterLines="50" w:after="156" w:line="360" w:lineRule="auto"/>
        <w:ind w:firstLineChars="200" w:firstLine="482"/>
        <w:outlineLvl w:val="2"/>
        <w:rPr>
          <w:b/>
          <w:bCs/>
          <w:color w:val="000000"/>
          <w:sz w:val="24"/>
        </w:rPr>
      </w:pPr>
      <w:r>
        <w:rPr>
          <w:rFonts w:hint="eastAsia"/>
          <w:b/>
          <w:bCs/>
          <w:color w:val="000000"/>
          <w:sz w:val="24"/>
        </w:rPr>
        <w:t>二、标的公司相关产品及所处行业是否存在产能过剩情况，相关产品后续是否能顺利实现销售，以及是否可能出现价格大幅下滑的问题</w:t>
      </w:r>
    </w:p>
    <w:p w14:paraId="254443C0" w14:textId="413F86AA" w:rsidR="00FC5A62" w:rsidRDefault="00C76273" w:rsidP="00E86A8E">
      <w:pPr>
        <w:spacing w:beforeLines="50" w:before="156" w:afterLines="50" w:after="156" w:line="360" w:lineRule="auto"/>
        <w:ind w:firstLineChars="200" w:firstLine="482"/>
        <w:outlineLvl w:val="3"/>
        <w:rPr>
          <w:b/>
          <w:bCs/>
          <w:color w:val="000000"/>
          <w:sz w:val="24"/>
        </w:rPr>
      </w:pPr>
      <w:r>
        <w:rPr>
          <w:rFonts w:hint="eastAsia"/>
          <w:b/>
          <w:bCs/>
          <w:color w:val="000000"/>
          <w:sz w:val="24"/>
        </w:rPr>
        <w:t>（一）标的公司相关产品及所处行业是否存在产能过剩情况</w:t>
      </w:r>
    </w:p>
    <w:p w14:paraId="46E7F4B7" w14:textId="77777777" w:rsidR="00FC5A62" w:rsidRDefault="00C76273" w:rsidP="00E86A8E">
      <w:pPr>
        <w:spacing w:beforeLines="50" w:before="156" w:afterLines="50" w:after="156" w:line="360" w:lineRule="auto"/>
        <w:ind w:firstLineChars="200" w:firstLine="480"/>
        <w:rPr>
          <w:color w:val="000000"/>
          <w:sz w:val="24"/>
        </w:rPr>
      </w:pPr>
      <w:r>
        <w:rPr>
          <w:rFonts w:hint="eastAsia"/>
          <w:color w:val="000000"/>
          <w:sz w:val="24"/>
        </w:rPr>
        <w:t>经过</w:t>
      </w:r>
      <w:r>
        <w:rPr>
          <w:rFonts w:hint="eastAsia"/>
          <w:color w:val="000000"/>
          <w:sz w:val="24"/>
        </w:rPr>
        <w:t>20</w:t>
      </w:r>
      <w:r>
        <w:rPr>
          <w:rFonts w:hint="eastAsia"/>
          <w:color w:val="000000"/>
          <w:sz w:val="24"/>
        </w:rPr>
        <w:t>余年的产业化发展，光</w:t>
      </w:r>
      <w:proofErr w:type="gramStart"/>
      <w:r>
        <w:rPr>
          <w:rFonts w:hint="eastAsia"/>
          <w:color w:val="000000"/>
          <w:sz w:val="24"/>
        </w:rPr>
        <w:t>伏制造</w:t>
      </w:r>
      <w:proofErr w:type="gramEnd"/>
      <w:r>
        <w:rPr>
          <w:rFonts w:hint="eastAsia"/>
          <w:color w:val="000000"/>
          <w:sz w:val="24"/>
        </w:rPr>
        <w:t>环节已经形成充足的产能，并支撑其下游应用超过其他能源成为全球新增装机容量最大的能源。第三</w:t>
      </w:r>
      <w:proofErr w:type="gramStart"/>
      <w:r>
        <w:rPr>
          <w:rFonts w:hint="eastAsia"/>
          <w:color w:val="000000"/>
          <w:sz w:val="24"/>
        </w:rPr>
        <w:t>方咨询</w:t>
      </w:r>
      <w:proofErr w:type="gramEnd"/>
      <w:r>
        <w:rPr>
          <w:rFonts w:hint="eastAsia"/>
          <w:color w:val="000000"/>
          <w:sz w:val="24"/>
        </w:rPr>
        <w:t>机构</w:t>
      </w:r>
      <w:proofErr w:type="spellStart"/>
      <w:r>
        <w:rPr>
          <w:rFonts w:hint="eastAsia"/>
          <w:color w:val="000000"/>
          <w:sz w:val="24"/>
        </w:rPr>
        <w:t>InfoLink</w:t>
      </w:r>
      <w:proofErr w:type="spellEnd"/>
      <w:r>
        <w:rPr>
          <w:rFonts w:hint="eastAsia"/>
          <w:color w:val="000000"/>
          <w:sz w:val="24"/>
        </w:rPr>
        <w:t xml:space="preserve"> Consulting</w:t>
      </w:r>
      <w:r>
        <w:rPr>
          <w:rFonts w:hint="eastAsia"/>
          <w:color w:val="000000"/>
          <w:sz w:val="24"/>
        </w:rPr>
        <w:t>评估显示，</w:t>
      </w:r>
      <w:r>
        <w:rPr>
          <w:rFonts w:hint="eastAsia"/>
          <w:color w:val="000000"/>
          <w:sz w:val="24"/>
        </w:rPr>
        <w:t>2023</w:t>
      </w:r>
      <w:r>
        <w:rPr>
          <w:rFonts w:hint="eastAsia"/>
          <w:color w:val="000000"/>
          <w:sz w:val="24"/>
        </w:rPr>
        <w:t>年全球光伏装机需求乐观预计为</w:t>
      </w:r>
      <w:r>
        <w:rPr>
          <w:rFonts w:hint="eastAsia"/>
          <w:color w:val="000000"/>
          <w:sz w:val="24"/>
        </w:rPr>
        <w:t>398GW</w:t>
      </w:r>
      <w:r>
        <w:rPr>
          <w:rFonts w:hint="eastAsia"/>
          <w:color w:val="000000"/>
          <w:sz w:val="24"/>
        </w:rPr>
        <w:t>，而</w:t>
      </w:r>
      <w:r>
        <w:rPr>
          <w:rFonts w:hint="eastAsia"/>
          <w:color w:val="000000"/>
          <w:sz w:val="24"/>
        </w:rPr>
        <w:t>2023</w:t>
      </w:r>
      <w:r>
        <w:rPr>
          <w:rFonts w:hint="eastAsia"/>
          <w:color w:val="000000"/>
          <w:sz w:val="24"/>
        </w:rPr>
        <w:t>年底预计各环节总产能将超过</w:t>
      </w:r>
      <w:r>
        <w:rPr>
          <w:rFonts w:hint="eastAsia"/>
          <w:color w:val="000000"/>
          <w:sz w:val="24"/>
        </w:rPr>
        <w:t>800GW</w:t>
      </w:r>
      <w:r>
        <w:rPr>
          <w:rFonts w:hint="eastAsia"/>
          <w:color w:val="000000"/>
          <w:sz w:val="24"/>
        </w:rPr>
        <w:t>，上述产能主要集中在中国大陆地区。从下游光伏电站新增装机规模和上游制造产能的绝对值来看，光</w:t>
      </w:r>
      <w:proofErr w:type="gramStart"/>
      <w:r>
        <w:rPr>
          <w:rFonts w:hint="eastAsia"/>
          <w:color w:val="000000"/>
          <w:sz w:val="24"/>
        </w:rPr>
        <w:t>伏制造</w:t>
      </w:r>
      <w:proofErr w:type="gramEnd"/>
      <w:r>
        <w:rPr>
          <w:rFonts w:hint="eastAsia"/>
          <w:color w:val="000000"/>
          <w:sz w:val="24"/>
        </w:rPr>
        <w:t>环节整体产能处于过剩状态，但是从产能的先进性和产能的全球分布来看，仍存在结构性紧缺和不平衡的情况。</w:t>
      </w:r>
    </w:p>
    <w:p w14:paraId="4BA3F3C3" w14:textId="77777777" w:rsidR="00FC5A62" w:rsidRDefault="00C76273">
      <w:pPr>
        <w:jc w:val="center"/>
        <w:rPr>
          <w:color w:val="000000"/>
          <w:sz w:val="24"/>
        </w:rPr>
      </w:pPr>
      <w:r>
        <w:rPr>
          <w:noProof/>
          <w:color w:val="000000"/>
          <w:sz w:val="24"/>
        </w:rPr>
        <w:drawing>
          <wp:inline distT="0" distB="0" distL="0" distR="0" wp14:anchorId="3078037E" wp14:editId="072AD7B6">
            <wp:extent cx="4660900" cy="1917700"/>
            <wp:effectExtent l="0" t="0" r="0" b="0"/>
            <wp:docPr id="174407258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CB4D2A" w14:textId="77777777" w:rsidR="00FC5A62" w:rsidRDefault="00C76273">
      <w:pPr>
        <w:spacing w:line="500" w:lineRule="exact"/>
        <w:rPr>
          <w:color w:val="000000"/>
        </w:rPr>
      </w:pPr>
      <w:r>
        <w:rPr>
          <w:rFonts w:hint="eastAsia"/>
          <w:color w:val="000000"/>
        </w:rPr>
        <w:t>数据来源：</w:t>
      </w:r>
      <w:r>
        <w:rPr>
          <w:rFonts w:hint="eastAsia"/>
          <w:color w:val="000000"/>
        </w:rPr>
        <w:t>RENA</w:t>
      </w:r>
    </w:p>
    <w:p w14:paraId="715C2F7A" w14:textId="08366510" w:rsidR="00FC5A62" w:rsidRDefault="00C76273" w:rsidP="004F6D07">
      <w:pPr>
        <w:spacing w:beforeLines="50" w:before="156" w:afterLines="50" w:after="156" w:line="360" w:lineRule="auto"/>
        <w:ind w:firstLineChars="200" w:firstLine="480"/>
        <w:rPr>
          <w:color w:val="000000"/>
          <w:sz w:val="24"/>
        </w:rPr>
      </w:pPr>
      <w:r>
        <w:rPr>
          <w:rFonts w:hint="eastAsia"/>
          <w:color w:val="000000"/>
          <w:sz w:val="24"/>
        </w:rPr>
        <w:t>一方面，光伏之所以能够从各种新能源品种中脱颖而出，与其持续降低的度电成本（</w:t>
      </w:r>
      <w:r>
        <w:rPr>
          <w:rFonts w:hint="eastAsia"/>
          <w:color w:val="000000"/>
          <w:sz w:val="24"/>
        </w:rPr>
        <w:t>LCOE</w:t>
      </w:r>
      <w:r>
        <w:rPr>
          <w:rFonts w:hint="eastAsia"/>
          <w:color w:val="000000"/>
          <w:sz w:val="24"/>
        </w:rPr>
        <w:t>）有关，而度电成本下降则取决于光</w:t>
      </w:r>
      <w:proofErr w:type="gramStart"/>
      <w:r>
        <w:rPr>
          <w:rFonts w:hint="eastAsia"/>
          <w:color w:val="000000"/>
          <w:sz w:val="24"/>
        </w:rPr>
        <w:t>伏制造</w:t>
      </w:r>
      <w:proofErr w:type="gramEnd"/>
      <w:r>
        <w:rPr>
          <w:rFonts w:hint="eastAsia"/>
          <w:color w:val="000000"/>
          <w:sz w:val="24"/>
        </w:rPr>
        <w:t>技术和工艺的持续迭代。过去十年，主流</w:t>
      </w:r>
      <w:proofErr w:type="gramStart"/>
      <w:r>
        <w:rPr>
          <w:rFonts w:hint="eastAsia"/>
          <w:color w:val="000000"/>
          <w:sz w:val="24"/>
        </w:rPr>
        <w:t>光伏晶硅</w:t>
      </w:r>
      <w:proofErr w:type="gramEnd"/>
      <w:r>
        <w:rPr>
          <w:rFonts w:hint="eastAsia"/>
          <w:color w:val="000000"/>
          <w:sz w:val="24"/>
        </w:rPr>
        <w:t>技术由多晶发展到单晶</w:t>
      </w:r>
      <w:r w:rsidR="00292AE2">
        <w:rPr>
          <w:rFonts w:hint="eastAsia"/>
          <w:color w:val="000000"/>
          <w:sz w:val="24"/>
        </w:rPr>
        <w:t>并</w:t>
      </w:r>
      <w:r>
        <w:rPr>
          <w:rFonts w:hint="eastAsia"/>
          <w:color w:val="000000"/>
          <w:sz w:val="24"/>
        </w:rPr>
        <w:t>叠加</w:t>
      </w:r>
      <w:r w:rsidR="00292AE2">
        <w:rPr>
          <w:rFonts w:hint="eastAsia"/>
          <w:color w:val="000000"/>
          <w:sz w:val="24"/>
        </w:rPr>
        <w:t>了各种类型的</w:t>
      </w:r>
      <w:r>
        <w:rPr>
          <w:rFonts w:hint="eastAsia"/>
          <w:color w:val="000000"/>
          <w:sz w:val="24"/>
        </w:rPr>
        <w:t>新工艺</w:t>
      </w:r>
      <w:r w:rsidR="00292AE2">
        <w:rPr>
          <w:rFonts w:hint="eastAsia"/>
          <w:color w:val="000000"/>
          <w:sz w:val="24"/>
        </w:rPr>
        <w:t>，</w:t>
      </w:r>
      <w:r>
        <w:rPr>
          <w:rFonts w:hint="eastAsia"/>
          <w:color w:val="000000"/>
          <w:sz w:val="24"/>
        </w:rPr>
        <w:t>新的技术发展和工艺叠加带来新的产能，</w:t>
      </w:r>
      <w:r w:rsidR="00292AE2">
        <w:rPr>
          <w:rFonts w:hint="eastAsia"/>
          <w:color w:val="000000"/>
          <w:sz w:val="24"/>
        </w:rPr>
        <w:t>而</w:t>
      </w:r>
      <w:r>
        <w:rPr>
          <w:rFonts w:hint="eastAsia"/>
          <w:color w:val="000000"/>
          <w:sz w:val="24"/>
        </w:rPr>
        <w:t>老旧产能将逐渐被市场淘汰</w:t>
      </w:r>
      <w:r w:rsidR="00292AE2">
        <w:rPr>
          <w:rFonts w:hint="eastAsia"/>
          <w:color w:val="000000"/>
          <w:sz w:val="24"/>
        </w:rPr>
        <w:t>，随着未来落后产能逐步出清，光</w:t>
      </w:r>
      <w:proofErr w:type="gramStart"/>
      <w:r w:rsidR="00292AE2">
        <w:rPr>
          <w:rFonts w:hint="eastAsia"/>
          <w:color w:val="000000"/>
          <w:sz w:val="24"/>
        </w:rPr>
        <w:t>伏制造</w:t>
      </w:r>
      <w:proofErr w:type="gramEnd"/>
      <w:r w:rsidR="00292AE2">
        <w:rPr>
          <w:rFonts w:hint="eastAsia"/>
          <w:color w:val="000000"/>
          <w:sz w:val="24"/>
        </w:rPr>
        <w:t>环节整体产能过剩的状态亦将有所缓解。此外，</w:t>
      </w:r>
      <w:r>
        <w:rPr>
          <w:rFonts w:hint="eastAsia"/>
          <w:color w:val="000000"/>
          <w:sz w:val="24"/>
        </w:rPr>
        <w:t>光伏</w:t>
      </w:r>
      <w:r w:rsidR="00292AE2">
        <w:rPr>
          <w:rFonts w:hint="eastAsia"/>
          <w:color w:val="000000"/>
          <w:sz w:val="24"/>
        </w:rPr>
        <w:t>能源</w:t>
      </w:r>
      <w:r>
        <w:rPr>
          <w:rFonts w:hint="eastAsia"/>
          <w:color w:val="000000"/>
          <w:sz w:val="24"/>
        </w:rPr>
        <w:t>已奠定了在主流新能源的行业地位，碳中和战略将推动全球光伏新增装机量持续增长，对光</w:t>
      </w:r>
      <w:proofErr w:type="gramStart"/>
      <w:r>
        <w:rPr>
          <w:rFonts w:hint="eastAsia"/>
          <w:color w:val="000000"/>
          <w:sz w:val="24"/>
        </w:rPr>
        <w:t>伏</w:t>
      </w:r>
      <w:proofErr w:type="gramEnd"/>
      <w:r>
        <w:rPr>
          <w:rFonts w:hint="eastAsia"/>
          <w:color w:val="000000"/>
          <w:sz w:val="24"/>
        </w:rPr>
        <w:t>电池及组件的需求也在不断增长，这成为了光</w:t>
      </w:r>
      <w:proofErr w:type="gramStart"/>
      <w:r>
        <w:rPr>
          <w:rFonts w:hint="eastAsia"/>
          <w:color w:val="000000"/>
          <w:sz w:val="24"/>
        </w:rPr>
        <w:t>伏企业</w:t>
      </w:r>
      <w:proofErr w:type="gramEnd"/>
      <w:r>
        <w:rPr>
          <w:rFonts w:hint="eastAsia"/>
          <w:color w:val="000000"/>
          <w:sz w:val="24"/>
        </w:rPr>
        <w:t>敢于应用新技术、扩大新产能的“底气”。</w:t>
      </w:r>
    </w:p>
    <w:p w14:paraId="789658D2" w14:textId="3D1E099D" w:rsidR="00FC5A62" w:rsidRDefault="00C76273" w:rsidP="004F6D07">
      <w:pPr>
        <w:spacing w:beforeLines="50" w:before="156" w:afterLines="50" w:after="156" w:line="360" w:lineRule="auto"/>
        <w:ind w:firstLineChars="200" w:firstLine="480"/>
        <w:rPr>
          <w:color w:val="000000"/>
          <w:sz w:val="24"/>
        </w:rPr>
      </w:pPr>
      <w:r>
        <w:rPr>
          <w:rFonts w:hint="eastAsia"/>
          <w:color w:val="000000"/>
          <w:sz w:val="24"/>
        </w:rPr>
        <w:t>其次，中国作为全球光伏产能的集聚地，拥有全球最大最全的光</w:t>
      </w:r>
      <w:proofErr w:type="gramStart"/>
      <w:r>
        <w:rPr>
          <w:rFonts w:hint="eastAsia"/>
          <w:color w:val="000000"/>
          <w:sz w:val="24"/>
        </w:rPr>
        <w:t>伏产业</w:t>
      </w:r>
      <w:proofErr w:type="gramEnd"/>
      <w:r>
        <w:rPr>
          <w:rFonts w:hint="eastAsia"/>
          <w:color w:val="000000"/>
          <w:sz w:val="24"/>
        </w:rPr>
        <w:t>链，</w:t>
      </w:r>
      <w:r>
        <w:rPr>
          <w:rFonts w:hint="eastAsia"/>
          <w:color w:val="000000"/>
          <w:sz w:val="24"/>
        </w:rPr>
        <w:lastRenderedPageBreak/>
        <w:t>为全球各国和地区输送光伏产品。由于美国等地区贸易保护政策，限制了中国光伏产品对该市场的直接出口，但受制于美国本土的光伏产能无法满足其光</w:t>
      </w:r>
      <w:proofErr w:type="gramStart"/>
      <w:r>
        <w:rPr>
          <w:rFonts w:hint="eastAsia"/>
          <w:color w:val="000000"/>
          <w:sz w:val="24"/>
        </w:rPr>
        <w:t>伏</w:t>
      </w:r>
      <w:proofErr w:type="gramEnd"/>
      <w:r>
        <w:rPr>
          <w:rFonts w:hint="eastAsia"/>
          <w:color w:val="000000"/>
          <w:sz w:val="24"/>
        </w:rPr>
        <w:t>装机量的需求，美国光伏产品仍主要依赖进口，东南亚地区是美国光伏产品的最大输出地区。标的公司所处美国市场目前尚未达到产能过剩的阶段。同时，美国对于进口光伏组件产品存在严格的供应链标准，使得源自国内的硅料、硅片、电池以及主要的原辅材料都受到影响。根据</w:t>
      </w:r>
      <w:proofErr w:type="spellStart"/>
      <w:r>
        <w:rPr>
          <w:rFonts w:hint="eastAsia"/>
          <w:color w:val="000000"/>
          <w:sz w:val="24"/>
        </w:rPr>
        <w:t>InfoLink</w:t>
      </w:r>
      <w:proofErr w:type="spellEnd"/>
      <w:r>
        <w:rPr>
          <w:rFonts w:hint="eastAsia"/>
          <w:color w:val="000000"/>
          <w:sz w:val="24"/>
        </w:rPr>
        <w:t>的数据披露，截至</w:t>
      </w:r>
      <w:r>
        <w:rPr>
          <w:rFonts w:hint="eastAsia"/>
          <w:color w:val="000000"/>
          <w:sz w:val="24"/>
        </w:rPr>
        <w:t>2022</w:t>
      </w:r>
      <w:r>
        <w:rPr>
          <w:rFonts w:hint="eastAsia"/>
          <w:color w:val="000000"/>
          <w:sz w:val="24"/>
        </w:rPr>
        <w:t>年末，东南亚地区光伏硅片产能仅有</w:t>
      </w:r>
      <w:r>
        <w:rPr>
          <w:rFonts w:hint="eastAsia"/>
          <w:color w:val="000000"/>
          <w:sz w:val="24"/>
        </w:rPr>
        <w:t>12GW</w:t>
      </w:r>
      <w:r>
        <w:rPr>
          <w:rFonts w:hint="eastAsia"/>
          <w:color w:val="000000"/>
          <w:sz w:val="24"/>
        </w:rPr>
        <w:t>，光伏电池产能约</w:t>
      </w:r>
      <w:r>
        <w:rPr>
          <w:rFonts w:hint="eastAsia"/>
          <w:color w:val="000000"/>
          <w:sz w:val="24"/>
        </w:rPr>
        <w:t>59.8GW</w:t>
      </w:r>
      <w:r>
        <w:rPr>
          <w:rFonts w:hint="eastAsia"/>
          <w:color w:val="000000"/>
          <w:sz w:val="24"/>
        </w:rPr>
        <w:t>，光伏组件产能合计约</w:t>
      </w:r>
      <w:r>
        <w:rPr>
          <w:rFonts w:hint="eastAsia"/>
          <w:color w:val="000000"/>
          <w:sz w:val="24"/>
        </w:rPr>
        <w:t>90.6GW</w:t>
      </w:r>
      <w:r>
        <w:rPr>
          <w:rFonts w:hint="eastAsia"/>
          <w:color w:val="000000"/>
          <w:sz w:val="24"/>
        </w:rPr>
        <w:t>。标的公司在东南亚地区的电池产能以及建设中的硅片产能具有一定稀缺性。</w:t>
      </w:r>
    </w:p>
    <w:p w14:paraId="3ADA7A15" w14:textId="77777777" w:rsidR="00FC5A62" w:rsidRDefault="00C76273" w:rsidP="004F6D07">
      <w:pPr>
        <w:spacing w:beforeLines="50" w:before="156" w:afterLines="50" w:after="156" w:line="360" w:lineRule="auto"/>
        <w:ind w:firstLineChars="200" w:firstLine="480"/>
        <w:rPr>
          <w:color w:val="000000"/>
          <w:sz w:val="24"/>
        </w:rPr>
      </w:pPr>
      <w:r>
        <w:rPr>
          <w:rFonts w:hint="eastAsia"/>
          <w:color w:val="000000"/>
          <w:sz w:val="24"/>
        </w:rPr>
        <w:t>再次，标的公司采取以销定产的策略，根据美国市场的可获得订单情况决策上游电池产能的投资扩产，并根据上下游市场和贸易政策配置硅片产能，保障标的公司产品能够顺利进入美国市场。差异化的竞争布局也使得标的公司规避了行业产能过剩的风险。</w:t>
      </w:r>
    </w:p>
    <w:p w14:paraId="6A8A52F7" w14:textId="77777777" w:rsidR="00FC5A62" w:rsidRDefault="00C76273" w:rsidP="004F6D07">
      <w:pPr>
        <w:spacing w:beforeLines="50" w:before="156" w:afterLines="50" w:after="156" w:line="360" w:lineRule="auto"/>
        <w:ind w:firstLineChars="200" w:firstLine="482"/>
        <w:outlineLvl w:val="3"/>
        <w:rPr>
          <w:b/>
          <w:bCs/>
          <w:color w:val="000000"/>
          <w:sz w:val="24"/>
        </w:rPr>
      </w:pPr>
      <w:r>
        <w:rPr>
          <w:rFonts w:hint="eastAsia"/>
          <w:b/>
          <w:bCs/>
          <w:color w:val="000000"/>
          <w:sz w:val="24"/>
        </w:rPr>
        <w:t>（二）相关产品后续是否能顺利实现销售</w:t>
      </w:r>
    </w:p>
    <w:p w14:paraId="579DB7AE" w14:textId="77777777" w:rsidR="00FC5A62" w:rsidRDefault="00C76273" w:rsidP="004F6D07">
      <w:pPr>
        <w:spacing w:beforeLines="50" w:before="156" w:afterLines="50" w:after="156" w:line="360" w:lineRule="auto"/>
        <w:ind w:firstLineChars="200" w:firstLine="480"/>
        <w:rPr>
          <w:color w:val="000000"/>
          <w:sz w:val="24"/>
        </w:rPr>
      </w:pPr>
      <w:r>
        <w:rPr>
          <w:rFonts w:hint="eastAsia"/>
          <w:color w:val="000000"/>
          <w:sz w:val="24"/>
        </w:rPr>
        <w:t>根据美国市场的下游需求、贸易政策以及标的公司自身定位来看，标的公司的产品后续能够在美国市场顺利实现销售。</w:t>
      </w:r>
    </w:p>
    <w:p w14:paraId="589C61E8" w14:textId="77777777" w:rsidR="00FC5A62" w:rsidRDefault="00C76273" w:rsidP="004F6D07">
      <w:pPr>
        <w:spacing w:beforeLines="50" w:before="156" w:afterLines="50" w:after="156" w:line="360" w:lineRule="auto"/>
        <w:ind w:firstLineChars="200" w:firstLine="480"/>
        <w:rPr>
          <w:color w:val="000000"/>
          <w:sz w:val="24"/>
        </w:rPr>
      </w:pPr>
      <w:r>
        <w:rPr>
          <w:rFonts w:hint="eastAsia"/>
          <w:color w:val="000000"/>
          <w:sz w:val="24"/>
        </w:rPr>
        <w:t>其一，美国是全球前三大的光伏装机市场。根据彭博社预测，</w:t>
      </w:r>
      <w:r>
        <w:rPr>
          <w:rFonts w:hint="eastAsia"/>
          <w:color w:val="000000"/>
          <w:sz w:val="24"/>
        </w:rPr>
        <w:t>2</w:t>
      </w:r>
      <w:r>
        <w:rPr>
          <w:color w:val="000000"/>
          <w:sz w:val="24"/>
        </w:rPr>
        <w:t>023</w:t>
      </w:r>
      <w:r>
        <w:rPr>
          <w:rFonts w:hint="eastAsia"/>
          <w:color w:val="000000"/>
          <w:sz w:val="24"/>
        </w:rPr>
        <w:t>年美国光伏新增装机容量约</w:t>
      </w:r>
      <w:r>
        <w:rPr>
          <w:rFonts w:hint="eastAsia"/>
          <w:color w:val="000000"/>
          <w:sz w:val="24"/>
        </w:rPr>
        <w:t>3</w:t>
      </w:r>
      <w:r>
        <w:rPr>
          <w:color w:val="000000"/>
          <w:sz w:val="24"/>
        </w:rPr>
        <w:t>8</w:t>
      </w:r>
      <w:r>
        <w:rPr>
          <w:rFonts w:hint="eastAsia"/>
          <w:color w:val="000000"/>
          <w:sz w:val="24"/>
        </w:rPr>
        <w:t>GW</w:t>
      </w:r>
      <w:r>
        <w:rPr>
          <w:rFonts w:hint="eastAsia"/>
          <w:color w:val="000000"/>
          <w:sz w:val="24"/>
        </w:rPr>
        <w:t>；在碳中和战略和</w:t>
      </w:r>
      <w:r>
        <w:rPr>
          <w:rFonts w:hint="eastAsia"/>
          <w:color w:val="000000"/>
          <w:sz w:val="24"/>
        </w:rPr>
        <w:t>IRA</w:t>
      </w:r>
      <w:r>
        <w:rPr>
          <w:rFonts w:hint="eastAsia"/>
          <w:color w:val="000000"/>
          <w:sz w:val="24"/>
        </w:rPr>
        <w:t>法案的刺激之下，未来美国市场的年新增装机量乐观预测在</w:t>
      </w:r>
      <w:r>
        <w:rPr>
          <w:rFonts w:hint="eastAsia"/>
          <w:color w:val="000000"/>
          <w:sz w:val="24"/>
        </w:rPr>
        <w:t>60-70GW</w:t>
      </w:r>
      <w:r>
        <w:rPr>
          <w:rFonts w:hint="eastAsia"/>
          <w:color w:val="000000"/>
          <w:sz w:val="24"/>
        </w:rPr>
        <w:t>之间，存在较大幅度的增长预期。</w:t>
      </w:r>
    </w:p>
    <w:p w14:paraId="0264D701" w14:textId="4463AE6B" w:rsidR="00FC5A62" w:rsidRDefault="00C76273" w:rsidP="004F6D07">
      <w:pPr>
        <w:spacing w:beforeLines="50" w:before="156" w:afterLines="50" w:after="156" w:line="360" w:lineRule="auto"/>
        <w:ind w:firstLineChars="200" w:firstLine="480"/>
        <w:rPr>
          <w:color w:val="000000"/>
          <w:sz w:val="24"/>
        </w:rPr>
      </w:pPr>
      <w:r>
        <w:rPr>
          <w:rFonts w:hint="eastAsia"/>
          <w:color w:val="000000"/>
          <w:sz w:val="24"/>
        </w:rPr>
        <w:t>其二，标的公司旗</w:t>
      </w:r>
      <w:proofErr w:type="gramStart"/>
      <w:r>
        <w:rPr>
          <w:rFonts w:hint="eastAsia"/>
          <w:color w:val="000000"/>
          <w:sz w:val="24"/>
        </w:rPr>
        <w:t>下品牌</w:t>
      </w:r>
      <w:proofErr w:type="gramEnd"/>
      <w:r>
        <w:rPr>
          <w:rFonts w:hint="eastAsia"/>
          <w:color w:val="000000"/>
          <w:sz w:val="24"/>
        </w:rPr>
        <w:t>ET Solar/</w:t>
      </w:r>
      <w:r>
        <w:rPr>
          <w:color w:val="000000"/>
          <w:sz w:val="24"/>
        </w:rPr>
        <w:t xml:space="preserve"> </w:t>
      </w:r>
      <w:proofErr w:type="spellStart"/>
      <w:r>
        <w:rPr>
          <w:rFonts w:hint="eastAsia"/>
          <w:color w:val="000000"/>
          <w:sz w:val="24"/>
        </w:rPr>
        <w:t>EliTe</w:t>
      </w:r>
      <w:proofErr w:type="spellEnd"/>
      <w:r>
        <w:rPr>
          <w:rFonts w:hint="eastAsia"/>
          <w:color w:val="000000"/>
          <w:sz w:val="24"/>
        </w:rPr>
        <w:t xml:space="preserve"> Solar</w:t>
      </w:r>
      <w:r>
        <w:rPr>
          <w:rFonts w:hint="eastAsia"/>
          <w:color w:val="000000"/>
          <w:sz w:val="24"/>
        </w:rPr>
        <w:t>连续十二年位列彭博新能源财经“全球一线组件制造商</w:t>
      </w:r>
      <w:r>
        <w:rPr>
          <w:rFonts w:hint="eastAsia"/>
          <w:color w:val="000000"/>
          <w:sz w:val="24"/>
        </w:rPr>
        <w:t>(BNEF Tier 1)</w:t>
      </w:r>
      <w:r>
        <w:rPr>
          <w:rFonts w:hint="eastAsia"/>
          <w:color w:val="000000"/>
          <w:sz w:val="24"/>
        </w:rPr>
        <w:t>”，并获得</w:t>
      </w:r>
      <w:r>
        <w:rPr>
          <w:color w:val="000000"/>
          <w:sz w:val="24"/>
        </w:rPr>
        <w:t>IEC61215/IEC61730</w:t>
      </w:r>
      <w:r>
        <w:rPr>
          <w:rFonts w:hint="eastAsia"/>
          <w:color w:val="000000"/>
          <w:sz w:val="24"/>
        </w:rPr>
        <w:t>、</w:t>
      </w:r>
      <w:r>
        <w:rPr>
          <w:color w:val="000000"/>
          <w:sz w:val="24"/>
        </w:rPr>
        <w:t>UL61215/UL61730</w:t>
      </w:r>
      <w:r>
        <w:rPr>
          <w:rFonts w:hint="eastAsia"/>
          <w:color w:val="000000"/>
          <w:sz w:val="24"/>
        </w:rPr>
        <w:t>以及</w:t>
      </w:r>
      <w:r>
        <w:rPr>
          <w:color w:val="000000"/>
          <w:sz w:val="24"/>
        </w:rPr>
        <w:t>CE/TUV/ETL/JET/CGC/BIS/VDE</w:t>
      </w:r>
      <w:r>
        <w:rPr>
          <w:rFonts w:hint="eastAsia"/>
          <w:color w:val="000000"/>
          <w:sz w:val="24"/>
        </w:rPr>
        <w:t>等全球产品认证，其核心产品在</w:t>
      </w:r>
      <w:r>
        <w:rPr>
          <w:rFonts w:hint="eastAsia"/>
          <w:color w:val="000000"/>
          <w:sz w:val="24"/>
        </w:rPr>
        <w:t>2</w:t>
      </w:r>
      <w:r>
        <w:rPr>
          <w:color w:val="000000"/>
          <w:sz w:val="24"/>
        </w:rPr>
        <w:t>021-2023</w:t>
      </w:r>
      <w:r>
        <w:rPr>
          <w:rFonts w:hint="eastAsia"/>
          <w:color w:val="000000"/>
          <w:sz w:val="24"/>
        </w:rPr>
        <w:t>年连续三年荣获全球权威独立光伏组件性能测试实验室</w:t>
      </w:r>
      <w:r>
        <w:rPr>
          <w:rFonts w:hint="eastAsia"/>
          <w:color w:val="000000"/>
          <w:sz w:val="24"/>
        </w:rPr>
        <w:t>PVEL</w:t>
      </w:r>
      <w:r>
        <w:rPr>
          <w:rFonts w:hint="eastAsia"/>
          <w:color w:val="000000"/>
          <w:sz w:val="24"/>
        </w:rPr>
        <w:t>认证的“全球最佳表现”组件制造商。因此，标的公司在美国市场具备一定的品牌和产品基础。</w:t>
      </w:r>
    </w:p>
    <w:p w14:paraId="7198ED0B" w14:textId="3F27054E" w:rsidR="00FC5A62" w:rsidRDefault="00C76273" w:rsidP="004F6D07">
      <w:pPr>
        <w:spacing w:beforeLines="50" w:before="156" w:afterLines="50" w:after="156" w:line="360" w:lineRule="auto"/>
        <w:ind w:firstLineChars="200" w:firstLine="480"/>
        <w:rPr>
          <w:color w:val="000000"/>
          <w:sz w:val="24"/>
        </w:rPr>
      </w:pPr>
      <w:r>
        <w:rPr>
          <w:rFonts w:hint="eastAsia"/>
          <w:color w:val="000000"/>
          <w:sz w:val="24"/>
        </w:rPr>
        <w:t>其三，标的公司品牌</w:t>
      </w:r>
      <w:r>
        <w:rPr>
          <w:rFonts w:hint="eastAsia"/>
          <w:color w:val="000000"/>
          <w:sz w:val="24"/>
        </w:rPr>
        <w:t>ET Solar/</w:t>
      </w:r>
      <w:r>
        <w:rPr>
          <w:color w:val="000000"/>
          <w:sz w:val="24"/>
        </w:rPr>
        <w:t xml:space="preserve"> </w:t>
      </w:r>
      <w:proofErr w:type="spellStart"/>
      <w:r>
        <w:rPr>
          <w:rFonts w:hint="eastAsia"/>
          <w:color w:val="000000"/>
          <w:sz w:val="24"/>
        </w:rPr>
        <w:t>EliTe</w:t>
      </w:r>
      <w:proofErr w:type="spellEnd"/>
      <w:r>
        <w:rPr>
          <w:rFonts w:hint="eastAsia"/>
          <w:color w:val="000000"/>
          <w:sz w:val="24"/>
        </w:rPr>
        <w:t xml:space="preserve"> Solar</w:t>
      </w:r>
      <w:r>
        <w:rPr>
          <w:rFonts w:hint="eastAsia"/>
          <w:color w:val="000000"/>
          <w:sz w:val="24"/>
        </w:rPr>
        <w:t>从</w:t>
      </w:r>
      <w:r>
        <w:rPr>
          <w:rFonts w:hint="eastAsia"/>
          <w:color w:val="000000"/>
          <w:sz w:val="24"/>
        </w:rPr>
        <w:t>2007</w:t>
      </w:r>
      <w:r>
        <w:rPr>
          <w:rFonts w:hint="eastAsia"/>
          <w:color w:val="000000"/>
          <w:sz w:val="24"/>
        </w:rPr>
        <w:t>年进入美国市场，在全美地区累计签约客户超过</w:t>
      </w:r>
      <w:r>
        <w:rPr>
          <w:rFonts w:hint="eastAsia"/>
          <w:color w:val="000000"/>
          <w:sz w:val="24"/>
        </w:rPr>
        <w:t>100</w:t>
      </w:r>
      <w:r>
        <w:rPr>
          <w:rFonts w:hint="eastAsia"/>
          <w:color w:val="000000"/>
          <w:sz w:val="24"/>
        </w:rPr>
        <w:t>家，包含地面电站开发商、投资商、</w:t>
      </w:r>
      <w:r>
        <w:rPr>
          <w:rFonts w:hint="eastAsia"/>
          <w:color w:val="000000"/>
          <w:sz w:val="24"/>
        </w:rPr>
        <w:t>EPC</w:t>
      </w:r>
      <w:proofErr w:type="gramStart"/>
      <w:r>
        <w:rPr>
          <w:rFonts w:hint="eastAsia"/>
          <w:color w:val="000000"/>
          <w:sz w:val="24"/>
        </w:rPr>
        <w:t>安装商</w:t>
      </w:r>
      <w:proofErr w:type="gramEnd"/>
      <w:r>
        <w:rPr>
          <w:rFonts w:hint="eastAsia"/>
          <w:color w:val="000000"/>
          <w:sz w:val="24"/>
        </w:rPr>
        <w:t>等各</w:t>
      </w:r>
      <w:r>
        <w:rPr>
          <w:rFonts w:hint="eastAsia"/>
          <w:color w:val="000000"/>
          <w:sz w:val="24"/>
        </w:rPr>
        <w:lastRenderedPageBreak/>
        <w:t>环节公司，积累了多年的项目成功案例。</w:t>
      </w:r>
      <w:r>
        <w:rPr>
          <w:rFonts w:hint="eastAsia"/>
          <w:color w:val="000000"/>
          <w:sz w:val="24"/>
        </w:rPr>
        <w:t>2022</w:t>
      </w:r>
      <w:r>
        <w:rPr>
          <w:rFonts w:hint="eastAsia"/>
          <w:color w:val="000000"/>
          <w:sz w:val="24"/>
        </w:rPr>
        <w:t>年，</w:t>
      </w:r>
      <w:r>
        <w:rPr>
          <w:rFonts w:hint="eastAsia"/>
          <w:color w:val="000000"/>
          <w:sz w:val="24"/>
        </w:rPr>
        <w:t>ET Solar/</w:t>
      </w:r>
      <w:proofErr w:type="spellStart"/>
      <w:r>
        <w:rPr>
          <w:rFonts w:hint="eastAsia"/>
          <w:color w:val="000000"/>
          <w:sz w:val="24"/>
        </w:rPr>
        <w:t>EliTe</w:t>
      </w:r>
      <w:proofErr w:type="spellEnd"/>
      <w:r>
        <w:rPr>
          <w:rFonts w:hint="eastAsia"/>
          <w:color w:val="000000"/>
          <w:sz w:val="24"/>
        </w:rPr>
        <w:t xml:space="preserve"> Solar</w:t>
      </w:r>
      <w:r>
        <w:rPr>
          <w:rFonts w:hint="eastAsia"/>
          <w:color w:val="000000"/>
          <w:sz w:val="24"/>
        </w:rPr>
        <w:t>荣获全球权威调研机构</w:t>
      </w:r>
      <w:r>
        <w:rPr>
          <w:rFonts w:hint="eastAsia"/>
          <w:color w:val="000000"/>
          <w:sz w:val="24"/>
        </w:rPr>
        <w:t>EUPD Research</w:t>
      </w:r>
      <w:r>
        <w:rPr>
          <w:rFonts w:hint="eastAsia"/>
          <w:color w:val="000000"/>
          <w:sz w:val="24"/>
        </w:rPr>
        <w:t>认证的“美国地区顶级光伏品牌”。根据彭博社公布的最新的全球组件可融资性榜单，</w:t>
      </w:r>
      <w:r>
        <w:rPr>
          <w:rFonts w:hint="eastAsia"/>
          <w:color w:val="000000"/>
          <w:sz w:val="24"/>
        </w:rPr>
        <w:t>ET Solar/</w:t>
      </w:r>
      <w:r>
        <w:rPr>
          <w:color w:val="000000"/>
          <w:sz w:val="24"/>
        </w:rPr>
        <w:t xml:space="preserve"> </w:t>
      </w:r>
      <w:proofErr w:type="spellStart"/>
      <w:r>
        <w:rPr>
          <w:rFonts w:hint="eastAsia"/>
          <w:color w:val="000000"/>
          <w:sz w:val="24"/>
        </w:rPr>
        <w:t>EliTe</w:t>
      </w:r>
      <w:proofErr w:type="spellEnd"/>
      <w:r>
        <w:rPr>
          <w:rFonts w:hint="eastAsia"/>
          <w:color w:val="000000"/>
          <w:sz w:val="24"/>
        </w:rPr>
        <w:t xml:space="preserve"> Solar</w:t>
      </w:r>
      <w:r>
        <w:rPr>
          <w:rFonts w:hint="eastAsia"/>
          <w:color w:val="000000"/>
          <w:sz w:val="24"/>
        </w:rPr>
        <w:t>从</w:t>
      </w:r>
      <w:r>
        <w:rPr>
          <w:rFonts w:hint="eastAsia"/>
          <w:color w:val="000000"/>
          <w:sz w:val="24"/>
        </w:rPr>
        <w:t>36</w:t>
      </w:r>
      <w:r>
        <w:rPr>
          <w:rFonts w:hint="eastAsia"/>
          <w:color w:val="000000"/>
          <w:sz w:val="24"/>
        </w:rPr>
        <w:t>名跃升至</w:t>
      </w:r>
      <w:r>
        <w:rPr>
          <w:rFonts w:hint="eastAsia"/>
          <w:color w:val="000000"/>
          <w:sz w:val="24"/>
        </w:rPr>
        <w:t>17</w:t>
      </w:r>
      <w:r>
        <w:rPr>
          <w:rFonts w:hint="eastAsia"/>
          <w:color w:val="000000"/>
          <w:sz w:val="24"/>
        </w:rPr>
        <w:t>名。因此，标的公司在美国市场拥有充足的客户基础。</w:t>
      </w:r>
    </w:p>
    <w:p w14:paraId="12CABB3C" w14:textId="77777777" w:rsidR="00FC5A62" w:rsidRDefault="00C76273" w:rsidP="004F6D07">
      <w:pPr>
        <w:spacing w:beforeLines="50" w:before="156" w:afterLines="50" w:after="156" w:line="360" w:lineRule="auto"/>
        <w:ind w:firstLineChars="200" w:firstLine="480"/>
        <w:rPr>
          <w:color w:val="000000"/>
          <w:sz w:val="24"/>
        </w:rPr>
      </w:pPr>
      <w:r>
        <w:rPr>
          <w:rFonts w:hint="eastAsia"/>
          <w:color w:val="000000"/>
          <w:sz w:val="24"/>
        </w:rPr>
        <w:t>其四，美国市场存在严格的贸易保护政策，对各企业的海外供应</w:t>
      </w:r>
      <w:proofErr w:type="gramStart"/>
      <w:r>
        <w:rPr>
          <w:rFonts w:hint="eastAsia"/>
          <w:color w:val="000000"/>
          <w:sz w:val="24"/>
        </w:rPr>
        <w:t>链有着</w:t>
      </w:r>
      <w:proofErr w:type="gramEnd"/>
      <w:r>
        <w:rPr>
          <w:rFonts w:hint="eastAsia"/>
          <w:color w:val="000000"/>
          <w:sz w:val="24"/>
        </w:rPr>
        <w:t>严格的要求。为了应对美国的贸易保护政策，标的公司于</w:t>
      </w:r>
      <w:r>
        <w:rPr>
          <w:rFonts w:hint="eastAsia"/>
          <w:color w:val="000000"/>
          <w:sz w:val="24"/>
        </w:rPr>
        <w:t>2</w:t>
      </w:r>
      <w:r>
        <w:rPr>
          <w:color w:val="000000"/>
          <w:sz w:val="24"/>
        </w:rPr>
        <w:t>020</w:t>
      </w:r>
      <w:r>
        <w:rPr>
          <w:rFonts w:hint="eastAsia"/>
          <w:color w:val="000000"/>
          <w:sz w:val="24"/>
        </w:rPr>
        <w:t>年在东南亚地区建设光伏电池产能，并于</w:t>
      </w:r>
      <w:r>
        <w:rPr>
          <w:rFonts w:hint="eastAsia"/>
          <w:color w:val="000000"/>
          <w:sz w:val="24"/>
        </w:rPr>
        <w:t>2023</w:t>
      </w:r>
      <w:r>
        <w:rPr>
          <w:rFonts w:hint="eastAsia"/>
          <w:color w:val="000000"/>
          <w:sz w:val="24"/>
        </w:rPr>
        <w:t>年四季度开始建设硅片产能；同时，标的公司在海外储备了较多的辅材采购渠道，并已经开始展开合作，可以满足反规避调查中</w:t>
      </w:r>
      <w:r>
        <w:rPr>
          <w:rFonts w:hint="eastAsia"/>
          <w:color w:val="000000"/>
          <w:sz w:val="24"/>
        </w:rPr>
        <w:t>6</w:t>
      </w:r>
      <w:r>
        <w:rPr>
          <w:rFonts w:hint="eastAsia"/>
          <w:color w:val="000000"/>
          <w:sz w:val="24"/>
        </w:rPr>
        <w:t>种材料（银浆、铝框、玻璃、背板、胶膜、接线盒）之中中国制造占比不超过</w:t>
      </w:r>
      <w:r>
        <w:rPr>
          <w:rFonts w:hint="eastAsia"/>
          <w:color w:val="000000"/>
          <w:sz w:val="24"/>
        </w:rPr>
        <w:t>2</w:t>
      </w:r>
      <w:r>
        <w:rPr>
          <w:rFonts w:hint="eastAsia"/>
          <w:color w:val="000000"/>
          <w:sz w:val="24"/>
        </w:rPr>
        <w:t>种的产品的要求。</w:t>
      </w:r>
    </w:p>
    <w:p w14:paraId="067D9723" w14:textId="77777777" w:rsidR="00FC5A62" w:rsidRDefault="00C76273" w:rsidP="004F6D07">
      <w:pPr>
        <w:spacing w:beforeLines="50" w:before="156" w:afterLines="50" w:after="156" w:line="360" w:lineRule="auto"/>
        <w:ind w:firstLineChars="200" w:firstLine="480"/>
        <w:rPr>
          <w:color w:val="000000"/>
          <w:sz w:val="24"/>
        </w:rPr>
      </w:pPr>
      <w:r>
        <w:rPr>
          <w:rFonts w:hint="eastAsia"/>
          <w:color w:val="000000"/>
          <w:sz w:val="24"/>
        </w:rPr>
        <w:t>与此同时，标的公司在手订单储备充足，截至</w:t>
      </w:r>
      <w:r>
        <w:rPr>
          <w:rFonts w:hint="eastAsia"/>
          <w:color w:val="000000"/>
          <w:sz w:val="24"/>
        </w:rPr>
        <w:t>2</w:t>
      </w:r>
      <w:r>
        <w:rPr>
          <w:color w:val="000000"/>
          <w:sz w:val="24"/>
        </w:rPr>
        <w:t>023</w:t>
      </w:r>
      <w:r>
        <w:rPr>
          <w:rFonts w:hint="eastAsia"/>
          <w:color w:val="000000"/>
          <w:sz w:val="24"/>
        </w:rPr>
        <w:t>年</w:t>
      </w:r>
      <w:r>
        <w:rPr>
          <w:rFonts w:hint="eastAsia"/>
          <w:color w:val="000000"/>
          <w:sz w:val="24"/>
        </w:rPr>
        <w:t>8</w:t>
      </w:r>
      <w:r>
        <w:rPr>
          <w:rFonts w:hint="eastAsia"/>
          <w:color w:val="000000"/>
          <w:sz w:val="24"/>
        </w:rPr>
        <w:t>月末已签署的在手订单量约为</w:t>
      </w:r>
      <w:r>
        <w:rPr>
          <w:rFonts w:hint="eastAsia"/>
          <w:color w:val="000000"/>
          <w:sz w:val="24"/>
        </w:rPr>
        <w:t>2</w:t>
      </w:r>
      <w:r>
        <w:rPr>
          <w:color w:val="000000"/>
          <w:sz w:val="24"/>
        </w:rPr>
        <w:t>,053MW</w:t>
      </w:r>
      <w:r>
        <w:rPr>
          <w:rFonts w:hint="eastAsia"/>
          <w:color w:val="000000"/>
          <w:sz w:val="24"/>
        </w:rPr>
        <w:t>。</w:t>
      </w:r>
      <w:r>
        <w:rPr>
          <w:color w:val="000000"/>
          <w:sz w:val="24"/>
        </w:rPr>
        <w:t xml:space="preserve"> </w:t>
      </w:r>
    </w:p>
    <w:p w14:paraId="1B1BBEE2" w14:textId="57035149" w:rsidR="00FC5A62" w:rsidRDefault="00C76273" w:rsidP="004F6D07">
      <w:pPr>
        <w:spacing w:beforeLines="50" w:before="156" w:afterLines="50" w:after="156" w:line="360" w:lineRule="auto"/>
        <w:ind w:firstLineChars="200" w:firstLine="480"/>
        <w:rPr>
          <w:color w:val="000000"/>
          <w:sz w:val="24"/>
        </w:rPr>
      </w:pPr>
      <w:r>
        <w:rPr>
          <w:rFonts w:hint="eastAsia"/>
          <w:color w:val="000000"/>
          <w:sz w:val="24"/>
        </w:rPr>
        <w:t>综上所述，标的公司已经为未来美国市场销售做好了充足的准备，其产品能够实现顺利销售。</w:t>
      </w:r>
    </w:p>
    <w:p w14:paraId="12769B2D" w14:textId="77777777" w:rsidR="00FC5A62" w:rsidRDefault="00C76273" w:rsidP="004F6D07">
      <w:pPr>
        <w:spacing w:beforeLines="50" w:before="156" w:afterLines="50" w:after="156" w:line="360" w:lineRule="auto"/>
        <w:ind w:firstLineChars="200" w:firstLine="482"/>
        <w:outlineLvl w:val="3"/>
        <w:rPr>
          <w:b/>
          <w:bCs/>
          <w:color w:val="000000"/>
          <w:sz w:val="24"/>
        </w:rPr>
      </w:pPr>
      <w:r>
        <w:rPr>
          <w:rFonts w:hint="eastAsia"/>
          <w:b/>
          <w:bCs/>
          <w:color w:val="000000"/>
          <w:sz w:val="24"/>
        </w:rPr>
        <w:t>（三）是否可能出现价格大幅下滑的问题</w:t>
      </w:r>
    </w:p>
    <w:p w14:paraId="6B2BD43A" w14:textId="35523017" w:rsidR="00FC5A62" w:rsidRDefault="00C76273" w:rsidP="004F6D07">
      <w:pPr>
        <w:spacing w:beforeLines="50" w:before="156" w:afterLines="50" w:after="156" w:line="360" w:lineRule="auto"/>
        <w:ind w:firstLineChars="200" w:firstLine="480"/>
        <w:rPr>
          <w:color w:val="000000"/>
          <w:sz w:val="24"/>
        </w:rPr>
      </w:pPr>
      <w:r>
        <w:rPr>
          <w:rFonts w:hint="eastAsia"/>
          <w:color w:val="000000"/>
          <w:sz w:val="24"/>
        </w:rPr>
        <w:t>光伏组件成本是光伏发电成本的重要组成部分，光伏组件成本下降是行业发展的必然趋势，得益于此，光伏电站安装成本持续下降，促使光伏发电成为了全球主流的新能源。中短期来看，光伏组件价格受到市场供需、原材料价格、运输成本、贸易关税等多重因素的影响。例如，由于</w:t>
      </w:r>
      <w:r>
        <w:rPr>
          <w:rFonts w:hint="eastAsia"/>
          <w:color w:val="000000"/>
          <w:sz w:val="24"/>
        </w:rPr>
        <w:t>2</w:t>
      </w:r>
      <w:r>
        <w:rPr>
          <w:color w:val="000000"/>
          <w:sz w:val="24"/>
        </w:rPr>
        <w:t>021-2022</w:t>
      </w:r>
      <w:r>
        <w:rPr>
          <w:rFonts w:hint="eastAsia"/>
          <w:color w:val="000000"/>
          <w:sz w:val="24"/>
        </w:rPr>
        <w:t>年光伏多晶硅的供不应求，全球市场的光伏组件平均价格由</w:t>
      </w:r>
      <w:r>
        <w:rPr>
          <w:rFonts w:hint="eastAsia"/>
          <w:color w:val="000000"/>
          <w:sz w:val="24"/>
        </w:rPr>
        <w:t>0</w:t>
      </w:r>
      <w:r>
        <w:rPr>
          <w:color w:val="000000"/>
          <w:sz w:val="24"/>
        </w:rPr>
        <w:t>.17</w:t>
      </w:r>
      <w:r>
        <w:rPr>
          <w:rFonts w:hint="eastAsia"/>
          <w:color w:val="000000"/>
          <w:sz w:val="24"/>
        </w:rPr>
        <w:t>美元</w:t>
      </w:r>
      <w:r>
        <w:rPr>
          <w:rFonts w:hint="eastAsia"/>
          <w:color w:val="000000"/>
          <w:sz w:val="24"/>
        </w:rPr>
        <w:t>/</w:t>
      </w:r>
      <w:r>
        <w:rPr>
          <w:color w:val="000000"/>
          <w:sz w:val="24"/>
        </w:rPr>
        <w:t>W</w:t>
      </w:r>
      <w:r>
        <w:rPr>
          <w:rFonts w:hint="eastAsia"/>
          <w:color w:val="000000"/>
          <w:sz w:val="24"/>
        </w:rPr>
        <w:t>上涨至</w:t>
      </w:r>
      <w:r>
        <w:rPr>
          <w:color w:val="000000"/>
          <w:sz w:val="24"/>
        </w:rPr>
        <w:t>0.22</w:t>
      </w:r>
      <w:r>
        <w:rPr>
          <w:rFonts w:hint="eastAsia"/>
          <w:color w:val="000000"/>
          <w:sz w:val="24"/>
        </w:rPr>
        <w:t>美元</w:t>
      </w:r>
      <w:r>
        <w:rPr>
          <w:rFonts w:hint="eastAsia"/>
          <w:color w:val="000000"/>
          <w:sz w:val="24"/>
        </w:rPr>
        <w:t>/</w:t>
      </w:r>
      <w:r>
        <w:rPr>
          <w:color w:val="000000"/>
          <w:sz w:val="24"/>
        </w:rPr>
        <w:t>W</w:t>
      </w:r>
      <w:r>
        <w:rPr>
          <w:rFonts w:hint="eastAsia"/>
          <w:color w:val="000000"/>
          <w:sz w:val="24"/>
        </w:rPr>
        <w:t>；现阶段，由于光伏多晶硅供给充足，加之光伏辅材成本下降、光电转换效率提升以及行业竞争加剧等因素的影响，全球市场光伏组件平均价格下跌至</w:t>
      </w:r>
      <w:r>
        <w:rPr>
          <w:rFonts w:hint="eastAsia"/>
          <w:color w:val="000000"/>
          <w:sz w:val="24"/>
        </w:rPr>
        <w:t>0</w:t>
      </w:r>
      <w:r>
        <w:rPr>
          <w:color w:val="000000"/>
          <w:sz w:val="24"/>
        </w:rPr>
        <w:t>.13</w:t>
      </w:r>
      <w:r>
        <w:rPr>
          <w:rFonts w:hint="eastAsia"/>
          <w:color w:val="000000"/>
          <w:sz w:val="24"/>
        </w:rPr>
        <w:t>美元</w:t>
      </w:r>
      <w:r>
        <w:rPr>
          <w:rFonts w:hint="eastAsia"/>
          <w:color w:val="000000"/>
          <w:sz w:val="24"/>
        </w:rPr>
        <w:t>/</w:t>
      </w:r>
      <w:r>
        <w:rPr>
          <w:color w:val="000000"/>
          <w:sz w:val="24"/>
        </w:rPr>
        <w:t>W</w:t>
      </w:r>
      <w:r>
        <w:rPr>
          <w:rFonts w:hint="eastAsia"/>
          <w:color w:val="000000"/>
          <w:sz w:val="24"/>
        </w:rPr>
        <w:t>。</w:t>
      </w:r>
    </w:p>
    <w:p w14:paraId="0B79AED5" w14:textId="02D615B4" w:rsidR="00FC5A62" w:rsidRDefault="00C76273" w:rsidP="004F6D07">
      <w:pPr>
        <w:spacing w:beforeLines="50" w:before="156" w:afterLines="50" w:after="156" w:line="360" w:lineRule="auto"/>
        <w:ind w:firstLineChars="200" w:firstLine="480"/>
        <w:rPr>
          <w:color w:val="000000"/>
          <w:sz w:val="24"/>
        </w:rPr>
      </w:pPr>
      <w:r>
        <w:rPr>
          <w:rFonts w:hint="eastAsia"/>
          <w:color w:val="000000"/>
          <w:sz w:val="24"/>
        </w:rPr>
        <w:t>但由于美国市场本土产能不足，并且存在严格的贸易保护政策，美国光</w:t>
      </w:r>
      <w:proofErr w:type="gramStart"/>
      <w:r>
        <w:rPr>
          <w:rFonts w:hint="eastAsia"/>
          <w:color w:val="000000"/>
          <w:sz w:val="24"/>
        </w:rPr>
        <w:t>伏市场</w:t>
      </w:r>
      <w:proofErr w:type="gramEnd"/>
      <w:r>
        <w:rPr>
          <w:rFonts w:hint="eastAsia"/>
          <w:color w:val="000000"/>
          <w:sz w:val="24"/>
        </w:rPr>
        <w:t>相对封闭，且与主流市场存在明显的价格差异。从历史情况来看，美国主流光伏组件价格由</w:t>
      </w:r>
      <w:r>
        <w:rPr>
          <w:rFonts w:hint="eastAsia"/>
          <w:color w:val="000000"/>
          <w:sz w:val="24"/>
        </w:rPr>
        <w:t>2020</w:t>
      </w:r>
      <w:r>
        <w:rPr>
          <w:rFonts w:hint="eastAsia"/>
          <w:color w:val="000000"/>
          <w:sz w:val="24"/>
        </w:rPr>
        <w:t>年</w:t>
      </w:r>
      <w:r>
        <w:rPr>
          <w:rFonts w:hint="eastAsia"/>
          <w:color w:val="000000"/>
          <w:sz w:val="24"/>
        </w:rPr>
        <w:t>3</w:t>
      </w:r>
      <w:r>
        <w:rPr>
          <w:rFonts w:hint="eastAsia"/>
          <w:color w:val="000000"/>
          <w:sz w:val="24"/>
        </w:rPr>
        <w:t>月的</w:t>
      </w:r>
      <w:r>
        <w:rPr>
          <w:rFonts w:hint="eastAsia"/>
          <w:color w:val="000000"/>
          <w:sz w:val="24"/>
        </w:rPr>
        <w:t>0.41</w:t>
      </w:r>
      <w:r>
        <w:rPr>
          <w:rFonts w:hint="eastAsia"/>
          <w:color w:val="000000"/>
          <w:sz w:val="24"/>
        </w:rPr>
        <w:t>美元</w:t>
      </w:r>
      <w:r>
        <w:rPr>
          <w:rFonts w:hint="eastAsia"/>
          <w:color w:val="000000"/>
          <w:sz w:val="24"/>
        </w:rPr>
        <w:t>/W</w:t>
      </w:r>
      <w:r>
        <w:rPr>
          <w:rFonts w:hint="eastAsia"/>
          <w:color w:val="000000"/>
          <w:sz w:val="24"/>
        </w:rPr>
        <w:t>降低至现阶段的</w:t>
      </w:r>
      <w:r>
        <w:rPr>
          <w:rFonts w:hint="eastAsia"/>
          <w:color w:val="000000"/>
          <w:sz w:val="24"/>
        </w:rPr>
        <w:t>0.36</w:t>
      </w:r>
      <w:r>
        <w:rPr>
          <w:rFonts w:hint="eastAsia"/>
          <w:color w:val="000000"/>
          <w:sz w:val="24"/>
        </w:rPr>
        <w:t>美元</w:t>
      </w:r>
      <w:r>
        <w:rPr>
          <w:rFonts w:hint="eastAsia"/>
          <w:color w:val="000000"/>
          <w:sz w:val="24"/>
        </w:rPr>
        <w:t>/W</w:t>
      </w:r>
      <w:r>
        <w:rPr>
          <w:rFonts w:hint="eastAsia"/>
          <w:color w:val="000000"/>
          <w:sz w:val="24"/>
        </w:rPr>
        <w:t>，符合行业发展的长期趋势，但相较于全球市场，美国市场由于</w:t>
      </w:r>
      <w:r>
        <w:rPr>
          <w:rFonts w:hint="eastAsia"/>
          <w:color w:val="000000"/>
          <w:sz w:val="24"/>
        </w:rPr>
        <w:t>ITC</w:t>
      </w:r>
      <w:r>
        <w:rPr>
          <w:rFonts w:hint="eastAsia"/>
          <w:color w:val="000000"/>
          <w:sz w:val="24"/>
        </w:rPr>
        <w:t>等补贴政策的存在，美国光伏组件出货平均价格始终保持</w:t>
      </w:r>
      <w:r>
        <w:rPr>
          <w:rFonts w:hint="eastAsia"/>
          <w:color w:val="000000"/>
          <w:sz w:val="24"/>
        </w:rPr>
        <w:t>0.32</w:t>
      </w:r>
      <w:r>
        <w:rPr>
          <w:rFonts w:hint="eastAsia"/>
          <w:color w:val="000000"/>
          <w:sz w:val="24"/>
        </w:rPr>
        <w:t>美元</w:t>
      </w:r>
      <w:r>
        <w:rPr>
          <w:rFonts w:hint="eastAsia"/>
          <w:color w:val="000000"/>
          <w:sz w:val="24"/>
        </w:rPr>
        <w:t>/W</w:t>
      </w:r>
      <w:r>
        <w:rPr>
          <w:rFonts w:hint="eastAsia"/>
          <w:color w:val="000000"/>
          <w:sz w:val="24"/>
        </w:rPr>
        <w:t>以上的较高价格。</w:t>
      </w:r>
    </w:p>
    <w:p w14:paraId="1BA46D51" w14:textId="51DD7DC8" w:rsidR="00FC5A62" w:rsidRPr="00D538FD" w:rsidRDefault="00C76273">
      <w:r>
        <w:rPr>
          <w:noProof/>
          <w:color w:val="000000"/>
          <w:sz w:val="24"/>
        </w:rPr>
        <w:lastRenderedPageBreak/>
        <w:drawing>
          <wp:anchor distT="0" distB="0" distL="114300" distR="114300" simplePos="0" relativeHeight="251661312" behindDoc="0" locked="0" layoutInCell="1" allowOverlap="1" wp14:anchorId="11A219EA" wp14:editId="12C8F3B6">
            <wp:simplePos x="0" y="0"/>
            <wp:positionH relativeFrom="margin">
              <wp:align>center</wp:align>
            </wp:positionH>
            <wp:positionV relativeFrom="paragraph">
              <wp:posOffset>185420</wp:posOffset>
            </wp:positionV>
            <wp:extent cx="5400040" cy="3236595"/>
            <wp:effectExtent l="0" t="0" r="0" b="2540"/>
            <wp:wrapSquare wrapText="bothSides"/>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400000" cy="3236400"/>
                    </a:xfrm>
                    <a:prstGeom prst="rect">
                      <a:avLst/>
                    </a:prstGeom>
                  </pic:spPr>
                </pic:pic>
              </a:graphicData>
            </a:graphic>
          </wp:anchor>
        </w:drawing>
      </w:r>
      <w:r>
        <w:rPr>
          <w:rFonts w:hint="eastAsia"/>
        </w:rPr>
        <w:t>数据来源：同花顺</w:t>
      </w:r>
      <w:proofErr w:type="spellStart"/>
      <w:r>
        <w:rPr>
          <w:rFonts w:hint="eastAsia"/>
        </w:rPr>
        <w:t>iFinD</w:t>
      </w:r>
      <w:proofErr w:type="spellEnd"/>
    </w:p>
    <w:p w14:paraId="0E028C3A" w14:textId="4D0DA276" w:rsidR="00FC5A62" w:rsidRDefault="00C76273" w:rsidP="00FB7003">
      <w:pPr>
        <w:spacing w:beforeLines="50" w:before="156" w:afterLines="50" w:after="156" w:line="360" w:lineRule="auto"/>
        <w:ind w:firstLineChars="200" w:firstLine="480"/>
        <w:rPr>
          <w:color w:val="000000"/>
          <w:sz w:val="24"/>
        </w:rPr>
      </w:pPr>
      <w:r>
        <w:rPr>
          <w:rFonts w:hint="eastAsia"/>
          <w:color w:val="000000"/>
          <w:sz w:val="24"/>
        </w:rPr>
        <w:t>美国是标的公司核心的下游销售市场，其销售价格预期不会出现大幅下滑情况，具体分析如下：</w:t>
      </w:r>
    </w:p>
    <w:p w14:paraId="12CA51B5" w14:textId="1F1E755E" w:rsidR="00FC5A62" w:rsidRDefault="00C76273" w:rsidP="00FB7003">
      <w:pPr>
        <w:spacing w:beforeLines="50" w:before="156" w:afterLines="50" w:after="156" w:line="360" w:lineRule="auto"/>
        <w:ind w:firstLineChars="200" w:firstLine="480"/>
        <w:rPr>
          <w:color w:val="000000"/>
          <w:sz w:val="24"/>
        </w:rPr>
      </w:pPr>
      <w:r>
        <w:rPr>
          <w:rFonts w:hint="eastAsia"/>
          <w:color w:val="000000"/>
          <w:sz w:val="24"/>
        </w:rPr>
        <w:t>首先，标的公司光伏组件产品在美国下游应用以大型地面电站为主，此类电站由于投资规模较大，其对组件供应商的选择较为慎重，需要通过项目投资人、银行以及税务投资人、第三方认证机构的层层把关，其中投资人和银行更注重供应商以及产品的可靠性以及交付能力。同时，大型地面电站的审批周期较长，且一般是先取得银行的融资贷款再启动建设，为了满足银行贷款审批要求，项目投资人或者电站</w:t>
      </w:r>
      <w:r>
        <w:rPr>
          <w:rFonts w:hint="eastAsia"/>
          <w:color w:val="000000"/>
          <w:sz w:val="24"/>
        </w:rPr>
        <w:t>EPC</w:t>
      </w:r>
      <w:r>
        <w:rPr>
          <w:rFonts w:hint="eastAsia"/>
          <w:color w:val="000000"/>
          <w:sz w:val="24"/>
        </w:rPr>
        <w:t>方都需要提早确定项目的光伏组件采购渠道，这就推动了美国大型地面电站的光伏组件采购由现货市场转变为期货市场，因此短期的原材料价格波动或者价格竞争不会直接导致组件价格大幅下滑。从标的公司已经签署的订单情况来看，于</w:t>
      </w:r>
      <w:r>
        <w:rPr>
          <w:rFonts w:hint="eastAsia"/>
          <w:color w:val="000000"/>
          <w:sz w:val="24"/>
        </w:rPr>
        <w:t>2025</w:t>
      </w:r>
      <w:r>
        <w:rPr>
          <w:rFonts w:hint="eastAsia"/>
          <w:color w:val="000000"/>
          <w:sz w:val="24"/>
        </w:rPr>
        <w:t>年交付产品的订单价格相较于报告期亦没有出现大幅下滑的情况。报告期内，标的公司光伏组件的平均销售价格分别为</w:t>
      </w:r>
      <w:r>
        <w:rPr>
          <w:rFonts w:hint="eastAsia"/>
          <w:color w:val="000000"/>
          <w:sz w:val="24"/>
        </w:rPr>
        <w:t>0</w:t>
      </w:r>
      <w:r>
        <w:rPr>
          <w:color w:val="000000"/>
          <w:sz w:val="24"/>
        </w:rPr>
        <w:t>.31</w:t>
      </w:r>
      <w:r>
        <w:rPr>
          <w:rFonts w:hint="eastAsia"/>
          <w:color w:val="000000"/>
          <w:sz w:val="24"/>
        </w:rPr>
        <w:t>美元</w:t>
      </w:r>
      <w:r>
        <w:rPr>
          <w:rFonts w:hint="eastAsia"/>
          <w:color w:val="000000"/>
          <w:sz w:val="24"/>
        </w:rPr>
        <w:t>/W</w:t>
      </w:r>
      <w:r>
        <w:rPr>
          <w:rFonts w:hint="eastAsia"/>
          <w:color w:val="000000"/>
          <w:sz w:val="24"/>
        </w:rPr>
        <w:t>、</w:t>
      </w:r>
      <w:r>
        <w:rPr>
          <w:rFonts w:hint="eastAsia"/>
          <w:color w:val="000000"/>
          <w:sz w:val="24"/>
        </w:rPr>
        <w:t>0</w:t>
      </w:r>
      <w:r>
        <w:rPr>
          <w:color w:val="000000"/>
          <w:sz w:val="24"/>
        </w:rPr>
        <w:t>.39</w:t>
      </w:r>
      <w:r>
        <w:rPr>
          <w:rFonts w:hint="eastAsia"/>
          <w:color w:val="000000"/>
          <w:sz w:val="24"/>
        </w:rPr>
        <w:t>美元</w:t>
      </w:r>
      <w:r>
        <w:rPr>
          <w:rFonts w:hint="eastAsia"/>
          <w:color w:val="000000"/>
          <w:sz w:val="24"/>
        </w:rPr>
        <w:t>/W</w:t>
      </w:r>
      <w:r>
        <w:rPr>
          <w:rFonts w:hint="eastAsia"/>
          <w:color w:val="000000"/>
          <w:sz w:val="24"/>
        </w:rPr>
        <w:t>、</w:t>
      </w:r>
      <w:r>
        <w:rPr>
          <w:rFonts w:hint="eastAsia"/>
          <w:color w:val="000000"/>
          <w:sz w:val="24"/>
        </w:rPr>
        <w:t>0</w:t>
      </w:r>
      <w:r>
        <w:rPr>
          <w:color w:val="000000"/>
          <w:sz w:val="24"/>
        </w:rPr>
        <w:t>.40</w:t>
      </w:r>
      <w:r>
        <w:rPr>
          <w:rFonts w:hint="eastAsia"/>
          <w:color w:val="000000"/>
          <w:sz w:val="24"/>
        </w:rPr>
        <w:t>美元</w:t>
      </w:r>
      <w:r>
        <w:rPr>
          <w:rFonts w:hint="eastAsia"/>
          <w:color w:val="000000"/>
          <w:sz w:val="24"/>
        </w:rPr>
        <w:t>/W</w:t>
      </w:r>
      <w:r>
        <w:rPr>
          <w:rFonts w:hint="eastAsia"/>
          <w:color w:val="000000"/>
          <w:sz w:val="24"/>
        </w:rPr>
        <w:t>，呈现一定的上升趋势，略高于美国市场光伏组件出货平均价格。</w:t>
      </w:r>
    </w:p>
    <w:p w14:paraId="71B94FC1" w14:textId="6E894B39" w:rsidR="00FC5A62" w:rsidRDefault="00C76273" w:rsidP="00FB7003">
      <w:pPr>
        <w:spacing w:beforeLines="50" w:before="156" w:afterLines="50" w:after="156" w:line="360" w:lineRule="auto"/>
        <w:ind w:firstLineChars="200" w:firstLine="480"/>
        <w:rPr>
          <w:color w:val="000000"/>
          <w:sz w:val="24"/>
        </w:rPr>
      </w:pPr>
      <w:r>
        <w:rPr>
          <w:rFonts w:hint="eastAsia"/>
          <w:color w:val="000000"/>
          <w:sz w:val="24"/>
        </w:rPr>
        <w:t>另外，美国存在严格的贸易保护政策和进口限制。因此，各家企业需要布局海外供应链，包括硅料、硅片以及电池组件的主要原辅材料。一方面海外供应</w:t>
      </w:r>
      <w:proofErr w:type="gramStart"/>
      <w:r>
        <w:rPr>
          <w:rFonts w:hint="eastAsia"/>
          <w:color w:val="000000"/>
          <w:sz w:val="24"/>
        </w:rPr>
        <w:t>链</w:t>
      </w:r>
      <w:r>
        <w:rPr>
          <w:rFonts w:hint="eastAsia"/>
          <w:color w:val="000000"/>
          <w:sz w:val="24"/>
        </w:rPr>
        <w:lastRenderedPageBreak/>
        <w:t>完善</w:t>
      </w:r>
      <w:proofErr w:type="gramEnd"/>
      <w:r>
        <w:rPr>
          <w:rFonts w:hint="eastAsia"/>
          <w:color w:val="000000"/>
          <w:sz w:val="24"/>
        </w:rPr>
        <w:t>需要一定的周期，另一方面海外供应</w:t>
      </w:r>
      <w:proofErr w:type="gramStart"/>
      <w:r>
        <w:rPr>
          <w:rFonts w:hint="eastAsia"/>
          <w:color w:val="000000"/>
          <w:sz w:val="24"/>
        </w:rPr>
        <w:t>链成本</w:t>
      </w:r>
      <w:proofErr w:type="gramEnd"/>
      <w:r>
        <w:rPr>
          <w:rFonts w:hint="eastAsia"/>
          <w:color w:val="000000"/>
          <w:sz w:val="24"/>
        </w:rPr>
        <w:t>相对较高，都对美国光伏组件价格有一定的支撑。在上述方面，标的公司均具有先发优势，可以拉开标的公司与中后段厂家的价格差距。</w:t>
      </w:r>
    </w:p>
    <w:p w14:paraId="6D359CEA" w14:textId="2417ACC4" w:rsidR="00FC5A62" w:rsidRDefault="00C76273" w:rsidP="00FB7003">
      <w:pPr>
        <w:spacing w:beforeLines="50" w:before="156" w:afterLines="50" w:after="156" w:line="360" w:lineRule="auto"/>
        <w:ind w:firstLineChars="200" w:firstLine="480"/>
        <w:rPr>
          <w:color w:val="000000"/>
          <w:sz w:val="24"/>
        </w:rPr>
      </w:pPr>
      <w:r>
        <w:rPr>
          <w:rFonts w:hint="eastAsia"/>
          <w:color w:val="000000"/>
          <w:sz w:val="24"/>
        </w:rPr>
        <w:t>此外，标的公司也可通过竞争策略、供应链管理、生产提升、技术迭代等多种方式降低产品成本，从而抵消组件价格下滑所带来的不利影响。</w:t>
      </w:r>
    </w:p>
    <w:p w14:paraId="3CD1BC50" w14:textId="77777777" w:rsidR="00FC5A62" w:rsidRDefault="00C76273" w:rsidP="00FB7003">
      <w:pPr>
        <w:spacing w:beforeLines="50" w:before="156" w:afterLines="50" w:after="156" w:line="360" w:lineRule="auto"/>
        <w:ind w:firstLineChars="200" w:firstLine="482"/>
        <w:outlineLvl w:val="2"/>
        <w:rPr>
          <w:b/>
          <w:bCs/>
          <w:color w:val="000000"/>
          <w:sz w:val="24"/>
        </w:rPr>
      </w:pPr>
      <w:r>
        <w:rPr>
          <w:rFonts w:hint="eastAsia"/>
          <w:b/>
          <w:bCs/>
          <w:color w:val="000000"/>
          <w:sz w:val="24"/>
        </w:rPr>
        <w:t>三、补充风险提示</w:t>
      </w:r>
    </w:p>
    <w:p w14:paraId="7D32E374" w14:textId="329CB969" w:rsidR="00FC5A62" w:rsidRDefault="00C76273" w:rsidP="00FB7003">
      <w:pPr>
        <w:spacing w:beforeLines="50" w:before="156" w:afterLines="50" w:after="156" w:line="360" w:lineRule="auto"/>
        <w:ind w:firstLineChars="200" w:firstLine="480"/>
        <w:rPr>
          <w:color w:val="000000"/>
          <w:sz w:val="24"/>
        </w:rPr>
      </w:pPr>
      <w:r>
        <w:rPr>
          <w:rFonts w:hint="eastAsia"/>
          <w:color w:val="000000"/>
          <w:sz w:val="24"/>
        </w:rPr>
        <w:t>上市公司已于《安徽省交通建设股份有限公司发行股份购买资产并募集配套资金暨关联交易预案（修订稿）》“重大风险提示”之“二、与标的公司相关的风险”之“（八）光伏行业存在产能过剩的风险”、“（九）产品销售受到影响的风险”以及“（十）产品价格出现下滑的风险”</w:t>
      </w:r>
      <w:r w:rsidR="006350BD">
        <w:rPr>
          <w:rFonts w:hint="eastAsia"/>
          <w:color w:val="000000"/>
          <w:sz w:val="24"/>
        </w:rPr>
        <w:t>和“第八节</w:t>
      </w:r>
      <w:r w:rsidR="006350BD">
        <w:rPr>
          <w:rFonts w:hint="eastAsia"/>
          <w:color w:val="000000"/>
          <w:sz w:val="24"/>
        </w:rPr>
        <w:t xml:space="preserve"> </w:t>
      </w:r>
      <w:r w:rsidR="006350BD">
        <w:rPr>
          <w:rFonts w:hint="eastAsia"/>
          <w:color w:val="000000"/>
          <w:sz w:val="24"/>
        </w:rPr>
        <w:t>风险因素”之“二、与标的公司相关的风险”之“（八）光伏行业存在产能过剩的风险”、“（九）产品销售受到影响的风险”以及“（十）产品价格出现下滑的风险”</w:t>
      </w:r>
      <w:r>
        <w:rPr>
          <w:rFonts w:hint="eastAsia"/>
          <w:color w:val="000000"/>
          <w:sz w:val="24"/>
        </w:rPr>
        <w:t>中</w:t>
      </w:r>
      <w:r w:rsidR="00690C12">
        <w:rPr>
          <w:rFonts w:hint="eastAsia"/>
          <w:color w:val="000000"/>
          <w:sz w:val="24"/>
        </w:rPr>
        <w:t>均</w:t>
      </w:r>
      <w:r>
        <w:rPr>
          <w:rFonts w:hint="eastAsia"/>
          <w:color w:val="000000"/>
          <w:sz w:val="24"/>
        </w:rPr>
        <w:t>进行了补充风险提示。具体如下：</w:t>
      </w:r>
    </w:p>
    <w:p w14:paraId="244CC51D" w14:textId="77777777" w:rsidR="00FC5A62" w:rsidRDefault="00C76273" w:rsidP="00FB7003">
      <w:pPr>
        <w:spacing w:beforeLines="50" w:before="156" w:afterLines="50" w:after="156" w:line="360" w:lineRule="auto"/>
        <w:ind w:firstLineChars="200" w:firstLine="480"/>
        <w:rPr>
          <w:color w:val="000000"/>
          <w:sz w:val="24"/>
        </w:rPr>
      </w:pPr>
      <w:r>
        <w:rPr>
          <w:rFonts w:hint="eastAsia"/>
          <w:color w:val="000000"/>
          <w:sz w:val="24"/>
        </w:rPr>
        <w:t>“（八）光伏行业存在产能过剩的风险</w:t>
      </w:r>
    </w:p>
    <w:p w14:paraId="3032B9A3" w14:textId="3A542851" w:rsidR="00FC5A62" w:rsidRDefault="00C76273" w:rsidP="00FB7003">
      <w:pPr>
        <w:spacing w:beforeLines="50" w:before="156" w:afterLines="50" w:after="156" w:line="360" w:lineRule="auto"/>
        <w:ind w:firstLineChars="200" w:firstLine="480"/>
        <w:rPr>
          <w:color w:val="000000"/>
          <w:sz w:val="24"/>
        </w:rPr>
      </w:pPr>
      <w:r>
        <w:rPr>
          <w:rFonts w:hint="eastAsia"/>
          <w:color w:val="000000"/>
          <w:sz w:val="24"/>
        </w:rPr>
        <w:t>全球光</w:t>
      </w:r>
      <w:proofErr w:type="gramStart"/>
      <w:r>
        <w:rPr>
          <w:rFonts w:hint="eastAsia"/>
          <w:color w:val="000000"/>
          <w:sz w:val="24"/>
        </w:rPr>
        <w:t>伏行业</w:t>
      </w:r>
      <w:proofErr w:type="gramEnd"/>
      <w:r>
        <w:rPr>
          <w:rFonts w:hint="eastAsia"/>
          <w:color w:val="000000"/>
          <w:sz w:val="24"/>
        </w:rPr>
        <w:t>处于高速发展阶段，行业内企业充分竞争，随着光</w:t>
      </w:r>
      <w:proofErr w:type="gramStart"/>
      <w:r>
        <w:rPr>
          <w:rFonts w:hint="eastAsia"/>
          <w:color w:val="000000"/>
          <w:sz w:val="24"/>
        </w:rPr>
        <w:t>伏行业</w:t>
      </w:r>
      <w:proofErr w:type="gramEnd"/>
      <w:r>
        <w:rPr>
          <w:rFonts w:hint="eastAsia"/>
          <w:color w:val="000000"/>
          <w:sz w:val="24"/>
        </w:rPr>
        <w:t>各环节主要企业持续扩张产能，导致市场新增产能大幅增加，抑或是下游应用市场增速阶段性低于产能扩张速度，将进一步加剧竞争，导致市场供过于求</w:t>
      </w:r>
      <w:r w:rsidR="007519FA">
        <w:rPr>
          <w:rFonts w:hint="eastAsia"/>
          <w:color w:val="000000"/>
          <w:sz w:val="24"/>
        </w:rPr>
        <w:t>。根据第三</w:t>
      </w:r>
      <w:proofErr w:type="gramStart"/>
      <w:r w:rsidR="007519FA">
        <w:rPr>
          <w:rFonts w:hint="eastAsia"/>
          <w:color w:val="000000"/>
          <w:sz w:val="24"/>
        </w:rPr>
        <w:t>方咨询</w:t>
      </w:r>
      <w:proofErr w:type="gramEnd"/>
      <w:r w:rsidR="007519FA">
        <w:rPr>
          <w:rFonts w:hint="eastAsia"/>
          <w:color w:val="000000"/>
          <w:sz w:val="24"/>
        </w:rPr>
        <w:t>机构</w:t>
      </w:r>
      <w:proofErr w:type="spellStart"/>
      <w:r w:rsidR="007519FA">
        <w:rPr>
          <w:rFonts w:hint="eastAsia"/>
          <w:color w:val="000000"/>
          <w:sz w:val="24"/>
        </w:rPr>
        <w:t>InfoLink</w:t>
      </w:r>
      <w:proofErr w:type="spellEnd"/>
      <w:r w:rsidR="007519FA">
        <w:rPr>
          <w:rFonts w:hint="eastAsia"/>
          <w:color w:val="000000"/>
          <w:sz w:val="24"/>
        </w:rPr>
        <w:t xml:space="preserve"> Consulting</w:t>
      </w:r>
      <w:r w:rsidR="007519FA">
        <w:rPr>
          <w:rFonts w:hint="eastAsia"/>
          <w:color w:val="000000"/>
          <w:sz w:val="24"/>
        </w:rPr>
        <w:t>评估显示，</w:t>
      </w:r>
      <w:r w:rsidR="007519FA">
        <w:rPr>
          <w:rFonts w:hint="eastAsia"/>
          <w:color w:val="000000"/>
          <w:sz w:val="24"/>
        </w:rPr>
        <w:t>2023</w:t>
      </w:r>
      <w:r w:rsidR="007519FA">
        <w:rPr>
          <w:rFonts w:hint="eastAsia"/>
          <w:color w:val="000000"/>
          <w:sz w:val="24"/>
        </w:rPr>
        <w:t>年全球光伏装机需求乐观预计为</w:t>
      </w:r>
      <w:r w:rsidR="007519FA">
        <w:rPr>
          <w:rFonts w:hint="eastAsia"/>
          <w:color w:val="000000"/>
          <w:sz w:val="24"/>
        </w:rPr>
        <w:t>398GW</w:t>
      </w:r>
      <w:r w:rsidR="007519FA">
        <w:rPr>
          <w:rFonts w:hint="eastAsia"/>
          <w:color w:val="000000"/>
          <w:sz w:val="24"/>
        </w:rPr>
        <w:t>，而</w:t>
      </w:r>
      <w:r w:rsidR="007519FA">
        <w:rPr>
          <w:rFonts w:hint="eastAsia"/>
          <w:color w:val="000000"/>
          <w:sz w:val="24"/>
        </w:rPr>
        <w:t>2023</w:t>
      </w:r>
      <w:r w:rsidR="007519FA">
        <w:rPr>
          <w:rFonts w:hint="eastAsia"/>
          <w:color w:val="000000"/>
          <w:sz w:val="24"/>
        </w:rPr>
        <w:t>年底预计各环节总产能将超过</w:t>
      </w:r>
      <w:r w:rsidR="007519FA">
        <w:rPr>
          <w:rFonts w:hint="eastAsia"/>
          <w:color w:val="000000"/>
          <w:sz w:val="24"/>
        </w:rPr>
        <w:t>800GW</w:t>
      </w:r>
      <w:r w:rsidR="007519FA">
        <w:rPr>
          <w:rFonts w:hint="eastAsia"/>
          <w:color w:val="000000"/>
          <w:sz w:val="24"/>
        </w:rPr>
        <w:t>。此外，</w:t>
      </w:r>
      <w:r>
        <w:rPr>
          <w:rFonts w:hint="eastAsia"/>
          <w:color w:val="000000"/>
          <w:sz w:val="24"/>
        </w:rPr>
        <w:t>上下游扩产周期不同</w:t>
      </w:r>
      <w:r w:rsidR="007519FA">
        <w:rPr>
          <w:rFonts w:hint="eastAsia"/>
          <w:color w:val="000000"/>
          <w:sz w:val="24"/>
        </w:rPr>
        <w:t>亦将可能</w:t>
      </w:r>
      <w:r>
        <w:rPr>
          <w:rFonts w:hint="eastAsia"/>
          <w:color w:val="000000"/>
          <w:sz w:val="24"/>
        </w:rPr>
        <w:t>造成产能</w:t>
      </w:r>
      <w:r w:rsidR="007519FA">
        <w:rPr>
          <w:rFonts w:hint="eastAsia"/>
          <w:color w:val="000000"/>
          <w:sz w:val="24"/>
        </w:rPr>
        <w:t>的</w:t>
      </w:r>
      <w:r>
        <w:rPr>
          <w:rFonts w:hint="eastAsia"/>
          <w:color w:val="000000"/>
          <w:sz w:val="24"/>
        </w:rPr>
        <w:t>错配，</w:t>
      </w:r>
      <w:r w:rsidR="007519FA">
        <w:rPr>
          <w:rFonts w:hint="eastAsia"/>
          <w:color w:val="000000"/>
          <w:sz w:val="24"/>
        </w:rPr>
        <w:t>因此</w:t>
      </w:r>
      <w:r>
        <w:rPr>
          <w:rFonts w:hint="eastAsia"/>
          <w:color w:val="000000"/>
          <w:sz w:val="24"/>
        </w:rPr>
        <w:t>光</w:t>
      </w:r>
      <w:proofErr w:type="gramStart"/>
      <w:r>
        <w:rPr>
          <w:rFonts w:hint="eastAsia"/>
          <w:color w:val="000000"/>
          <w:sz w:val="24"/>
        </w:rPr>
        <w:t>伏行业</w:t>
      </w:r>
      <w:proofErr w:type="gramEnd"/>
      <w:r>
        <w:rPr>
          <w:rFonts w:hint="eastAsia"/>
          <w:color w:val="000000"/>
          <w:sz w:val="24"/>
        </w:rPr>
        <w:t>面临阶段性产能过剩的风险</w:t>
      </w:r>
      <w:r w:rsidR="007519FA">
        <w:rPr>
          <w:rFonts w:hint="eastAsia"/>
          <w:color w:val="000000"/>
          <w:sz w:val="24"/>
        </w:rPr>
        <w:t>。</w:t>
      </w:r>
      <w:r>
        <w:rPr>
          <w:rFonts w:hint="eastAsia"/>
          <w:color w:val="000000"/>
          <w:sz w:val="24"/>
        </w:rPr>
        <w:t>但从产能的先进性和产能的全球分布来看，仍存在区域结构性紧缺和不平衡的情况。</w:t>
      </w:r>
    </w:p>
    <w:p w14:paraId="4CCC0D76" w14:textId="77777777" w:rsidR="00FC5A62" w:rsidRDefault="00C76273" w:rsidP="00FB7003">
      <w:pPr>
        <w:spacing w:beforeLines="50" w:before="156" w:afterLines="50" w:after="156" w:line="360" w:lineRule="auto"/>
        <w:ind w:firstLineChars="200" w:firstLine="480"/>
        <w:rPr>
          <w:color w:val="000000"/>
          <w:sz w:val="24"/>
        </w:rPr>
      </w:pPr>
      <w:r>
        <w:rPr>
          <w:rFonts w:hint="eastAsia"/>
          <w:color w:val="000000"/>
          <w:sz w:val="24"/>
        </w:rPr>
        <w:t>（九）产品销售受到影响的风险</w:t>
      </w:r>
    </w:p>
    <w:p w14:paraId="4B2D521D" w14:textId="77777777" w:rsidR="00FC5A62" w:rsidRDefault="00C76273" w:rsidP="00FB7003">
      <w:pPr>
        <w:spacing w:beforeLines="50" w:before="156" w:afterLines="50" w:after="156" w:line="360" w:lineRule="auto"/>
        <w:ind w:firstLineChars="200" w:firstLine="480"/>
        <w:rPr>
          <w:color w:val="000000"/>
          <w:sz w:val="24"/>
        </w:rPr>
      </w:pPr>
      <w:r>
        <w:rPr>
          <w:rFonts w:hint="eastAsia"/>
          <w:color w:val="000000"/>
          <w:sz w:val="24"/>
        </w:rPr>
        <w:t>标的公司旗</w:t>
      </w:r>
      <w:proofErr w:type="gramStart"/>
      <w:r>
        <w:rPr>
          <w:rFonts w:hint="eastAsia"/>
          <w:color w:val="000000"/>
          <w:sz w:val="24"/>
        </w:rPr>
        <w:t>下品牌</w:t>
      </w:r>
      <w:proofErr w:type="gramEnd"/>
      <w:r>
        <w:rPr>
          <w:rFonts w:hint="eastAsia"/>
          <w:color w:val="000000"/>
          <w:sz w:val="24"/>
        </w:rPr>
        <w:t>ET Solar/</w:t>
      </w:r>
      <w:r>
        <w:rPr>
          <w:color w:val="000000"/>
          <w:sz w:val="24"/>
        </w:rPr>
        <w:t xml:space="preserve"> </w:t>
      </w:r>
      <w:proofErr w:type="spellStart"/>
      <w:r>
        <w:rPr>
          <w:rFonts w:hint="eastAsia"/>
          <w:color w:val="000000"/>
          <w:sz w:val="24"/>
        </w:rPr>
        <w:t>EliTe</w:t>
      </w:r>
      <w:proofErr w:type="spellEnd"/>
      <w:r>
        <w:rPr>
          <w:rFonts w:hint="eastAsia"/>
          <w:color w:val="000000"/>
          <w:sz w:val="24"/>
        </w:rPr>
        <w:t xml:space="preserve"> Solar</w:t>
      </w:r>
      <w:r>
        <w:rPr>
          <w:rFonts w:hint="eastAsia"/>
          <w:color w:val="000000"/>
          <w:sz w:val="24"/>
        </w:rPr>
        <w:t>在美国拥有良好的品牌基础，经过多年的深耕，积累了较好的客户基础，且在手订单较为充足，整体销售呈持续向好态势，但不排除未来受到国际政治关系、国际市场环境、税收环境、监管环境等多重因素的影响，以及可能面临国际关系变化及相关国家非理性竞争策略等不确定风险因素的影响，则标的公司将面临影响产品销售的风险。</w:t>
      </w:r>
    </w:p>
    <w:p w14:paraId="24B4121B" w14:textId="77777777" w:rsidR="00FC5A62" w:rsidRDefault="00C76273" w:rsidP="00FB7003">
      <w:pPr>
        <w:spacing w:beforeLines="50" w:before="156" w:afterLines="50" w:after="156" w:line="360" w:lineRule="auto"/>
        <w:ind w:firstLineChars="200" w:firstLine="480"/>
        <w:rPr>
          <w:color w:val="000000"/>
          <w:sz w:val="24"/>
        </w:rPr>
      </w:pPr>
      <w:r>
        <w:rPr>
          <w:rFonts w:hint="eastAsia"/>
          <w:color w:val="000000"/>
          <w:sz w:val="24"/>
        </w:rPr>
        <w:lastRenderedPageBreak/>
        <w:t>（十）产品价格出现下滑的风险</w:t>
      </w:r>
    </w:p>
    <w:p w14:paraId="2B275B0B" w14:textId="77777777" w:rsidR="00FC5A62" w:rsidRDefault="00C76273" w:rsidP="00FB7003">
      <w:pPr>
        <w:spacing w:beforeLines="50" w:before="156" w:afterLines="50" w:after="156" w:line="360" w:lineRule="auto"/>
        <w:ind w:firstLineChars="200" w:firstLine="480"/>
        <w:rPr>
          <w:color w:val="000000"/>
          <w:sz w:val="24"/>
        </w:rPr>
      </w:pPr>
      <w:r>
        <w:rPr>
          <w:rFonts w:hint="eastAsia"/>
          <w:color w:val="000000"/>
          <w:sz w:val="24"/>
        </w:rPr>
        <w:t>近年来，在国内外广阔光</w:t>
      </w:r>
      <w:proofErr w:type="gramStart"/>
      <w:r>
        <w:rPr>
          <w:rFonts w:hint="eastAsia"/>
          <w:color w:val="000000"/>
          <w:sz w:val="24"/>
        </w:rPr>
        <w:t>伏市场</w:t>
      </w:r>
      <w:proofErr w:type="gramEnd"/>
      <w:r>
        <w:rPr>
          <w:rFonts w:hint="eastAsia"/>
          <w:color w:val="000000"/>
          <w:sz w:val="24"/>
        </w:rPr>
        <w:t>空间的吸引下，越来越多企业涌入光伏行业，市场竞争日趋激烈，随着硅片、电池片及光伏组件的技术持续优化进步，原材料价格下降以及各环节的制造成本不断降低，同时全球范围内各国陆续推进光伏平价上网政策，驱使光</w:t>
      </w:r>
      <w:proofErr w:type="gramStart"/>
      <w:r>
        <w:rPr>
          <w:rFonts w:hint="eastAsia"/>
          <w:color w:val="000000"/>
          <w:sz w:val="24"/>
        </w:rPr>
        <w:t>伏行业</w:t>
      </w:r>
      <w:proofErr w:type="gramEnd"/>
      <w:r>
        <w:rPr>
          <w:rFonts w:hint="eastAsia"/>
          <w:color w:val="000000"/>
          <w:sz w:val="24"/>
        </w:rPr>
        <w:t>生产制造成本及销售价格总体呈现下降态势。未来，随着光</w:t>
      </w:r>
      <w:proofErr w:type="gramStart"/>
      <w:r>
        <w:rPr>
          <w:rFonts w:hint="eastAsia"/>
          <w:color w:val="000000"/>
          <w:sz w:val="24"/>
        </w:rPr>
        <w:t>伏行业</w:t>
      </w:r>
      <w:proofErr w:type="gramEnd"/>
      <w:r>
        <w:rPr>
          <w:rFonts w:hint="eastAsia"/>
          <w:color w:val="000000"/>
          <w:sz w:val="24"/>
        </w:rPr>
        <w:t>技术的持续发展迭代，光</w:t>
      </w:r>
      <w:proofErr w:type="gramStart"/>
      <w:r>
        <w:rPr>
          <w:rFonts w:hint="eastAsia"/>
          <w:color w:val="000000"/>
          <w:sz w:val="24"/>
        </w:rPr>
        <w:t>伏行业</w:t>
      </w:r>
      <w:proofErr w:type="gramEnd"/>
      <w:r>
        <w:rPr>
          <w:rFonts w:hint="eastAsia"/>
          <w:color w:val="000000"/>
          <w:sz w:val="24"/>
        </w:rPr>
        <w:t>各环节的产品价格仍存在进一步下降的可能，标的公司面临产品价格出现下滑的风险。”</w:t>
      </w:r>
    </w:p>
    <w:p w14:paraId="1FDC888B" w14:textId="77777777" w:rsidR="00FC5A62" w:rsidRDefault="00FC5A62" w:rsidP="00FB7003">
      <w:pPr>
        <w:spacing w:beforeLines="50" w:before="156" w:afterLines="50" w:after="156" w:line="360" w:lineRule="auto"/>
        <w:ind w:firstLineChars="200" w:firstLine="480"/>
        <w:rPr>
          <w:color w:val="000000"/>
          <w:sz w:val="24"/>
        </w:rPr>
      </w:pPr>
    </w:p>
    <w:p w14:paraId="6A6F0446" w14:textId="77777777" w:rsidR="00FC5A62" w:rsidRDefault="00C76273" w:rsidP="00FB7003">
      <w:pPr>
        <w:spacing w:beforeLines="50" w:before="156" w:afterLines="50" w:after="156" w:line="360" w:lineRule="auto"/>
        <w:ind w:firstLineChars="200" w:firstLine="480"/>
        <w:outlineLvl w:val="0"/>
        <w:rPr>
          <w:rFonts w:eastAsia="黑体"/>
          <w:sz w:val="24"/>
        </w:rPr>
      </w:pPr>
      <w:r>
        <w:rPr>
          <w:rFonts w:eastAsia="黑体"/>
          <w:sz w:val="24"/>
        </w:rPr>
        <w:t>二、关于标的公司</w:t>
      </w:r>
    </w:p>
    <w:p w14:paraId="4003F215" w14:textId="77777777" w:rsidR="00FC5A62" w:rsidRDefault="00C76273" w:rsidP="00FB7003">
      <w:pPr>
        <w:spacing w:beforeLines="50" w:before="156" w:afterLines="50" w:after="156" w:line="360" w:lineRule="auto"/>
        <w:ind w:firstLineChars="200" w:firstLine="480"/>
        <w:outlineLvl w:val="1"/>
        <w:rPr>
          <w:rFonts w:eastAsia="黑体"/>
          <w:sz w:val="24"/>
        </w:rPr>
      </w:pPr>
      <w:r>
        <w:rPr>
          <w:rFonts w:eastAsia="黑体" w:hint="eastAsia"/>
          <w:sz w:val="24"/>
        </w:rPr>
        <w:t>问题二</w:t>
      </w:r>
      <w:r>
        <w:rPr>
          <w:rFonts w:eastAsia="黑体"/>
          <w:sz w:val="24"/>
        </w:rPr>
        <w:t>、预案披露，标的公司主营光伏业务，主要采取以销定产的订单生产模式，并主要聚焦北美地区销售，以</w:t>
      </w:r>
      <w:r>
        <w:rPr>
          <w:rFonts w:eastAsia="黑体"/>
          <w:sz w:val="24"/>
        </w:rPr>
        <w:t>DDP</w:t>
      </w:r>
      <w:r>
        <w:rPr>
          <w:rFonts w:eastAsia="黑体"/>
          <w:sz w:val="24"/>
        </w:rPr>
        <w:t>模式为主开展销售交付工作。</w:t>
      </w:r>
      <w:r>
        <w:rPr>
          <w:rFonts w:eastAsia="黑体"/>
          <w:sz w:val="24"/>
        </w:rPr>
        <w:t>2021</w:t>
      </w:r>
      <w:r>
        <w:rPr>
          <w:rFonts w:eastAsia="黑体"/>
          <w:sz w:val="24"/>
        </w:rPr>
        <w:t>年、</w:t>
      </w:r>
      <w:r>
        <w:rPr>
          <w:rFonts w:eastAsia="黑体"/>
          <w:sz w:val="24"/>
        </w:rPr>
        <w:t>2022</w:t>
      </w:r>
      <w:r>
        <w:rPr>
          <w:rFonts w:eastAsia="黑体"/>
          <w:sz w:val="24"/>
        </w:rPr>
        <w:t>年、</w:t>
      </w:r>
      <w:r>
        <w:rPr>
          <w:rFonts w:eastAsia="黑体"/>
          <w:sz w:val="24"/>
        </w:rPr>
        <w:t>2023</w:t>
      </w:r>
      <w:r>
        <w:rPr>
          <w:rFonts w:eastAsia="黑体"/>
          <w:sz w:val="24"/>
        </w:rPr>
        <w:t>年一季度，标的公司分别实现营业收入</w:t>
      </w:r>
      <w:r>
        <w:rPr>
          <w:rFonts w:eastAsia="黑体"/>
          <w:sz w:val="24"/>
        </w:rPr>
        <w:t>8.97</w:t>
      </w:r>
      <w:r>
        <w:rPr>
          <w:rFonts w:eastAsia="黑体"/>
          <w:sz w:val="24"/>
        </w:rPr>
        <w:t>亿元、</w:t>
      </w:r>
      <w:r>
        <w:rPr>
          <w:rFonts w:eastAsia="黑体"/>
          <w:sz w:val="24"/>
        </w:rPr>
        <w:t>28.42</w:t>
      </w:r>
      <w:r>
        <w:rPr>
          <w:rFonts w:eastAsia="黑体"/>
          <w:sz w:val="24"/>
        </w:rPr>
        <w:t>亿元、</w:t>
      </w:r>
      <w:r>
        <w:rPr>
          <w:rFonts w:eastAsia="黑体"/>
          <w:sz w:val="24"/>
        </w:rPr>
        <w:t>12.11</w:t>
      </w:r>
      <w:r>
        <w:rPr>
          <w:rFonts w:eastAsia="黑体"/>
          <w:sz w:val="24"/>
        </w:rPr>
        <w:t>亿元，实现</w:t>
      </w:r>
      <w:proofErr w:type="gramStart"/>
      <w:r>
        <w:rPr>
          <w:rFonts w:eastAsia="黑体"/>
          <w:sz w:val="24"/>
        </w:rPr>
        <w:t>归母净利润</w:t>
      </w:r>
      <w:proofErr w:type="gramEnd"/>
      <w:r>
        <w:rPr>
          <w:rFonts w:eastAsia="黑体"/>
          <w:sz w:val="24"/>
        </w:rPr>
        <w:t>-7634.88</w:t>
      </w:r>
      <w:r>
        <w:rPr>
          <w:rFonts w:eastAsia="黑体"/>
          <w:sz w:val="24"/>
        </w:rPr>
        <w:t>万元、</w:t>
      </w:r>
      <w:r>
        <w:rPr>
          <w:rFonts w:eastAsia="黑体"/>
          <w:sz w:val="24"/>
        </w:rPr>
        <w:t>2.04</w:t>
      </w:r>
      <w:r>
        <w:rPr>
          <w:rFonts w:eastAsia="黑体"/>
          <w:sz w:val="24"/>
        </w:rPr>
        <w:t>亿元、</w:t>
      </w:r>
      <w:r>
        <w:rPr>
          <w:rFonts w:eastAsia="黑体"/>
          <w:sz w:val="24"/>
        </w:rPr>
        <w:t>1.64</w:t>
      </w:r>
      <w:r>
        <w:rPr>
          <w:rFonts w:eastAsia="黑体"/>
          <w:sz w:val="24"/>
        </w:rPr>
        <w:t>亿元。请公司：（</w:t>
      </w:r>
      <w:r>
        <w:rPr>
          <w:rFonts w:eastAsia="黑体"/>
          <w:sz w:val="24"/>
        </w:rPr>
        <w:t>1</w:t>
      </w:r>
      <w:r>
        <w:rPr>
          <w:rFonts w:eastAsia="黑体"/>
          <w:sz w:val="24"/>
        </w:rPr>
        <w:t>）补充披露最近两年又一期标的公司前五大客户情况，包括客户名称、销售产品、销售金额等；（</w:t>
      </w:r>
      <w:r>
        <w:rPr>
          <w:rFonts w:eastAsia="黑体"/>
          <w:sz w:val="24"/>
        </w:rPr>
        <w:t>2</w:t>
      </w:r>
      <w:r>
        <w:rPr>
          <w:rFonts w:eastAsia="黑体"/>
          <w:sz w:val="24"/>
        </w:rPr>
        <w:t>）结合标的公司经营与采购模式、在手订单、客户构成、行业地位等，区分业务板块说明标的公司业绩自</w:t>
      </w:r>
      <w:r>
        <w:rPr>
          <w:rFonts w:eastAsia="黑体"/>
          <w:sz w:val="24"/>
        </w:rPr>
        <w:t>2022</w:t>
      </w:r>
      <w:r>
        <w:rPr>
          <w:rFonts w:eastAsia="黑体"/>
          <w:sz w:val="24"/>
        </w:rPr>
        <w:t>年以来大幅增长的主要原因及合理性，并结合主要客户变动情况，说明标的公司与相关客户的合作是否具有稳定性与可持续性；（</w:t>
      </w:r>
      <w:r>
        <w:rPr>
          <w:rFonts w:eastAsia="黑体"/>
          <w:sz w:val="24"/>
        </w:rPr>
        <w:t>3</w:t>
      </w:r>
      <w:r>
        <w:rPr>
          <w:rFonts w:eastAsia="黑体"/>
          <w:sz w:val="24"/>
        </w:rPr>
        <w:t>）结合美国对东南亚光伏产品</w:t>
      </w:r>
      <w:r>
        <w:rPr>
          <w:rFonts w:eastAsia="黑体"/>
          <w:sz w:val="24"/>
        </w:rPr>
        <w:t>24</w:t>
      </w:r>
      <w:r>
        <w:rPr>
          <w:rFonts w:eastAsia="黑体"/>
          <w:sz w:val="24"/>
        </w:rPr>
        <w:t>个月免征反规避关税的缓冲期政策及标的公司的</w:t>
      </w:r>
      <w:r>
        <w:rPr>
          <w:rFonts w:eastAsia="黑体"/>
          <w:sz w:val="24"/>
        </w:rPr>
        <w:t>DDP</w:t>
      </w:r>
      <w:r>
        <w:rPr>
          <w:rFonts w:eastAsia="黑体"/>
          <w:sz w:val="24"/>
        </w:rPr>
        <w:t>销售模式，说明标的公司未来销售产品是否可能面临关税税率上升风险，是否可能影响相关客户的采购意愿及标的公司未来业绩，并充分提示风险。</w:t>
      </w:r>
    </w:p>
    <w:p w14:paraId="726AE4BF" w14:textId="77777777" w:rsidR="00FC5A62" w:rsidRDefault="00C76273" w:rsidP="00FB7003">
      <w:pPr>
        <w:spacing w:beforeLines="50" w:before="156" w:afterLines="50" w:after="156" w:line="360" w:lineRule="auto"/>
        <w:ind w:firstLineChars="200" w:firstLine="482"/>
        <w:rPr>
          <w:rFonts w:eastAsiaTheme="minorEastAsia"/>
          <w:b/>
          <w:bCs/>
          <w:color w:val="000000"/>
          <w:sz w:val="24"/>
        </w:rPr>
      </w:pPr>
      <w:r>
        <w:rPr>
          <w:rFonts w:eastAsiaTheme="minorEastAsia"/>
          <w:b/>
          <w:bCs/>
          <w:color w:val="000000"/>
          <w:sz w:val="24"/>
        </w:rPr>
        <w:t>回复：</w:t>
      </w:r>
    </w:p>
    <w:p w14:paraId="09D65A6B" w14:textId="77777777" w:rsidR="00FC5A62" w:rsidRDefault="00C76273" w:rsidP="00FB7003">
      <w:pPr>
        <w:spacing w:beforeLines="50" w:before="156" w:afterLines="50" w:after="156" w:line="360" w:lineRule="auto"/>
        <w:ind w:firstLineChars="200" w:firstLine="482"/>
        <w:outlineLvl w:val="2"/>
        <w:rPr>
          <w:rFonts w:ascii="宋体" w:hAnsi="宋体"/>
          <w:b/>
          <w:bCs/>
          <w:sz w:val="24"/>
        </w:rPr>
      </w:pPr>
      <w:r>
        <w:rPr>
          <w:rFonts w:ascii="宋体" w:hAnsi="宋体" w:hint="eastAsia"/>
          <w:b/>
          <w:bCs/>
          <w:sz w:val="24"/>
        </w:rPr>
        <w:t>一、补充披露最近两年又一期标的公司前五大客户情况，包括客户名称、销售产品、销售金额等</w:t>
      </w:r>
    </w:p>
    <w:p w14:paraId="7F57650D" w14:textId="77777777" w:rsidR="00FC5A62" w:rsidRDefault="00C76273" w:rsidP="00FB7003">
      <w:pPr>
        <w:spacing w:beforeLines="50" w:before="156" w:afterLines="50" w:after="156" w:line="360" w:lineRule="auto"/>
        <w:ind w:firstLineChars="200" w:firstLine="480"/>
        <w:rPr>
          <w:sz w:val="24"/>
        </w:rPr>
      </w:pPr>
      <w:r>
        <w:rPr>
          <w:rFonts w:hint="eastAsia"/>
          <w:sz w:val="24"/>
        </w:rPr>
        <w:t>2</w:t>
      </w:r>
      <w:r>
        <w:rPr>
          <w:sz w:val="24"/>
        </w:rPr>
        <w:t>021</w:t>
      </w:r>
      <w:r>
        <w:rPr>
          <w:rFonts w:hint="eastAsia"/>
          <w:sz w:val="24"/>
        </w:rPr>
        <w:t>年度、</w:t>
      </w:r>
      <w:r>
        <w:rPr>
          <w:rFonts w:hint="eastAsia"/>
          <w:sz w:val="24"/>
        </w:rPr>
        <w:t>2</w:t>
      </w:r>
      <w:r>
        <w:rPr>
          <w:sz w:val="24"/>
        </w:rPr>
        <w:t>022</w:t>
      </w:r>
      <w:r>
        <w:rPr>
          <w:rFonts w:hint="eastAsia"/>
          <w:sz w:val="24"/>
        </w:rPr>
        <w:t>年度及</w:t>
      </w:r>
      <w:r>
        <w:rPr>
          <w:rFonts w:hint="eastAsia"/>
          <w:sz w:val="24"/>
        </w:rPr>
        <w:t>2</w:t>
      </w:r>
      <w:r>
        <w:rPr>
          <w:sz w:val="24"/>
        </w:rPr>
        <w:t>023</w:t>
      </w:r>
      <w:r>
        <w:rPr>
          <w:rFonts w:hint="eastAsia"/>
          <w:sz w:val="24"/>
        </w:rPr>
        <w:t>年一季度，标的公司前五大客户情况如下：</w:t>
      </w:r>
    </w:p>
    <w:p w14:paraId="56CCAE0A" w14:textId="77777777" w:rsidR="00FC5A62" w:rsidRPr="008A1A3A" w:rsidRDefault="00C76273" w:rsidP="00134592">
      <w:pPr>
        <w:ind w:firstLineChars="200" w:firstLine="420"/>
        <w:jc w:val="right"/>
        <w:rPr>
          <w:szCs w:val="21"/>
        </w:rPr>
      </w:pPr>
      <w:r w:rsidRPr="008A1A3A">
        <w:rPr>
          <w:rFonts w:hint="eastAsia"/>
          <w:szCs w:val="21"/>
        </w:rPr>
        <w:t>单位：万元</w:t>
      </w:r>
    </w:p>
    <w:tbl>
      <w:tblPr>
        <w:tblStyle w:val="ae"/>
        <w:tblW w:w="9357" w:type="dxa"/>
        <w:jc w:val="center"/>
        <w:tblLook w:val="04A0" w:firstRow="1" w:lastRow="0" w:firstColumn="1" w:lastColumn="0" w:noHBand="0" w:noVBand="1"/>
      </w:tblPr>
      <w:tblGrid>
        <w:gridCol w:w="567"/>
        <w:gridCol w:w="4395"/>
        <w:gridCol w:w="994"/>
        <w:gridCol w:w="1133"/>
        <w:gridCol w:w="1089"/>
        <w:gridCol w:w="1179"/>
      </w:tblGrid>
      <w:tr w:rsidR="00FC5A62" w14:paraId="2781D1F0" w14:textId="77777777">
        <w:trPr>
          <w:jc w:val="center"/>
        </w:trPr>
        <w:tc>
          <w:tcPr>
            <w:tcW w:w="9357" w:type="dxa"/>
            <w:gridSpan w:val="6"/>
            <w:shd w:val="clear" w:color="auto" w:fill="auto"/>
            <w:vAlign w:val="center"/>
          </w:tcPr>
          <w:p w14:paraId="053D9B77" w14:textId="77777777" w:rsidR="00FC5A62" w:rsidRDefault="00C76273">
            <w:pPr>
              <w:jc w:val="center"/>
              <w:rPr>
                <w:b/>
                <w:bCs/>
                <w:szCs w:val="21"/>
              </w:rPr>
            </w:pPr>
            <w:bookmarkStart w:id="4" w:name="_Hlk147596227"/>
            <w:r>
              <w:rPr>
                <w:b/>
                <w:bCs/>
                <w:szCs w:val="21"/>
              </w:rPr>
              <w:t>2023</w:t>
            </w:r>
            <w:r>
              <w:rPr>
                <w:b/>
                <w:bCs/>
                <w:szCs w:val="21"/>
              </w:rPr>
              <w:t>年一季度</w:t>
            </w:r>
          </w:p>
        </w:tc>
      </w:tr>
      <w:tr w:rsidR="00FC5A62" w14:paraId="6CF0B72C" w14:textId="77777777">
        <w:trPr>
          <w:jc w:val="center"/>
        </w:trPr>
        <w:tc>
          <w:tcPr>
            <w:tcW w:w="567" w:type="dxa"/>
            <w:shd w:val="clear" w:color="auto" w:fill="auto"/>
            <w:vAlign w:val="center"/>
          </w:tcPr>
          <w:p w14:paraId="3A5FB662" w14:textId="77777777" w:rsidR="00FC5A62" w:rsidRDefault="00C76273">
            <w:pPr>
              <w:jc w:val="center"/>
              <w:rPr>
                <w:szCs w:val="21"/>
              </w:rPr>
            </w:pPr>
            <w:r>
              <w:rPr>
                <w:b/>
                <w:bCs/>
                <w:szCs w:val="21"/>
              </w:rPr>
              <w:t>序</w:t>
            </w:r>
            <w:r>
              <w:rPr>
                <w:b/>
                <w:bCs/>
                <w:szCs w:val="21"/>
              </w:rPr>
              <w:lastRenderedPageBreak/>
              <w:t>号</w:t>
            </w:r>
          </w:p>
        </w:tc>
        <w:tc>
          <w:tcPr>
            <w:tcW w:w="4395" w:type="dxa"/>
            <w:shd w:val="clear" w:color="auto" w:fill="auto"/>
            <w:vAlign w:val="center"/>
          </w:tcPr>
          <w:p w14:paraId="04E4B169" w14:textId="77777777" w:rsidR="00FC5A62" w:rsidRDefault="00C76273">
            <w:pPr>
              <w:jc w:val="center"/>
              <w:rPr>
                <w:szCs w:val="21"/>
              </w:rPr>
            </w:pPr>
            <w:r>
              <w:rPr>
                <w:b/>
                <w:bCs/>
                <w:szCs w:val="21"/>
              </w:rPr>
              <w:lastRenderedPageBreak/>
              <w:t>客户名称</w:t>
            </w:r>
          </w:p>
        </w:tc>
        <w:tc>
          <w:tcPr>
            <w:tcW w:w="994" w:type="dxa"/>
            <w:shd w:val="clear" w:color="auto" w:fill="auto"/>
            <w:vAlign w:val="center"/>
          </w:tcPr>
          <w:p w14:paraId="5476BA85" w14:textId="77777777" w:rsidR="00FC5A62" w:rsidRDefault="00C76273">
            <w:pPr>
              <w:jc w:val="center"/>
              <w:rPr>
                <w:szCs w:val="21"/>
              </w:rPr>
            </w:pPr>
            <w:r>
              <w:rPr>
                <w:b/>
                <w:bCs/>
                <w:szCs w:val="21"/>
              </w:rPr>
              <w:t>是否为</w:t>
            </w:r>
            <w:r>
              <w:rPr>
                <w:b/>
                <w:bCs/>
                <w:szCs w:val="21"/>
              </w:rPr>
              <w:lastRenderedPageBreak/>
              <w:t>关联方</w:t>
            </w:r>
          </w:p>
        </w:tc>
        <w:tc>
          <w:tcPr>
            <w:tcW w:w="1133" w:type="dxa"/>
            <w:shd w:val="clear" w:color="auto" w:fill="auto"/>
            <w:vAlign w:val="center"/>
          </w:tcPr>
          <w:p w14:paraId="69DE750D" w14:textId="77777777" w:rsidR="00FC5A62" w:rsidRDefault="00C76273">
            <w:pPr>
              <w:jc w:val="center"/>
              <w:rPr>
                <w:szCs w:val="21"/>
              </w:rPr>
            </w:pPr>
            <w:r>
              <w:rPr>
                <w:b/>
                <w:bCs/>
                <w:szCs w:val="21"/>
              </w:rPr>
              <w:lastRenderedPageBreak/>
              <w:t>主要销售</w:t>
            </w:r>
            <w:r>
              <w:rPr>
                <w:b/>
                <w:bCs/>
                <w:szCs w:val="21"/>
              </w:rPr>
              <w:lastRenderedPageBreak/>
              <w:t>产品</w:t>
            </w:r>
          </w:p>
        </w:tc>
        <w:tc>
          <w:tcPr>
            <w:tcW w:w="1089" w:type="dxa"/>
            <w:shd w:val="clear" w:color="auto" w:fill="auto"/>
            <w:vAlign w:val="center"/>
          </w:tcPr>
          <w:p w14:paraId="163D73C7" w14:textId="77777777" w:rsidR="00FC5A62" w:rsidRDefault="00C76273">
            <w:pPr>
              <w:jc w:val="center"/>
              <w:rPr>
                <w:szCs w:val="21"/>
              </w:rPr>
            </w:pPr>
            <w:r>
              <w:rPr>
                <w:b/>
                <w:bCs/>
                <w:szCs w:val="21"/>
              </w:rPr>
              <w:lastRenderedPageBreak/>
              <w:t>销售金额</w:t>
            </w:r>
          </w:p>
        </w:tc>
        <w:tc>
          <w:tcPr>
            <w:tcW w:w="1179" w:type="dxa"/>
            <w:shd w:val="clear" w:color="auto" w:fill="auto"/>
            <w:vAlign w:val="center"/>
          </w:tcPr>
          <w:p w14:paraId="4E8F5D07" w14:textId="77777777" w:rsidR="00FC5A62" w:rsidRDefault="00C76273">
            <w:pPr>
              <w:jc w:val="center"/>
              <w:rPr>
                <w:szCs w:val="21"/>
              </w:rPr>
            </w:pPr>
            <w:r>
              <w:rPr>
                <w:b/>
                <w:bCs/>
                <w:szCs w:val="21"/>
              </w:rPr>
              <w:t>占营业收</w:t>
            </w:r>
            <w:r>
              <w:rPr>
                <w:b/>
                <w:bCs/>
                <w:szCs w:val="21"/>
              </w:rPr>
              <w:lastRenderedPageBreak/>
              <w:t>入比重</w:t>
            </w:r>
          </w:p>
        </w:tc>
      </w:tr>
      <w:tr w:rsidR="00FC5A62" w14:paraId="5A876A55" w14:textId="77777777">
        <w:trPr>
          <w:jc w:val="center"/>
        </w:trPr>
        <w:tc>
          <w:tcPr>
            <w:tcW w:w="567" w:type="dxa"/>
            <w:vAlign w:val="center"/>
          </w:tcPr>
          <w:p w14:paraId="69B006D2" w14:textId="77777777" w:rsidR="00FC5A62" w:rsidRDefault="00C76273">
            <w:pPr>
              <w:jc w:val="center"/>
              <w:rPr>
                <w:szCs w:val="21"/>
              </w:rPr>
            </w:pPr>
            <w:r>
              <w:rPr>
                <w:szCs w:val="21"/>
              </w:rPr>
              <w:lastRenderedPageBreak/>
              <w:t>1</w:t>
            </w:r>
          </w:p>
        </w:tc>
        <w:tc>
          <w:tcPr>
            <w:tcW w:w="4395" w:type="dxa"/>
          </w:tcPr>
          <w:p w14:paraId="21029F9A" w14:textId="17771DBA" w:rsidR="00FC5A62" w:rsidRDefault="00C76273">
            <w:pPr>
              <w:rPr>
                <w:szCs w:val="21"/>
              </w:rPr>
            </w:pPr>
            <w:proofErr w:type="spellStart"/>
            <w:r>
              <w:t>Elawan</w:t>
            </w:r>
            <w:proofErr w:type="spellEnd"/>
            <w:r>
              <w:t xml:space="preserve"> Energy</w:t>
            </w:r>
            <w:r w:rsidR="005D2A83">
              <w:t xml:space="preserve"> S.L.</w:t>
            </w:r>
          </w:p>
        </w:tc>
        <w:tc>
          <w:tcPr>
            <w:tcW w:w="994" w:type="dxa"/>
            <w:vAlign w:val="center"/>
          </w:tcPr>
          <w:p w14:paraId="7FBA197A" w14:textId="77777777" w:rsidR="00FC5A62" w:rsidRDefault="00C76273">
            <w:pPr>
              <w:jc w:val="center"/>
              <w:rPr>
                <w:szCs w:val="21"/>
              </w:rPr>
            </w:pPr>
            <w:r>
              <w:rPr>
                <w:szCs w:val="21"/>
              </w:rPr>
              <w:t>否</w:t>
            </w:r>
          </w:p>
        </w:tc>
        <w:tc>
          <w:tcPr>
            <w:tcW w:w="1133" w:type="dxa"/>
            <w:vAlign w:val="center"/>
          </w:tcPr>
          <w:p w14:paraId="2170677E" w14:textId="77777777" w:rsidR="00FC5A62" w:rsidRDefault="00C76273">
            <w:pPr>
              <w:jc w:val="center"/>
              <w:rPr>
                <w:szCs w:val="21"/>
              </w:rPr>
            </w:pPr>
            <w:r>
              <w:rPr>
                <w:szCs w:val="21"/>
              </w:rPr>
              <w:t>组件</w:t>
            </w:r>
          </w:p>
        </w:tc>
        <w:tc>
          <w:tcPr>
            <w:tcW w:w="1089" w:type="dxa"/>
            <w:vAlign w:val="center"/>
          </w:tcPr>
          <w:p w14:paraId="703EFE26" w14:textId="77777777" w:rsidR="00FC5A62" w:rsidRDefault="00C76273">
            <w:pPr>
              <w:jc w:val="right"/>
              <w:rPr>
                <w:szCs w:val="21"/>
              </w:rPr>
            </w:pPr>
            <w:r>
              <w:rPr>
                <w:szCs w:val="21"/>
              </w:rPr>
              <w:t>36,842</w:t>
            </w:r>
          </w:p>
        </w:tc>
        <w:tc>
          <w:tcPr>
            <w:tcW w:w="1179" w:type="dxa"/>
            <w:vAlign w:val="center"/>
          </w:tcPr>
          <w:p w14:paraId="3BA8EC8B" w14:textId="77777777" w:rsidR="00FC5A62" w:rsidRDefault="00C76273">
            <w:pPr>
              <w:jc w:val="right"/>
              <w:rPr>
                <w:szCs w:val="21"/>
              </w:rPr>
            </w:pPr>
            <w:r>
              <w:rPr>
                <w:szCs w:val="21"/>
              </w:rPr>
              <w:t>30.43%</w:t>
            </w:r>
          </w:p>
        </w:tc>
      </w:tr>
      <w:tr w:rsidR="00FC5A62" w14:paraId="419250AC" w14:textId="77777777">
        <w:trPr>
          <w:jc w:val="center"/>
        </w:trPr>
        <w:tc>
          <w:tcPr>
            <w:tcW w:w="567" w:type="dxa"/>
            <w:vAlign w:val="center"/>
          </w:tcPr>
          <w:p w14:paraId="180736EB" w14:textId="77777777" w:rsidR="00FC5A62" w:rsidRDefault="00C76273">
            <w:pPr>
              <w:jc w:val="center"/>
              <w:rPr>
                <w:szCs w:val="21"/>
              </w:rPr>
            </w:pPr>
            <w:r>
              <w:rPr>
                <w:szCs w:val="21"/>
              </w:rPr>
              <w:t>2</w:t>
            </w:r>
          </w:p>
        </w:tc>
        <w:tc>
          <w:tcPr>
            <w:tcW w:w="4395" w:type="dxa"/>
          </w:tcPr>
          <w:p w14:paraId="67D28865" w14:textId="77777777" w:rsidR="00FC5A62" w:rsidRDefault="00C76273">
            <w:pPr>
              <w:rPr>
                <w:szCs w:val="21"/>
              </w:rPr>
            </w:pPr>
            <w:proofErr w:type="spellStart"/>
            <w:r>
              <w:t>rPlus</w:t>
            </w:r>
            <w:proofErr w:type="spellEnd"/>
            <w:r>
              <w:t xml:space="preserve"> Energies, LLC</w:t>
            </w:r>
          </w:p>
        </w:tc>
        <w:tc>
          <w:tcPr>
            <w:tcW w:w="994" w:type="dxa"/>
            <w:vAlign w:val="center"/>
          </w:tcPr>
          <w:p w14:paraId="3B448E9F" w14:textId="77777777" w:rsidR="00FC5A62" w:rsidRDefault="00C76273">
            <w:pPr>
              <w:jc w:val="center"/>
              <w:rPr>
                <w:szCs w:val="21"/>
              </w:rPr>
            </w:pPr>
            <w:r>
              <w:rPr>
                <w:szCs w:val="21"/>
              </w:rPr>
              <w:t>否</w:t>
            </w:r>
          </w:p>
        </w:tc>
        <w:tc>
          <w:tcPr>
            <w:tcW w:w="1133" w:type="dxa"/>
            <w:vAlign w:val="center"/>
          </w:tcPr>
          <w:p w14:paraId="50204AA5" w14:textId="77777777" w:rsidR="00FC5A62" w:rsidRDefault="00C76273">
            <w:pPr>
              <w:jc w:val="center"/>
              <w:rPr>
                <w:szCs w:val="21"/>
              </w:rPr>
            </w:pPr>
            <w:r>
              <w:rPr>
                <w:szCs w:val="21"/>
              </w:rPr>
              <w:t>组件</w:t>
            </w:r>
          </w:p>
        </w:tc>
        <w:tc>
          <w:tcPr>
            <w:tcW w:w="1089" w:type="dxa"/>
            <w:vAlign w:val="center"/>
          </w:tcPr>
          <w:p w14:paraId="01DC7077" w14:textId="77777777" w:rsidR="00FC5A62" w:rsidRDefault="00C76273">
            <w:pPr>
              <w:jc w:val="right"/>
              <w:rPr>
                <w:szCs w:val="21"/>
              </w:rPr>
            </w:pPr>
            <w:r>
              <w:rPr>
                <w:szCs w:val="21"/>
              </w:rPr>
              <w:t>33,005</w:t>
            </w:r>
          </w:p>
        </w:tc>
        <w:tc>
          <w:tcPr>
            <w:tcW w:w="1179" w:type="dxa"/>
            <w:vAlign w:val="center"/>
          </w:tcPr>
          <w:p w14:paraId="00D33484" w14:textId="77777777" w:rsidR="00FC5A62" w:rsidRDefault="00C76273">
            <w:pPr>
              <w:jc w:val="right"/>
              <w:rPr>
                <w:szCs w:val="21"/>
              </w:rPr>
            </w:pPr>
            <w:r>
              <w:rPr>
                <w:szCs w:val="21"/>
              </w:rPr>
              <w:t>27.26%</w:t>
            </w:r>
          </w:p>
        </w:tc>
      </w:tr>
      <w:tr w:rsidR="00FC5A62" w14:paraId="04648F6A" w14:textId="77777777">
        <w:trPr>
          <w:jc w:val="center"/>
        </w:trPr>
        <w:tc>
          <w:tcPr>
            <w:tcW w:w="567" w:type="dxa"/>
            <w:vAlign w:val="center"/>
          </w:tcPr>
          <w:p w14:paraId="252DA11C" w14:textId="77777777" w:rsidR="00FC5A62" w:rsidRDefault="00C76273">
            <w:pPr>
              <w:jc w:val="center"/>
              <w:rPr>
                <w:szCs w:val="21"/>
              </w:rPr>
            </w:pPr>
            <w:r>
              <w:rPr>
                <w:szCs w:val="21"/>
              </w:rPr>
              <w:t>3</w:t>
            </w:r>
          </w:p>
        </w:tc>
        <w:tc>
          <w:tcPr>
            <w:tcW w:w="4395" w:type="dxa"/>
          </w:tcPr>
          <w:p w14:paraId="628A729B" w14:textId="77777777" w:rsidR="00FC5A62" w:rsidRDefault="00C76273">
            <w:pPr>
              <w:rPr>
                <w:szCs w:val="21"/>
              </w:rPr>
            </w:pPr>
            <w:r>
              <w:t>Horus Louisiana 1, LLC</w:t>
            </w:r>
          </w:p>
        </w:tc>
        <w:tc>
          <w:tcPr>
            <w:tcW w:w="994" w:type="dxa"/>
            <w:vAlign w:val="center"/>
          </w:tcPr>
          <w:p w14:paraId="745B906D" w14:textId="77777777" w:rsidR="00FC5A62" w:rsidRDefault="00C76273">
            <w:pPr>
              <w:jc w:val="center"/>
              <w:rPr>
                <w:szCs w:val="21"/>
              </w:rPr>
            </w:pPr>
            <w:r>
              <w:rPr>
                <w:szCs w:val="21"/>
              </w:rPr>
              <w:t>否</w:t>
            </w:r>
          </w:p>
        </w:tc>
        <w:tc>
          <w:tcPr>
            <w:tcW w:w="1133" w:type="dxa"/>
            <w:vAlign w:val="center"/>
          </w:tcPr>
          <w:p w14:paraId="77C0A9EB" w14:textId="77777777" w:rsidR="00FC5A62" w:rsidRDefault="00C76273">
            <w:pPr>
              <w:jc w:val="center"/>
              <w:rPr>
                <w:szCs w:val="21"/>
              </w:rPr>
            </w:pPr>
            <w:r>
              <w:rPr>
                <w:szCs w:val="21"/>
              </w:rPr>
              <w:t>组件</w:t>
            </w:r>
          </w:p>
        </w:tc>
        <w:tc>
          <w:tcPr>
            <w:tcW w:w="1089" w:type="dxa"/>
            <w:vAlign w:val="center"/>
          </w:tcPr>
          <w:p w14:paraId="3543942F" w14:textId="77777777" w:rsidR="00FC5A62" w:rsidRDefault="00C76273">
            <w:pPr>
              <w:jc w:val="right"/>
              <w:rPr>
                <w:szCs w:val="21"/>
              </w:rPr>
            </w:pPr>
            <w:r>
              <w:rPr>
                <w:szCs w:val="21"/>
              </w:rPr>
              <w:t>18,860</w:t>
            </w:r>
          </w:p>
        </w:tc>
        <w:tc>
          <w:tcPr>
            <w:tcW w:w="1179" w:type="dxa"/>
            <w:vAlign w:val="center"/>
          </w:tcPr>
          <w:p w14:paraId="7C9893A1" w14:textId="77777777" w:rsidR="00FC5A62" w:rsidRDefault="00C76273">
            <w:pPr>
              <w:jc w:val="right"/>
              <w:rPr>
                <w:szCs w:val="21"/>
              </w:rPr>
            </w:pPr>
            <w:r>
              <w:rPr>
                <w:szCs w:val="21"/>
              </w:rPr>
              <w:t>15.58%</w:t>
            </w:r>
          </w:p>
        </w:tc>
      </w:tr>
      <w:tr w:rsidR="00FC5A62" w14:paraId="17070151" w14:textId="77777777">
        <w:trPr>
          <w:jc w:val="center"/>
        </w:trPr>
        <w:tc>
          <w:tcPr>
            <w:tcW w:w="567" w:type="dxa"/>
            <w:vAlign w:val="center"/>
          </w:tcPr>
          <w:p w14:paraId="20DE75CE" w14:textId="77777777" w:rsidR="00FC5A62" w:rsidRDefault="00C76273">
            <w:pPr>
              <w:jc w:val="center"/>
              <w:rPr>
                <w:szCs w:val="21"/>
              </w:rPr>
            </w:pPr>
            <w:r>
              <w:rPr>
                <w:szCs w:val="21"/>
              </w:rPr>
              <w:t>4</w:t>
            </w:r>
          </w:p>
        </w:tc>
        <w:tc>
          <w:tcPr>
            <w:tcW w:w="4395" w:type="dxa"/>
          </w:tcPr>
          <w:p w14:paraId="115A1E54" w14:textId="77777777" w:rsidR="00FC5A62" w:rsidRDefault="00C76273">
            <w:pPr>
              <w:jc w:val="left"/>
              <w:rPr>
                <w:szCs w:val="21"/>
              </w:rPr>
            </w:pPr>
            <w:r>
              <w:t>BOVIET SOLAR TECHNOLOGY CO., LTD</w:t>
            </w:r>
          </w:p>
        </w:tc>
        <w:tc>
          <w:tcPr>
            <w:tcW w:w="994" w:type="dxa"/>
            <w:vAlign w:val="center"/>
          </w:tcPr>
          <w:p w14:paraId="494A42B9" w14:textId="77777777" w:rsidR="00FC5A62" w:rsidRDefault="00C76273">
            <w:pPr>
              <w:jc w:val="center"/>
              <w:rPr>
                <w:szCs w:val="21"/>
              </w:rPr>
            </w:pPr>
            <w:r>
              <w:rPr>
                <w:szCs w:val="21"/>
              </w:rPr>
              <w:t>否</w:t>
            </w:r>
          </w:p>
        </w:tc>
        <w:tc>
          <w:tcPr>
            <w:tcW w:w="1133" w:type="dxa"/>
            <w:vAlign w:val="center"/>
          </w:tcPr>
          <w:p w14:paraId="40EE949D" w14:textId="77777777" w:rsidR="00FC5A62" w:rsidRDefault="00C76273">
            <w:pPr>
              <w:jc w:val="center"/>
              <w:rPr>
                <w:szCs w:val="21"/>
              </w:rPr>
            </w:pPr>
            <w:r>
              <w:rPr>
                <w:szCs w:val="21"/>
              </w:rPr>
              <w:t>电池片</w:t>
            </w:r>
          </w:p>
        </w:tc>
        <w:tc>
          <w:tcPr>
            <w:tcW w:w="1089" w:type="dxa"/>
            <w:vAlign w:val="center"/>
          </w:tcPr>
          <w:p w14:paraId="1BC829F9" w14:textId="77777777" w:rsidR="00FC5A62" w:rsidRDefault="00C76273">
            <w:pPr>
              <w:jc w:val="right"/>
              <w:rPr>
                <w:szCs w:val="21"/>
              </w:rPr>
            </w:pPr>
            <w:r>
              <w:rPr>
                <w:szCs w:val="21"/>
              </w:rPr>
              <w:t>18,301</w:t>
            </w:r>
          </w:p>
        </w:tc>
        <w:tc>
          <w:tcPr>
            <w:tcW w:w="1179" w:type="dxa"/>
            <w:vAlign w:val="center"/>
          </w:tcPr>
          <w:p w14:paraId="68FEEE40" w14:textId="77777777" w:rsidR="00FC5A62" w:rsidRDefault="00C76273">
            <w:pPr>
              <w:jc w:val="right"/>
              <w:rPr>
                <w:szCs w:val="21"/>
              </w:rPr>
            </w:pPr>
            <w:r>
              <w:rPr>
                <w:szCs w:val="21"/>
              </w:rPr>
              <w:t>15.11%</w:t>
            </w:r>
          </w:p>
        </w:tc>
      </w:tr>
      <w:tr w:rsidR="00FC5A62" w14:paraId="2D43D4A1" w14:textId="77777777">
        <w:trPr>
          <w:jc w:val="center"/>
        </w:trPr>
        <w:tc>
          <w:tcPr>
            <w:tcW w:w="567" w:type="dxa"/>
            <w:vAlign w:val="center"/>
          </w:tcPr>
          <w:p w14:paraId="02CA41C4" w14:textId="77777777" w:rsidR="00FC5A62" w:rsidRDefault="00C76273">
            <w:pPr>
              <w:jc w:val="center"/>
              <w:rPr>
                <w:szCs w:val="21"/>
              </w:rPr>
            </w:pPr>
            <w:r>
              <w:rPr>
                <w:szCs w:val="21"/>
              </w:rPr>
              <w:t>5</w:t>
            </w:r>
          </w:p>
        </w:tc>
        <w:tc>
          <w:tcPr>
            <w:tcW w:w="4395" w:type="dxa"/>
          </w:tcPr>
          <w:p w14:paraId="2449BEAB" w14:textId="77777777" w:rsidR="00FC5A62" w:rsidRDefault="00C76273">
            <w:pPr>
              <w:jc w:val="left"/>
              <w:rPr>
                <w:szCs w:val="21"/>
              </w:rPr>
            </w:pPr>
            <w:r>
              <w:t>Goldman Sachs Renewable Power Operating Company LLC</w:t>
            </w:r>
          </w:p>
        </w:tc>
        <w:tc>
          <w:tcPr>
            <w:tcW w:w="994" w:type="dxa"/>
            <w:vAlign w:val="center"/>
          </w:tcPr>
          <w:p w14:paraId="3C245E05" w14:textId="77777777" w:rsidR="00FC5A62" w:rsidRDefault="00C76273">
            <w:pPr>
              <w:jc w:val="center"/>
              <w:rPr>
                <w:szCs w:val="21"/>
              </w:rPr>
            </w:pPr>
            <w:r>
              <w:rPr>
                <w:szCs w:val="21"/>
              </w:rPr>
              <w:t>否</w:t>
            </w:r>
          </w:p>
        </w:tc>
        <w:tc>
          <w:tcPr>
            <w:tcW w:w="1133" w:type="dxa"/>
            <w:vAlign w:val="center"/>
          </w:tcPr>
          <w:p w14:paraId="5A37C3A0" w14:textId="77777777" w:rsidR="00FC5A62" w:rsidRDefault="00C76273">
            <w:pPr>
              <w:jc w:val="center"/>
              <w:rPr>
                <w:szCs w:val="21"/>
              </w:rPr>
            </w:pPr>
            <w:r>
              <w:rPr>
                <w:szCs w:val="21"/>
              </w:rPr>
              <w:t>组件</w:t>
            </w:r>
          </w:p>
        </w:tc>
        <w:tc>
          <w:tcPr>
            <w:tcW w:w="1089" w:type="dxa"/>
            <w:vAlign w:val="center"/>
          </w:tcPr>
          <w:p w14:paraId="2858BADA" w14:textId="77777777" w:rsidR="00FC5A62" w:rsidRDefault="00C76273">
            <w:pPr>
              <w:jc w:val="right"/>
              <w:rPr>
                <w:szCs w:val="21"/>
              </w:rPr>
            </w:pPr>
            <w:r>
              <w:rPr>
                <w:szCs w:val="21"/>
              </w:rPr>
              <w:t>8,825</w:t>
            </w:r>
          </w:p>
        </w:tc>
        <w:tc>
          <w:tcPr>
            <w:tcW w:w="1179" w:type="dxa"/>
            <w:vAlign w:val="center"/>
          </w:tcPr>
          <w:p w14:paraId="6F04FBFC" w14:textId="77777777" w:rsidR="00FC5A62" w:rsidRDefault="00C76273">
            <w:pPr>
              <w:jc w:val="right"/>
              <w:rPr>
                <w:szCs w:val="21"/>
              </w:rPr>
            </w:pPr>
            <w:r>
              <w:rPr>
                <w:szCs w:val="21"/>
              </w:rPr>
              <w:t>7.29%</w:t>
            </w:r>
          </w:p>
        </w:tc>
      </w:tr>
      <w:tr w:rsidR="00FC5A62" w14:paraId="401477BC" w14:textId="77777777">
        <w:trPr>
          <w:jc w:val="center"/>
        </w:trPr>
        <w:tc>
          <w:tcPr>
            <w:tcW w:w="567" w:type="dxa"/>
            <w:vAlign w:val="center"/>
          </w:tcPr>
          <w:p w14:paraId="1E40F57D" w14:textId="77777777" w:rsidR="00FC5A62" w:rsidRDefault="00FC5A62">
            <w:pPr>
              <w:rPr>
                <w:szCs w:val="21"/>
              </w:rPr>
            </w:pPr>
          </w:p>
        </w:tc>
        <w:tc>
          <w:tcPr>
            <w:tcW w:w="6522" w:type="dxa"/>
            <w:gridSpan w:val="3"/>
            <w:vAlign w:val="center"/>
          </w:tcPr>
          <w:p w14:paraId="3D167D73" w14:textId="77777777" w:rsidR="00FC5A62" w:rsidRDefault="00C76273">
            <w:pPr>
              <w:jc w:val="center"/>
              <w:rPr>
                <w:b/>
                <w:bCs/>
                <w:szCs w:val="21"/>
              </w:rPr>
            </w:pPr>
            <w:r>
              <w:rPr>
                <w:b/>
                <w:bCs/>
                <w:szCs w:val="21"/>
              </w:rPr>
              <w:t>合计</w:t>
            </w:r>
          </w:p>
        </w:tc>
        <w:tc>
          <w:tcPr>
            <w:tcW w:w="1089" w:type="dxa"/>
            <w:vAlign w:val="center"/>
          </w:tcPr>
          <w:p w14:paraId="22D771BB" w14:textId="77777777" w:rsidR="00FC5A62" w:rsidRDefault="00C76273">
            <w:pPr>
              <w:widowControl/>
              <w:jc w:val="right"/>
              <w:rPr>
                <w:b/>
                <w:bCs/>
                <w:color w:val="000000"/>
                <w:szCs w:val="21"/>
              </w:rPr>
            </w:pPr>
            <w:r>
              <w:rPr>
                <w:b/>
                <w:bCs/>
                <w:color w:val="000000"/>
                <w:szCs w:val="21"/>
              </w:rPr>
              <w:t>115,834</w:t>
            </w:r>
          </w:p>
        </w:tc>
        <w:tc>
          <w:tcPr>
            <w:tcW w:w="1179" w:type="dxa"/>
            <w:vAlign w:val="center"/>
          </w:tcPr>
          <w:p w14:paraId="3E32DB51" w14:textId="77777777" w:rsidR="00FC5A62" w:rsidRDefault="00C76273">
            <w:pPr>
              <w:widowControl/>
              <w:jc w:val="right"/>
              <w:rPr>
                <w:b/>
                <w:bCs/>
                <w:color w:val="000000"/>
                <w:szCs w:val="21"/>
              </w:rPr>
            </w:pPr>
            <w:r>
              <w:rPr>
                <w:b/>
                <w:bCs/>
                <w:color w:val="000000"/>
                <w:szCs w:val="21"/>
              </w:rPr>
              <w:t>95.67%</w:t>
            </w:r>
          </w:p>
        </w:tc>
      </w:tr>
      <w:tr w:rsidR="00FC5A62" w14:paraId="44E38C39" w14:textId="77777777">
        <w:trPr>
          <w:jc w:val="center"/>
        </w:trPr>
        <w:tc>
          <w:tcPr>
            <w:tcW w:w="9357" w:type="dxa"/>
            <w:gridSpan w:val="6"/>
            <w:shd w:val="clear" w:color="auto" w:fill="auto"/>
            <w:vAlign w:val="center"/>
          </w:tcPr>
          <w:p w14:paraId="6C4241CF" w14:textId="77777777" w:rsidR="00FC5A62" w:rsidRDefault="00C76273">
            <w:pPr>
              <w:jc w:val="center"/>
              <w:rPr>
                <w:b/>
                <w:bCs/>
                <w:szCs w:val="21"/>
              </w:rPr>
            </w:pPr>
            <w:r>
              <w:rPr>
                <w:b/>
                <w:bCs/>
                <w:szCs w:val="21"/>
              </w:rPr>
              <w:t>2022</w:t>
            </w:r>
            <w:r>
              <w:rPr>
                <w:b/>
                <w:bCs/>
                <w:szCs w:val="21"/>
              </w:rPr>
              <w:t>年度</w:t>
            </w:r>
          </w:p>
        </w:tc>
      </w:tr>
      <w:tr w:rsidR="00FC5A62" w14:paraId="2331F7A5" w14:textId="77777777">
        <w:trPr>
          <w:jc w:val="center"/>
        </w:trPr>
        <w:tc>
          <w:tcPr>
            <w:tcW w:w="567" w:type="dxa"/>
            <w:shd w:val="clear" w:color="auto" w:fill="auto"/>
            <w:vAlign w:val="center"/>
          </w:tcPr>
          <w:p w14:paraId="68874171" w14:textId="77777777" w:rsidR="00FC5A62" w:rsidRDefault="00C76273">
            <w:pPr>
              <w:jc w:val="center"/>
              <w:rPr>
                <w:szCs w:val="21"/>
              </w:rPr>
            </w:pPr>
            <w:r>
              <w:rPr>
                <w:b/>
                <w:bCs/>
                <w:szCs w:val="21"/>
              </w:rPr>
              <w:t>序号</w:t>
            </w:r>
          </w:p>
        </w:tc>
        <w:tc>
          <w:tcPr>
            <w:tcW w:w="4395" w:type="dxa"/>
            <w:shd w:val="clear" w:color="auto" w:fill="auto"/>
            <w:vAlign w:val="center"/>
          </w:tcPr>
          <w:p w14:paraId="27E68AFB" w14:textId="77777777" w:rsidR="00FC5A62" w:rsidRDefault="00C76273">
            <w:pPr>
              <w:jc w:val="center"/>
              <w:rPr>
                <w:szCs w:val="21"/>
              </w:rPr>
            </w:pPr>
            <w:r>
              <w:rPr>
                <w:b/>
                <w:bCs/>
                <w:szCs w:val="21"/>
              </w:rPr>
              <w:t>客户名称</w:t>
            </w:r>
          </w:p>
        </w:tc>
        <w:tc>
          <w:tcPr>
            <w:tcW w:w="994" w:type="dxa"/>
            <w:shd w:val="clear" w:color="auto" w:fill="auto"/>
            <w:vAlign w:val="center"/>
          </w:tcPr>
          <w:p w14:paraId="526E8D7C" w14:textId="77777777" w:rsidR="00FC5A62" w:rsidRDefault="00C76273">
            <w:pPr>
              <w:jc w:val="center"/>
              <w:rPr>
                <w:szCs w:val="21"/>
              </w:rPr>
            </w:pPr>
            <w:r>
              <w:rPr>
                <w:b/>
                <w:bCs/>
                <w:szCs w:val="21"/>
              </w:rPr>
              <w:t>是否为关联方</w:t>
            </w:r>
          </w:p>
        </w:tc>
        <w:tc>
          <w:tcPr>
            <w:tcW w:w="1133" w:type="dxa"/>
            <w:shd w:val="clear" w:color="auto" w:fill="auto"/>
            <w:vAlign w:val="center"/>
          </w:tcPr>
          <w:p w14:paraId="7636A0C4" w14:textId="77777777" w:rsidR="00FC5A62" w:rsidRDefault="00C76273">
            <w:pPr>
              <w:jc w:val="center"/>
              <w:rPr>
                <w:szCs w:val="21"/>
              </w:rPr>
            </w:pPr>
            <w:r>
              <w:rPr>
                <w:b/>
                <w:bCs/>
                <w:szCs w:val="21"/>
              </w:rPr>
              <w:t>主要销售产品</w:t>
            </w:r>
          </w:p>
        </w:tc>
        <w:tc>
          <w:tcPr>
            <w:tcW w:w="1089" w:type="dxa"/>
            <w:shd w:val="clear" w:color="auto" w:fill="auto"/>
            <w:vAlign w:val="center"/>
          </w:tcPr>
          <w:p w14:paraId="28C26D6D" w14:textId="77777777" w:rsidR="00FC5A62" w:rsidRDefault="00C76273">
            <w:pPr>
              <w:jc w:val="center"/>
              <w:rPr>
                <w:szCs w:val="21"/>
              </w:rPr>
            </w:pPr>
            <w:r>
              <w:rPr>
                <w:b/>
                <w:bCs/>
                <w:szCs w:val="21"/>
              </w:rPr>
              <w:t>销售金额</w:t>
            </w:r>
          </w:p>
        </w:tc>
        <w:tc>
          <w:tcPr>
            <w:tcW w:w="1179" w:type="dxa"/>
            <w:shd w:val="clear" w:color="auto" w:fill="auto"/>
            <w:vAlign w:val="center"/>
          </w:tcPr>
          <w:p w14:paraId="45ECA991" w14:textId="77777777" w:rsidR="00FC5A62" w:rsidRDefault="00C76273">
            <w:pPr>
              <w:jc w:val="center"/>
              <w:rPr>
                <w:szCs w:val="21"/>
              </w:rPr>
            </w:pPr>
            <w:r>
              <w:rPr>
                <w:b/>
                <w:bCs/>
                <w:szCs w:val="21"/>
              </w:rPr>
              <w:t>占营业收入比重</w:t>
            </w:r>
          </w:p>
        </w:tc>
      </w:tr>
      <w:tr w:rsidR="00FC5A62" w14:paraId="3A817E28" w14:textId="77777777">
        <w:trPr>
          <w:jc w:val="center"/>
        </w:trPr>
        <w:tc>
          <w:tcPr>
            <w:tcW w:w="567" w:type="dxa"/>
            <w:vAlign w:val="center"/>
          </w:tcPr>
          <w:p w14:paraId="4EF631DC" w14:textId="77777777" w:rsidR="00FC5A62" w:rsidRDefault="00C76273">
            <w:pPr>
              <w:jc w:val="center"/>
              <w:rPr>
                <w:szCs w:val="21"/>
              </w:rPr>
            </w:pPr>
            <w:r>
              <w:rPr>
                <w:szCs w:val="21"/>
              </w:rPr>
              <w:t>1</w:t>
            </w:r>
          </w:p>
        </w:tc>
        <w:tc>
          <w:tcPr>
            <w:tcW w:w="4395" w:type="dxa"/>
          </w:tcPr>
          <w:p w14:paraId="55E3923F" w14:textId="77777777" w:rsidR="00FC5A62" w:rsidRDefault="00C76273">
            <w:pPr>
              <w:rPr>
                <w:szCs w:val="21"/>
              </w:rPr>
            </w:pPr>
            <w:r>
              <w:t>Grizzly Ridge Solar, LLC</w:t>
            </w:r>
          </w:p>
        </w:tc>
        <w:tc>
          <w:tcPr>
            <w:tcW w:w="994" w:type="dxa"/>
            <w:vAlign w:val="center"/>
          </w:tcPr>
          <w:p w14:paraId="166E661D" w14:textId="77777777" w:rsidR="00FC5A62" w:rsidRDefault="00C76273">
            <w:pPr>
              <w:jc w:val="center"/>
              <w:rPr>
                <w:szCs w:val="21"/>
              </w:rPr>
            </w:pPr>
            <w:r>
              <w:rPr>
                <w:szCs w:val="21"/>
              </w:rPr>
              <w:t>否</w:t>
            </w:r>
          </w:p>
        </w:tc>
        <w:tc>
          <w:tcPr>
            <w:tcW w:w="1133" w:type="dxa"/>
            <w:vAlign w:val="center"/>
          </w:tcPr>
          <w:p w14:paraId="2450173E" w14:textId="77777777" w:rsidR="00FC5A62" w:rsidRDefault="00C76273">
            <w:pPr>
              <w:jc w:val="center"/>
              <w:rPr>
                <w:szCs w:val="21"/>
              </w:rPr>
            </w:pPr>
            <w:r>
              <w:rPr>
                <w:szCs w:val="21"/>
              </w:rPr>
              <w:t>组件</w:t>
            </w:r>
          </w:p>
        </w:tc>
        <w:tc>
          <w:tcPr>
            <w:tcW w:w="1089" w:type="dxa"/>
            <w:vAlign w:val="center"/>
          </w:tcPr>
          <w:p w14:paraId="2F985B8C" w14:textId="77777777" w:rsidR="00FC5A62" w:rsidRDefault="00C76273">
            <w:pPr>
              <w:jc w:val="right"/>
              <w:rPr>
                <w:szCs w:val="21"/>
              </w:rPr>
            </w:pPr>
            <w:r>
              <w:rPr>
                <w:szCs w:val="21"/>
              </w:rPr>
              <w:t>37,897</w:t>
            </w:r>
          </w:p>
        </w:tc>
        <w:tc>
          <w:tcPr>
            <w:tcW w:w="1179" w:type="dxa"/>
            <w:vAlign w:val="center"/>
          </w:tcPr>
          <w:p w14:paraId="02FCE247" w14:textId="77777777" w:rsidR="00FC5A62" w:rsidRDefault="00C76273">
            <w:pPr>
              <w:jc w:val="right"/>
              <w:rPr>
                <w:szCs w:val="21"/>
              </w:rPr>
            </w:pPr>
            <w:r>
              <w:rPr>
                <w:szCs w:val="21"/>
              </w:rPr>
              <w:t>13.34%</w:t>
            </w:r>
          </w:p>
        </w:tc>
      </w:tr>
      <w:tr w:rsidR="00FC5A62" w14:paraId="65BCE1C4" w14:textId="77777777">
        <w:trPr>
          <w:jc w:val="center"/>
        </w:trPr>
        <w:tc>
          <w:tcPr>
            <w:tcW w:w="567" w:type="dxa"/>
            <w:vAlign w:val="center"/>
          </w:tcPr>
          <w:p w14:paraId="14D19F80" w14:textId="77777777" w:rsidR="00FC5A62" w:rsidRDefault="00C76273">
            <w:pPr>
              <w:jc w:val="center"/>
              <w:rPr>
                <w:szCs w:val="21"/>
              </w:rPr>
            </w:pPr>
            <w:r>
              <w:rPr>
                <w:szCs w:val="21"/>
              </w:rPr>
              <w:t>2</w:t>
            </w:r>
          </w:p>
        </w:tc>
        <w:tc>
          <w:tcPr>
            <w:tcW w:w="4395" w:type="dxa"/>
          </w:tcPr>
          <w:p w14:paraId="48E0A93F" w14:textId="77777777" w:rsidR="00FC5A62" w:rsidRDefault="00C76273">
            <w:pPr>
              <w:jc w:val="left"/>
              <w:rPr>
                <w:szCs w:val="21"/>
              </w:rPr>
            </w:pPr>
            <w:r>
              <w:t>Goldman Sachs Renewable Power Operating Company LLC</w:t>
            </w:r>
          </w:p>
        </w:tc>
        <w:tc>
          <w:tcPr>
            <w:tcW w:w="994" w:type="dxa"/>
            <w:vAlign w:val="center"/>
          </w:tcPr>
          <w:p w14:paraId="6DC9B51E" w14:textId="77777777" w:rsidR="00FC5A62" w:rsidRDefault="00C76273">
            <w:pPr>
              <w:jc w:val="center"/>
              <w:rPr>
                <w:szCs w:val="21"/>
              </w:rPr>
            </w:pPr>
            <w:r>
              <w:rPr>
                <w:szCs w:val="21"/>
              </w:rPr>
              <w:t>否</w:t>
            </w:r>
          </w:p>
        </w:tc>
        <w:tc>
          <w:tcPr>
            <w:tcW w:w="1133" w:type="dxa"/>
            <w:vAlign w:val="center"/>
          </w:tcPr>
          <w:p w14:paraId="6E363AEE" w14:textId="77777777" w:rsidR="00FC5A62" w:rsidRDefault="00C76273">
            <w:pPr>
              <w:jc w:val="center"/>
              <w:rPr>
                <w:szCs w:val="21"/>
              </w:rPr>
            </w:pPr>
            <w:r>
              <w:rPr>
                <w:szCs w:val="21"/>
              </w:rPr>
              <w:t>组件</w:t>
            </w:r>
          </w:p>
        </w:tc>
        <w:tc>
          <w:tcPr>
            <w:tcW w:w="1089" w:type="dxa"/>
            <w:vAlign w:val="center"/>
          </w:tcPr>
          <w:p w14:paraId="317FA031" w14:textId="77777777" w:rsidR="00FC5A62" w:rsidRDefault="00C76273">
            <w:pPr>
              <w:jc w:val="right"/>
              <w:rPr>
                <w:szCs w:val="21"/>
              </w:rPr>
            </w:pPr>
            <w:r>
              <w:rPr>
                <w:szCs w:val="21"/>
              </w:rPr>
              <w:t>37,545</w:t>
            </w:r>
          </w:p>
        </w:tc>
        <w:tc>
          <w:tcPr>
            <w:tcW w:w="1179" w:type="dxa"/>
            <w:vAlign w:val="center"/>
          </w:tcPr>
          <w:p w14:paraId="083148A7" w14:textId="77777777" w:rsidR="00FC5A62" w:rsidRDefault="00C76273">
            <w:pPr>
              <w:jc w:val="right"/>
              <w:rPr>
                <w:szCs w:val="21"/>
              </w:rPr>
            </w:pPr>
            <w:r>
              <w:rPr>
                <w:szCs w:val="21"/>
              </w:rPr>
              <w:t>13.21%</w:t>
            </w:r>
          </w:p>
        </w:tc>
      </w:tr>
      <w:tr w:rsidR="00FC5A62" w14:paraId="75FC7F11" w14:textId="77777777">
        <w:trPr>
          <w:jc w:val="center"/>
        </w:trPr>
        <w:tc>
          <w:tcPr>
            <w:tcW w:w="567" w:type="dxa"/>
            <w:vAlign w:val="center"/>
          </w:tcPr>
          <w:p w14:paraId="1A2E17C3" w14:textId="77777777" w:rsidR="00FC5A62" w:rsidRDefault="00C76273">
            <w:pPr>
              <w:jc w:val="center"/>
              <w:rPr>
                <w:szCs w:val="21"/>
              </w:rPr>
            </w:pPr>
            <w:r>
              <w:rPr>
                <w:szCs w:val="21"/>
              </w:rPr>
              <w:t>3</w:t>
            </w:r>
          </w:p>
        </w:tc>
        <w:tc>
          <w:tcPr>
            <w:tcW w:w="4395" w:type="dxa"/>
          </w:tcPr>
          <w:p w14:paraId="75525B78" w14:textId="77777777" w:rsidR="00FC5A62" w:rsidRDefault="00C76273">
            <w:pPr>
              <w:rPr>
                <w:szCs w:val="21"/>
              </w:rPr>
            </w:pPr>
            <w:r>
              <w:t>Longbow Solar, LLC</w:t>
            </w:r>
          </w:p>
        </w:tc>
        <w:tc>
          <w:tcPr>
            <w:tcW w:w="994" w:type="dxa"/>
            <w:vAlign w:val="center"/>
          </w:tcPr>
          <w:p w14:paraId="738BFD4E" w14:textId="77777777" w:rsidR="00FC5A62" w:rsidRDefault="00C76273">
            <w:pPr>
              <w:jc w:val="center"/>
              <w:rPr>
                <w:szCs w:val="21"/>
              </w:rPr>
            </w:pPr>
            <w:r>
              <w:rPr>
                <w:szCs w:val="21"/>
              </w:rPr>
              <w:t>否</w:t>
            </w:r>
          </w:p>
        </w:tc>
        <w:tc>
          <w:tcPr>
            <w:tcW w:w="1133" w:type="dxa"/>
            <w:vAlign w:val="center"/>
          </w:tcPr>
          <w:p w14:paraId="5C819D22" w14:textId="77777777" w:rsidR="00FC5A62" w:rsidRDefault="00C76273">
            <w:pPr>
              <w:jc w:val="center"/>
              <w:rPr>
                <w:szCs w:val="21"/>
              </w:rPr>
            </w:pPr>
            <w:r>
              <w:rPr>
                <w:szCs w:val="21"/>
              </w:rPr>
              <w:t>组件</w:t>
            </w:r>
          </w:p>
        </w:tc>
        <w:tc>
          <w:tcPr>
            <w:tcW w:w="1089" w:type="dxa"/>
            <w:vAlign w:val="center"/>
          </w:tcPr>
          <w:p w14:paraId="73760EAB" w14:textId="77777777" w:rsidR="00FC5A62" w:rsidRDefault="00C76273">
            <w:pPr>
              <w:jc w:val="right"/>
              <w:rPr>
                <w:szCs w:val="21"/>
              </w:rPr>
            </w:pPr>
            <w:r>
              <w:rPr>
                <w:szCs w:val="21"/>
              </w:rPr>
              <w:t>29,301</w:t>
            </w:r>
          </w:p>
        </w:tc>
        <w:tc>
          <w:tcPr>
            <w:tcW w:w="1179" w:type="dxa"/>
            <w:vAlign w:val="center"/>
          </w:tcPr>
          <w:p w14:paraId="131DB6DA" w14:textId="77777777" w:rsidR="00FC5A62" w:rsidRDefault="00C76273">
            <w:pPr>
              <w:jc w:val="right"/>
              <w:rPr>
                <w:szCs w:val="21"/>
              </w:rPr>
            </w:pPr>
            <w:r>
              <w:rPr>
                <w:szCs w:val="21"/>
              </w:rPr>
              <w:t>10.31%</w:t>
            </w:r>
          </w:p>
        </w:tc>
      </w:tr>
      <w:tr w:rsidR="00FC5A62" w14:paraId="4D82763C" w14:textId="77777777">
        <w:trPr>
          <w:jc w:val="center"/>
        </w:trPr>
        <w:tc>
          <w:tcPr>
            <w:tcW w:w="567" w:type="dxa"/>
            <w:vAlign w:val="center"/>
          </w:tcPr>
          <w:p w14:paraId="72A3A004" w14:textId="77777777" w:rsidR="00FC5A62" w:rsidRDefault="00C76273">
            <w:pPr>
              <w:jc w:val="center"/>
              <w:rPr>
                <w:szCs w:val="21"/>
              </w:rPr>
            </w:pPr>
            <w:r>
              <w:rPr>
                <w:szCs w:val="21"/>
              </w:rPr>
              <w:t>4</w:t>
            </w:r>
          </w:p>
        </w:tc>
        <w:tc>
          <w:tcPr>
            <w:tcW w:w="4395" w:type="dxa"/>
          </w:tcPr>
          <w:p w14:paraId="0A3EA893" w14:textId="77777777" w:rsidR="00FC5A62" w:rsidRDefault="00C76273">
            <w:pPr>
              <w:rPr>
                <w:szCs w:val="21"/>
              </w:rPr>
            </w:pPr>
            <w:r>
              <w:t>Swinerton Renewable Energy</w:t>
            </w:r>
          </w:p>
        </w:tc>
        <w:tc>
          <w:tcPr>
            <w:tcW w:w="994" w:type="dxa"/>
            <w:vAlign w:val="center"/>
          </w:tcPr>
          <w:p w14:paraId="20D5D144" w14:textId="77777777" w:rsidR="00FC5A62" w:rsidRDefault="00C76273">
            <w:pPr>
              <w:jc w:val="center"/>
              <w:rPr>
                <w:szCs w:val="21"/>
              </w:rPr>
            </w:pPr>
            <w:r>
              <w:rPr>
                <w:szCs w:val="21"/>
              </w:rPr>
              <w:t>否</w:t>
            </w:r>
          </w:p>
        </w:tc>
        <w:tc>
          <w:tcPr>
            <w:tcW w:w="1133" w:type="dxa"/>
            <w:vAlign w:val="center"/>
          </w:tcPr>
          <w:p w14:paraId="45C9EA94" w14:textId="77777777" w:rsidR="00FC5A62" w:rsidRDefault="00C76273">
            <w:pPr>
              <w:jc w:val="center"/>
              <w:rPr>
                <w:szCs w:val="21"/>
              </w:rPr>
            </w:pPr>
            <w:r>
              <w:rPr>
                <w:szCs w:val="21"/>
              </w:rPr>
              <w:t>组件</w:t>
            </w:r>
          </w:p>
        </w:tc>
        <w:tc>
          <w:tcPr>
            <w:tcW w:w="1089" w:type="dxa"/>
            <w:vAlign w:val="center"/>
          </w:tcPr>
          <w:p w14:paraId="6E39178A" w14:textId="77777777" w:rsidR="00FC5A62" w:rsidRDefault="00C76273">
            <w:pPr>
              <w:jc w:val="right"/>
              <w:rPr>
                <w:szCs w:val="21"/>
              </w:rPr>
            </w:pPr>
            <w:r>
              <w:rPr>
                <w:szCs w:val="21"/>
              </w:rPr>
              <w:t>28,548</w:t>
            </w:r>
          </w:p>
        </w:tc>
        <w:tc>
          <w:tcPr>
            <w:tcW w:w="1179" w:type="dxa"/>
            <w:vAlign w:val="center"/>
          </w:tcPr>
          <w:p w14:paraId="1F48F8EE" w14:textId="77777777" w:rsidR="00FC5A62" w:rsidRDefault="00C76273">
            <w:pPr>
              <w:jc w:val="right"/>
              <w:rPr>
                <w:szCs w:val="21"/>
              </w:rPr>
            </w:pPr>
            <w:r>
              <w:rPr>
                <w:szCs w:val="21"/>
              </w:rPr>
              <w:t>10.05%</w:t>
            </w:r>
          </w:p>
        </w:tc>
      </w:tr>
      <w:tr w:rsidR="00FC5A62" w14:paraId="01979CC5" w14:textId="77777777">
        <w:trPr>
          <w:jc w:val="center"/>
        </w:trPr>
        <w:tc>
          <w:tcPr>
            <w:tcW w:w="567" w:type="dxa"/>
            <w:vAlign w:val="center"/>
          </w:tcPr>
          <w:p w14:paraId="20FEC958" w14:textId="77777777" w:rsidR="00FC5A62" w:rsidRDefault="00C76273">
            <w:pPr>
              <w:jc w:val="center"/>
              <w:rPr>
                <w:szCs w:val="21"/>
              </w:rPr>
            </w:pPr>
            <w:r>
              <w:rPr>
                <w:szCs w:val="21"/>
              </w:rPr>
              <w:t>5</w:t>
            </w:r>
          </w:p>
        </w:tc>
        <w:tc>
          <w:tcPr>
            <w:tcW w:w="4395" w:type="dxa"/>
          </w:tcPr>
          <w:p w14:paraId="697EFDDF" w14:textId="2EE501D8" w:rsidR="00FC5A62" w:rsidRDefault="005D2A83">
            <w:pPr>
              <w:rPr>
                <w:szCs w:val="21"/>
              </w:rPr>
            </w:pPr>
            <w:r w:rsidRPr="005D2A83">
              <w:t>Hecate Energy LLC</w:t>
            </w:r>
          </w:p>
        </w:tc>
        <w:tc>
          <w:tcPr>
            <w:tcW w:w="994" w:type="dxa"/>
            <w:vAlign w:val="center"/>
          </w:tcPr>
          <w:p w14:paraId="28786FD2" w14:textId="77777777" w:rsidR="00FC5A62" w:rsidRDefault="00C76273">
            <w:pPr>
              <w:jc w:val="center"/>
              <w:rPr>
                <w:szCs w:val="21"/>
              </w:rPr>
            </w:pPr>
            <w:r>
              <w:rPr>
                <w:szCs w:val="21"/>
              </w:rPr>
              <w:t>否</w:t>
            </w:r>
          </w:p>
        </w:tc>
        <w:tc>
          <w:tcPr>
            <w:tcW w:w="1133" w:type="dxa"/>
            <w:vAlign w:val="center"/>
          </w:tcPr>
          <w:p w14:paraId="2F668D4D" w14:textId="77777777" w:rsidR="00FC5A62" w:rsidRDefault="00C76273">
            <w:pPr>
              <w:jc w:val="center"/>
              <w:rPr>
                <w:szCs w:val="21"/>
              </w:rPr>
            </w:pPr>
            <w:r>
              <w:rPr>
                <w:szCs w:val="21"/>
              </w:rPr>
              <w:t>组件</w:t>
            </w:r>
          </w:p>
        </w:tc>
        <w:tc>
          <w:tcPr>
            <w:tcW w:w="1089" w:type="dxa"/>
            <w:vAlign w:val="center"/>
          </w:tcPr>
          <w:p w14:paraId="0C479DCA" w14:textId="77777777" w:rsidR="00FC5A62" w:rsidRDefault="00C76273">
            <w:pPr>
              <w:jc w:val="right"/>
              <w:rPr>
                <w:szCs w:val="21"/>
              </w:rPr>
            </w:pPr>
            <w:r>
              <w:rPr>
                <w:szCs w:val="21"/>
              </w:rPr>
              <w:t>27,774</w:t>
            </w:r>
          </w:p>
        </w:tc>
        <w:tc>
          <w:tcPr>
            <w:tcW w:w="1179" w:type="dxa"/>
            <w:vAlign w:val="center"/>
          </w:tcPr>
          <w:p w14:paraId="327D078E" w14:textId="77777777" w:rsidR="00FC5A62" w:rsidRDefault="00C76273">
            <w:pPr>
              <w:jc w:val="right"/>
              <w:rPr>
                <w:szCs w:val="21"/>
              </w:rPr>
            </w:pPr>
            <w:r>
              <w:rPr>
                <w:szCs w:val="21"/>
              </w:rPr>
              <w:t>9.77%</w:t>
            </w:r>
          </w:p>
        </w:tc>
      </w:tr>
      <w:tr w:rsidR="00FC5A62" w14:paraId="1C39F0A0" w14:textId="77777777">
        <w:trPr>
          <w:jc w:val="center"/>
        </w:trPr>
        <w:tc>
          <w:tcPr>
            <w:tcW w:w="567" w:type="dxa"/>
            <w:vAlign w:val="center"/>
          </w:tcPr>
          <w:p w14:paraId="3065DE4D" w14:textId="77777777" w:rsidR="00FC5A62" w:rsidRDefault="00FC5A62">
            <w:pPr>
              <w:rPr>
                <w:szCs w:val="21"/>
              </w:rPr>
            </w:pPr>
          </w:p>
        </w:tc>
        <w:tc>
          <w:tcPr>
            <w:tcW w:w="6522" w:type="dxa"/>
            <w:gridSpan w:val="3"/>
            <w:vAlign w:val="center"/>
          </w:tcPr>
          <w:p w14:paraId="4F0DF44F" w14:textId="77777777" w:rsidR="00FC5A62" w:rsidRDefault="00C76273">
            <w:pPr>
              <w:jc w:val="center"/>
              <w:rPr>
                <w:b/>
                <w:bCs/>
                <w:szCs w:val="21"/>
              </w:rPr>
            </w:pPr>
            <w:r>
              <w:rPr>
                <w:b/>
                <w:bCs/>
                <w:szCs w:val="21"/>
              </w:rPr>
              <w:t>合计</w:t>
            </w:r>
          </w:p>
        </w:tc>
        <w:tc>
          <w:tcPr>
            <w:tcW w:w="1089" w:type="dxa"/>
            <w:vAlign w:val="center"/>
          </w:tcPr>
          <w:p w14:paraId="656252DA" w14:textId="77777777" w:rsidR="00FC5A62" w:rsidRDefault="00C76273">
            <w:pPr>
              <w:widowControl/>
              <w:jc w:val="right"/>
              <w:rPr>
                <w:b/>
                <w:bCs/>
                <w:color w:val="000000"/>
                <w:szCs w:val="21"/>
              </w:rPr>
            </w:pPr>
            <w:r>
              <w:rPr>
                <w:b/>
                <w:bCs/>
                <w:color w:val="000000"/>
                <w:szCs w:val="21"/>
              </w:rPr>
              <w:t>161,065</w:t>
            </w:r>
          </w:p>
        </w:tc>
        <w:tc>
          <w:tcPr>
            <w:tcW w:w="1179" w:type="dxa"/>
            <w:vAlign w:val="center"/>
          </w:tcPr>
          <w:p w14:paraId="081156C1" w14:textId="77777777" w:rsidR="00FC5A62" w:rsidRDefault="00C76273">
            <w:pPr>
              <w:widowControl/>
              <w:jc w:val="right"/>
              <w:rPr>
                <w:b/>
                <w:bCs/>
                <w:color w:val="000000"/>
                <w:szCs w:val="21"/>
              </w:rPr>
            </w:pPr>
            <w:r>
              <w:rPr>
                <w:b/>
                <w:bCs/>
                <w:color w:val="000000"/>
                <w:szCs w:val="21"/>
              </w:rPr>
              <w:t>56.69%</w:t>
            </w:r>
          </w:p>
        </w:tc>
      </w:tr>
      <w:tr w:rsidR="00FC5A62" w14:paraId="686213A9" w14:textId="77777777">
        <w:trPr>
          <w:jc w:val="center"/>
        </w:trPr>
        <w:tc>
          <w:tcPr>
            <w:tcW w:w="9357" w:type="dxa"/>
            <w:gridSpan w:val="6"/>
            <w:shd w:val="clear" w:color="auto" w:fill="auto"/>
            <w:vAlign w:val="center"/>
          </w:tcPr>
          <w:p w14:paraId="75D0DAAD" w14:textId="77777777" w:rsidR="00FC5A62" w:rsidRDefault="00C76273">
            <w:pPr>
              <w:jc w:val="center"/>
              <w:rPr>
                <w:b/>
                <w:bCs/>
                <w:szCs w:val="21"/>
              </w:rPr>
            </w:pPr>
            <w:bookmarkStart w:id="5" w:name="_Hlk147596439"/>
            <w:r>
              <w:rPr>
                <w:b/>
                <w:bCs/>
                <w:szCs w:val="21"/>
              </w:rPr>
              <w:t>2021</w:t>
            </w:r>
            <w:r>
              <w:rPr>
                <w:b/>
                <w:bCs/>
                <w:szCs w:val="21"/>
              </w:rPr>
              <w:t>年度</w:t>
            </w:r>
          </w:p>
        </w:tc>
      </w:tr>
      <w:tr w:rsidR="00FC5A62" w14:paraId="36D7D051" w14:textId="77777777">
        <w:trPr>
          <w:jc w:val="center"/>
        </w:trPr>
        <w:tc>
          <w:tcPr>
            <w:tcW w:w="567" w:type="dxa"/>
            <w:shd w:val="clear" w:color="auto" w:fill="auto"/>
            <w:vAlign w:val="center"/>
          </w:tcPr>
          <w:p w14:paraId="15991B21" w14:textId="77777777" w:rsidR="00FC5A62" w:rsidRDefault="00C76273">
            <w:pPr>
              <w:jc w:val="center"/>
              <w:rPr>
                <w:szCs w:val="21"/>
              </w:rPr>
            </w:pPr>
            <w:r>
              <w:rPr>
                <w:b/>
                <w:bCs/>
                <w:szCs w:val="21"/>
              </w:rPr>
              <w:t>序号</w:t>
            </w:r>
          </w:p>
        </w:tc>
        <w:tc>
          <w:tcPr>
            <w:tcW w:w="4395" w:type="dxa"/>
            <w:shd w:val="clear" w:color="auto" w:fill="auto"/>
            <w:vAlign w:val="center"/>
          </w:tcPr>
          <w:p w14:paraId="2DB28792" w14:textId="77777777" w:rsidR="00FC5A62" w:rsidRDefault="00C76273">
            <w:pPr>
              <w:jc w:val="center"/>
              <w:rPr>
                <w:szCs w:val="21"/>
              </w:rPr>
            </w:pPr>
            <w:r>
              <w:rPr>
                <w:b/>
                <w:bCs/>
                <w:szCs w:val="21"/>
              </w:rPr>
              <w:t>客户名称</w:t>
            </w:r>
          </w:p>
        </w:tc>
        <w:tc>
          <w:tcPr>
            <w:tcW w:w="994" w:type="dxa"/>
            <w:shd w:val="clear" w:color="auto" w:fill="auto"/>
            <w:vAlign w:val="center"/>
          </w:tcPr>
          <w:p w14:paraId="3507C9ED" w14:textId="77777777" w:rsidR="00FC5A62" w:rsidRDefault="00C76273">
            <w:pPr>
              <w:jc w:val="center"/>
              <w:rPr>
                <w:szCs w:val="21"/>
              </w:rPr>
            </w:pPr>
            <w:r>
              <w:rPr>
                <w:b/>
                <w:bCs/>
                <w:szCs w:val="21"/>
              </w:rPr>
              <w:t>是否为关联方</w:t>
            </w:r>
          </w:p>
        </w:tc>
        <w:tc>
          <w:tcPr>
            <w:tcW w:w="1133" w:type="dxa"/>
            <w:shd w:val="clear" w:color="auto" w:fill="auto"/>
            <w:vAlign w:val="center"/>
          </w:tcPr>
          <w:p w14:paraId="06DA536E" w14:textId="77777777" w:rsidR="00FC5A62" w:rsidRDefault="00C76273">
            <w:pPr>
              <w:jc w:val="center"/>
              <w:rPr>
                <w:szCs w:val="21"/>
              </w:rPr>
            </w:pPr>
            <w:r>
              <w:rPr>
                <w:b/>
                <w:bCs/>
                <w:szCs w:val="21"/>
              </w:rPr>
              <w:t>主要销售产品</w:t>
            </w:r>
          </w:p>
        </w:tc>
        <w:tc>
          <w:tcPr>
            <w:tcW w:w="1089" w:type="dxa"/>
            <w:shd w:val="clear" w:color="auto" w:fill="auto"/>
            <w:vAlign w:val="center"/>
          </w:tcPr>
          <w:p w14:paraId="00BF5DA2" w14:textId="77777777" w:rsidR="00FC5A62" w:rsidRDefault="00C76273">
            <w:pPr>
              <w:jc w:val="center"/>
              <w:rPr>
                <w:szCs w:val="21"/>
              </w:rPr>
            </w:pPr>
            <w:r>
              <w:rPr>
                <w:b/>
                <w:bCs/>
                <w:szCs w:val="21"/>
              </w:rPr>
              <w:t>销售金额</w:t>
            </w:r>
          </w:p>
        </w:tc>
        <w:tc>
          <w:tcPr>
            <w:tcW w:w="1179" w:type="dxa"/>
            <w:shd w:val="clear" w:color="auto" w:fill="auto"/>
            <w:vAlign w:val="center"/>
          </w:tcPr>
          <w:p w14:paraId="4877CBF2" w14:textId="77777777" w:rsidR="00FC5A62" w:rsidRDefault="00C76273">
            <w:pPr>
              <w:jc w:val="center"/>
              <w:rPr>
                <w:szCs w:val="21"/>
              </w:rPr>
            </w:pPr>
            <w:r>
              <w:rPr>
                <w:b/>
                <w:bCs/>
                <w:szCs w:val="21"/>
              </w:rPr>
              <w:t>占营业收入比重</w:t>
            </w:r>
          </w:p>
        </w:tc>
      </w:tr>
      <w:tr w:rsidR="00FC5A62" w14:paraId="78EDC743" w14:textId="77777777">
        <w:trPr>
          <w:jc w:val="center"/>
        </w:trPr>
        <w:tc>
          <w:tcPr>
            <w:tcW w:w="567" w:type="dxa"/>
            <w:vAlign w:val="center"/>
          </w:tcPr>
          <w:p w14:paraId="105F8AB8" w14:textId="77777777" w:rsidR="00FC5A62" w:rsidRDefault="00C76273">
            <w:pPr>
              <w:jc w:val="center"/>
              <w:rPr>
                <w:szCs w:val="21"/>
              </w:rPr>
            </w:pPr>
            <w:r>
              <w:rPr>
                <w:szCs w:val="21"/>
              </w:rPr>
              <w:t>1</w:t>
            </w:r>
          </w:p>
        </w:tc>
        <w:tc>
          <w:tcPr>
            <w:tcW w:w="4395" w:type="dxa"/>
          </w:tcPr>
          <w:p w14:paraId="3C597FC6" w14:textId="540A61BD" w:rsidR="00FC5A62" w:rsidRDefault="005D2A83">
            <w:pPr>
              <w:rPr>
                <w:szCs w:val="21"/>
              </w:rPr>
            </w:pPr>
            <w:r w:rsidRPr="005D2A83">
              <w:t>Hecate Energy LLC</w:t>
            </w:r>
          </w:p>
        </w:tc>
        <w:tc>
          <w:tcPr>
            <w:tcW w:w="994" w:type="dxa"/>
            <w:vAlign w:val="center"/>
          </w:tcPr>
          <w:p w14:paraId="395064AB" w14:textId="77777777" w:rsidR="00FC5A62" w:rsidRDefault="00C76273">
            <w:pPr>
              <w:jc w:val="center"/>
              <w:rPr>
                <w:szCs w:val="21"/>
              </w:rPr>
            </w:pPr>
            <w:r>
              <w:rPr>
                <w:szCs w:val="21"/>
              </w:rPr>
              <w:t>否</w:t>
            </w:r>
          </w:p>
        </w:tc>
        <w:tc>
          <w:tcPr>
            <w:tcW w:w="1133" w:type="dxa"/>
            <w:vAlign w:val="center"/>
          </w:tcPr>
          <w:p w14:paraId="5C32CA36" w14:textId="77777777" w:rsidR="00FC5A62" w:rsidRDefault="00C76273">
            <w:pPr>
              <w:jc w:val="center"/>
              <w:rPr>
                <w:szCs w:val="21"/>
              </w:rPr>
            </w:pPr>
            <w:r>
              <w:rPr>
                <w:szCs w:val="21"/>
              </w:rPr>
              <w:t>组件</w:t>
            </w:r>
          </w:p>
        </w:tc>
        <w:tc>
          <w:tcPr>
            <w:tcW w:w="1089" w:type="dxa"/>
            <w:vAlign w:val="center"/>
          </w:tcPr>
          <w:p w14:paraId="23846E82" w14:textId="77777777" w:rsidR="00FC5A62" w:rsidRDefault="00C76273">
            <w:pPr>
              <w:jc w:val="right"/>
              <w:rPr>
                <w:szCs w:val="21"/>
              </w:rPr>
            </w:pPr>
            <w:r>
              <w:rPr>
                <w:szCs w:val="21"/>
              </w:rPr>
              <w:t>15,610</w:t>
            </w:r>
          </w:p>
        </w:tc>
        <w:tc>
          <w:tcPr>
            <w:tcW w:w="1179" w:type="dxa"/>
            <w:vAlign w:val="center"/>
          </w:tcPr>
          <w:p w14:paraId="2A90327E" w14:textId="77777777" w:rsidR="00FC5A62" w:rsidRDefault="00C76273">
            <w:pPr>
              <w:jc w:val="right"/>
              <w:rPr>
                <w:szCs w:val="21"/>
              </w:rPr>
            </w:pPr>
            <w:r>
              <w:rPr>
                <w:szCs w:val="21"/>
              </w:rPr>
              <w:t>17.40%</w:t>
            </w:r>
          </w:p>
        </w:tc>
      </w:tr>
      <w:tr w:rsidR="00FC5A62" w14:paraId="19AF9161" w14:textId="77777777">
        <w:trPr>
          <w:jc w:val="center"/>
        </w:trPr>
        <w:tc>
          <w:tcPr>
            <w:tcW w:w="567" w:type="dxa"/>
            <w:vAlign w:val="center"/>
          </w:tcPr>
          <w:p w14:paraId="55025E15" w14:textId="77777777" w:rsidR="00FC5A62" w:rsidRDefault="00C76273">
            <w:pPr>
              <w:jc w:val="center"/>
              <w:rPr>
                <w:szCs w:val="21"/>
              </w:rPr>
            </w:pPr>
            <w:r>
              <w:rPr>
                <w:szCs w:val="21"/>
              </w:rPr>
              <w:t>2</w:t>
            </w:r>
          </w:p>
        </w:tc>
        <w:tc>
          <w:tcPr>
            <w:tcW w:w="4395" w:type="dxa"/>
          </w:tcPr>
          <w:p w14:paraId="56E03880" w14:textId="77777777" w:rsidR="00FC5A62" w:rsidRDefault="00C76273">
            <w:pPr>
              <w:rPr>
                <w:szCs w:val="21"/>
              </w:rPr>
            </w:pPr>
            <w:r>
              <w:t>BYD(H.K.)CO.LIMITED</w:t>
            </w:r>
          </w:p>
        </w:tc>
        <w:tc>
          <w:tcPr>
            <w:tcW w:w="994" w:type="dxa"/>
            <w:vAlign w:val="center"/>
          </w:tcPr>
          <w:p w14:paraId="72E45D6A" w14:textId="77777777" w:rsidR="00FC5A62" w:rsidRDefault="00C76273">
            <w:pPr>
              <w:jc w:val="center"/>
              <w:rPr>
                <w:szCs w:val="21"/>
              </w:rPr>
            </w:pPr>
            <w:r>
              <w:rPr>
                <w:szCs w:val="21"/>
              </w:rPr>
              <w:t>否</w:t>
            </w:r>
          </w:p>
        </w:tc>
        <w:tc>
          <w:tcPr>
            <w:tcW w:w="1133" w:type="dxa"/>
            <w:vAlign w:val="center"/>
          </w:tcPr>
          <w:p w14:paraId="3DE0A052" w14:textId="77777777" w:rsidR="00FC5A62" w:rsidRDefault="00C76273">
            <w:pPr>
              <w:jc w:val="center"/>
              <w:rPr>
                <w:szCs w:val="21"/>
              </w:rPr>
            </w:pPr>
            <w:r>
              <w:rPr>
                <w:szCs w:val="21"/>
              </w:rPr>
              <w:t>电池片</w:t>
            </w:r>
          </w:p>
        </w:tc>
        <w:tc>
          <w:tcPr>
            <w:tcW w:w="1089" w:type="dxa"/>
            <w:vAlign w:val="center"/>
          </w:tcPr>
          <w:p w14:paraId="6D734A85" w14:textId="77777777" w:rsidR="00FC5A62" w:rsidRDefault="00C76273">
            <w:pPr>
              <w:jc w:val="right"/>
              <w:rPr>
                <w:szCs w:val="21"/>
              </w:rPr>
            </w:pPr>
            <w:r>
              <w:rPr>
                <w:szCs w:val="21"/>
              </w:rPr>
              <w:t>9,102</w:t>
            </w:r>
          </w:p>
        </w:tc>
        <w:tc>
          <w:tcPr>
            <w:tcW w:w="1179" w:type="dxa"/>
            <w:vAlign w:val="center"/>
          </w:tcPr>
          <w:p w14:paraId="7AFEBD42" w14:textId="77777777" w:rsidR="00FC5A62" w:rsidRDefault="00C76273">
            <w:pPr>
              <w:jc w:val="right"/>
              <w:rPr>
                <w:szCs w:val="21"/>
              </w:rPr>
            </w:pPr>
            <w:r>
              <w:rPr>
                <w:szCs w:val="21"/>
              </w:rPr>
              <w:t>10.15%</w:t>
            </w:r>
          </w:p>
        </w:tc>
      </w:tr>
      <w:tr w:rsidR="00FC5A62" w14:paraId="0DF8870C" w14:textId="77777777">
        <w:trPr>
          <w:jc w:val="center"/>
        </w:trPr>
        <w:tc>
          <w:tcPr>
            <w:tcW w:w="567" w:type="dxa"/>
            <w:vAlign w:val="center"/>
          </w:tcPr>
          <w:p w14:paraId="7F68E836" w14:textId="77777777" w:rsidR="00FC5A62" w:rsidRDefault="00C76273">
            <w:pPr>
              <w:jc w:val="center"/>
              <w:rPr>
                <w:szCs w:val="21"/>
              </w:rPr>
            </w:pPr>
            <w:r>
              <w:rPr>
                <w:szCs w:val="21"/>
              </w:rPr>
              <w:t>3</w:t>
            </w:r>
          </w:p>
        </w:tc>
        <w:tc>
          <w:tcPr>
            <w:tcW w:w="4395" w:type="dxa"/>
          </w:tcPr>
          <w:p w14:paraId="76A165BC" w14:textId="77777777" w:rsidR="00FC5A62" w:rsidRDefault="00C76273">
            <w:pPr>
              <w:jc w:val="left"/>
              <w:rPr>
                <w:szCs w:val="21"/>
              </w:rPr>
            </w:pPr>
            <w:r>
              <w:t>JA SOLAR INTERNATIONAL LIMITED</w:t>
            </w:r>
          </w:p>
        </w:tc>
        <w:tc>
          <w:tcPr>
            <w:tcW w:w="994" w:type="dxa"/>
            <w:vAlign w:val="center"/>
          </w:tcPr>
          <w:p w14:paraId="28C8E2E5" w14:textId="77777777" w:rsidR="00FC5A62" w:rsidRDefault="00C76273">
            <w:pPr>
              <w:jc w:val="center"/>
              <w:rPr>
                <w:szCs w:val="21"/>
              </w:rPr>
            </w:pPr>
            <w:r>
              <w:rPr>
                <w:szCs w:val="21"/>
              </w:rPr>
              <w:t>否</w:t>
            </w:r>
          </w:p>
        </w:tc>
        <w:tc>
          <w:tcPr>
            <w:tcW w:w="1133" w:type="dxa"/>
            <w:vAlign w:val="center"/>
          </w:tcPr>
          <w:p w14:paraId="3DB53FF0" w14:textId="77777777" w:rsidR="00FC5A62" w:rsidRDefault="00C76273">
            <w:pPr>
              <w:jc w:val="center"/>
              <w:rPr>
                <w:szCs w:val="21"/>
              </w:rPr>
            </w:pPr>
            <w:r>
              <w:rPr>
                <w:szCs w:val="21"/>
              </w:rPr>
              <w:t>电池片</w:t>
            </w:r>
          </w:p>
        </w:tc>
        <w:tc>
          <w:tcPr>
            <w:tcW w:w="1089" w:type="dxa"/>
            <w:vAlign w:val="center"/>
          </w:tcPr>
          <w:p w14:paraId="6D629E5F" w14:textId="77777777" w:rsidR="00FC5A62" w:rsidRDefault="00C76273">
            <w:pPr>
              <w:jc w:val="right"/>
              <w:rPr>
                <w:szCs w:val="21"/>
              </w:rPr>
            </w:pPr>
            <w:r>
              <w:rPr>
                <w:szCs w:val="21"/>
              </w:rPr>
              <w:t>6,993</w:t>
            </w:r>
          </w:p>
        </w:tc>
        <w:tc>
          <w:tcPr>
            <w:tcW w:w="1179" w:type="dxa"/>
            <w:vAlign w:val="center"/>
          </w:tcPr>
          <w:p w14:paraId="7B628796" w14:textId="77777777" w:rsidR="00FC5A62" w:rsidRDefault="00C76273">
            <w:pPr>
              <w:jc w:val="right"/>
              <w:rPr>
                <w:szCs w:val="21"/>
              </w:rPr>
            </w:pPr>
            <w:r>
              <w:rPr>
                <w:szCs w:val="21"/>
              </w:rPr>
              <w:t>7.80%</w:t>
            </w:r>
          </w:p>
        </w:tc>
      </w:tr>
      <w:tr w:rsidR="00FC5A62" w14:paraId="2A50CFB6" w14:textId="77777777">
        <w:trPr>
          <w:jc w:val="center"/>
        </w:trPr>
        <w:tc>
          <w:tcPr>
            <w:tcW w:w="567" w:type="dxa"/>
            <w:vAlign w:val="center"/>
          </w:tcPr>
          <w:p w14:paraId="12618D16" w14:textId="77777777" w:rsidR="00FC5A62" w:rsidRDefault="00C76273">
            <w:pPr>
              <w:jc w:val="center"/>
              <w:rPr>
                <w:szCs w:val="21"/>
              </w:rPr>
            </w:pPr>
            <w:r>
              <w:rPr>
                <w:szCs w:val="21"/>
              </w:rPr>
              <w:t>4</w:t>
            </w:r>
          </w:p>
        </w:tc>
        <w:tc>
          <w:tcPr>
            <w:tcW w:w="4395" w:type="dxa"/>
          </w:tcPr>
          <w:p w14:paraId="436E4189" w14:textId="77777777" w:rsidR="00FC5A62" w:rsidRDefault="00C76273">
            <w:pPr>
              <w:rPr>
                <w:szCs w:val="21"/>
              </w:rPr>
            </w:pPr>
            <w:r>
              <w:t>Seraphim Energy Group Inc</w:t>
            </w:r>
          </w:p>
        </w:tc>
        <w:tc>
          <w:tcPr>
            <w:tcW w:w="994" w:type="dxa"/>
            <w:vAlign w:val="center"/>
          </w:tcPr>
          <w:p w14:paraId="77D4F59D" w14:textId="77777777" w:rsidR="00FC5A62" w:rsidRDefault="00C76273">
            <w:pPr>
              <w:jc w:val="center"/>
              <w:rPr>
                <w:szCs w:val="21"/>
              </w:rPr>
            </w:pPr>
            <w:r>
              <w:rPr>
                <w:szCs w:val="21"/>
              </w:rPr>
              <w:t>否</w:t>
            </w:r>
          </w:p>
        </w:tc>
        <w:tc>
          <w:tcPr>
            <w:tcW w:w="1133" w:type="dxa"/>
            <w:vAlign w:val="center"/>
          </w:tcPr>
          <w:p w14:paraId="3FDF87DD" w14:textId="77777777" w:rsidR="00FC5A62" w:rsidRDefault="00C76273">
            <w:pPr>
              <w:jc w:val="center"/>
              <w:rPr>
                <w:szCs w:val="21"/>
              </w:rPr>
            </w:pPr>
            <w:r>
              <w:rPr>
                <w:szCs w:val="21"/>
              </w:rPr>
              <w:t>组件</w:t>
            </w:r>
          </w:p>
        </w:tc>
        <w:tc>
          <w:tcPr>
            <w:tcW w:w="1089" w:type="dxa"/>
            <w:vAlign w:val="center"/>
          </w:tcPr>
          <w:p w14:paraId="7D6BFEA0" w14:textId="77777777" w:rsidR="00FC5A62" w:rsidRDefault="00C76273">
            <w:pPr>
              <w:jc w:val="right"/>
              <w:rPr>
                <w:szCs w:val="21"/>
              </w:rPr>
            </w:pPr>
            <w:r>
              <w:rPr>
                <w:szCs w:val="21"/>
              </w:rPr>
              <w:t>6,429</w:t>
            </w:r>
          </w:p>
        </w:tc>
        <w:tc>
          <w:tcPr>
            <w:tcW w:w="1179" w:type="dxa"/>
            <w:vAlign w:val="center"/>
          </w:tcPr>
          <w:p w14:paraId="33143C0F" w14:textId="77777777" w:rsidR="00FC5A62" w:rsidRDefault="00C76273">
            <w:pPr>
              <w:jc w:val="right"/>
              <w:rPr>
                <w:szCs w:val="21"/>
              </w:rPr>
            </w:pPr>
            <w:r>
              <w:rPr>
                <w:szCs w:val="21"/>
              </w:rPr>
              <w:t>7.17%</w:t>
            </w:r>
          </w:p>
        </w:tc>
      </w:tr>
      <w:tr w:rsidR="00FC5A62" w14:paraId="5D5336FE" w14:textId="77777777">
        <w:trPr>
          <w:jc w:val="center"/>
        </w:trPr>
        <w:tc>
          <w:tcPr>
            <w:tcW w:w="567" w:type="dxa"/>
            <w:vAlign w:val="center"/>
          </w:tcPr>
          <w:p w14:paraId="793D3ECC" w14:textId="77777777" w:rsidR="00FC5A62" w:rsidRDefault="00C76273">
            <w:pPr>
              <w:jc w:val="center"/>
              <w:rPr>
                <w:szCs w:val="21"/>
              </w:rPr>
            </w:pPr>
            <w:r>
              <w:rPr>
                <w:szCs w:val="21"/>
              </w:rPr>
              <w:t>5</w:t>
            </w:r>
          </w:p>
        </w:tc>
        <w:tc>
          <w:tcPr>
            <w:tcW w:w="4395" w:type="dxa"/>
          </w:tcPr>
          <w:p w14:paraId="3D9F1577" w14:textId="77777777" w:rsidR="00FC5A62" w:rsidRDefault="00C76273">
            <w:pPr>
              <w:rPr>
                <w:szCs w:val="21"/>
              </w:rPr>
            </w:pPr>
            <w:proofErr w:type="spellStart"/>
            <w:r>
              <w:t>Axitec</w:t>
            </w:r>
            <w:proofErr w:type="spellEnd"/>
            <w:r>
              <w:t xml:space="preserve"> LLC</w:t>
            </w:r>
          </w:p>
        </w:tc>
        <w:tc>
          <w:tcPr>
            <w:tcW w:w="994" w:type="dxa"/>
            <w:vAlign w:val="center"/>
          </w:tcPr>
          <w:p w14:paraId="1B074BBA" w14:textId="77777777" w:rsidR="00FC5A62" w:rsidRDefault="00C76273">
            <w:pPr>
              <w:jc w:val="center"/>
              <w:rPr>
                <w:szCs w:val="21"/>
              </w:rPr>
            </w:pPr>
            <w:r>
              <w:rPr>
                <w:szCs w:val="21"/>
              </w:rPr>
              <w:t>否</w:t>
            </w:r>
          </w:p>
        </w:tc>
        <w:tc>
          <w:tcPr>
            <w:tcW w:w="1133" w:type="dxa"/>
            <w:vAlign w:val="center"/>
          </w:tcPr>
          <w:p w14:paraId="01F0DBB7" w14:textId="77777777" w:rsidR="00FC5A62" w:rsidRDefault="00C76273">
            <w:pPr>
              <w:jc w:val="center"/>
              <w:rPr>
                <w:szCs w:val="21"/>
              </w:rPr>
            </w:pPr>
            <w:r>
              <w:rPr>
                <w:szCs w:val="21"/>
              </w:rPr>
              <w:t>组件</w:t>
            </w:r>
          </w:p>
        </w:tc>
        <w:tc>
          <w:tcPr>
            <w:tcW w:w="1089" w:type="dxa"/>
            <w:vAlign w:val="center"/>
          </w:tcPr>
          <w:p w14:paraId="1029B75A" w14:textId="77777777" w:rsidR="00FC5A62" w:rsidRDefault="00C76273">
            <w:pPr>
              <w:jc w:val="right"/>
              <w:rPr>
                <w:szCs w:val="21"/>
              </w:rPr>
            </w:pPr>
            <w:r>
              <w:rPr>
                <w:szCs w:val="21"/>
              </w:rPr>
              <w:t>5,896</w:t>
            </w:r>
          </w:p>
        </w:tc>
        <w:tc>
          <w:tcPr>
            <w:tcW w:w="1179" w:type="dxa"/>
            <w:vAlign w:val="center"/>
          </w:tcPr>
          <w:p w14:paraId="2B6BB032" w14:textId="77777777" w:rsidR="00FC5A62" w:rsidRDefault="00C76273">
            <w:pPr>
              <w:jc w:val="right"/>
              <w:rPr>
                <w:szCs w:val="21"/>
              </w:rPr>
            </w:pPr>
            <w:r>
              <w:rPr>
                <w:szCs w:val="21"/>
              </w:rPr>
              <w:t>6.57%</w:t>
            </w:r>
          </w:p>
        </w:tc>
      </w:tr>
      <w:tr w:rsidR="00FC5A62" w14:paraId="6B57062B" w14:textId="77777777">
        <w:trPr>
          <w:jc w:val="center"/>
        </w:trPr>
        <w:tc>
          <w:tcPr>
            <w:tcW w:w="567" w:type="dxa"/>
            <w:vAlign w:val="center"/>
          </w:tcPr>
          <w:p w14:paraId="5C719D64" w14:textId="77777777" w:rsidR="00FC5A62" w:rsidRDefault="00FC5A62">
            <w:pPr>
              <w:rPr>
                <w:szCs w:val="21"/>
              </w:rPr>
            </w:pPr>
          </w:p>
        </w:tc>
        <w:tc>
          <w:tcPr>
            <w:tcW w:w="6522" w:type="dxa"/>
            <w:gridSpan w:val="3"/>
            <w:vAlign w:val="center"/>
          </w:tcPr>
          <w:p w14:paraId="0DAFED7B" w14:textId="77777777" w:rsidR="00FC5A62" w:rsidRDefault="00C76273">
            <w:pPr>
              <w:jc w:val="center"/>
              <w:rPr>
                <w:b/>
                <w:bCs/>
                <w:szCs w:val="21"/>
              </w:rPr>
            </w:pPr>
            <w:r>
              <w:rPr>
                <w:b/>
                <w:bCs/>
                <w:szCs w:val="21"/>
              </w:rPr>
              <w:t>合计</w:t>
            </w:r>
          </w:p>
        </w:tc>
        <w:tc>
          <w:tcPr>
            <w:tcW w:w="1089" w:type="dxa"/>
            <w:vAlign w:val="center"/>
          </w:tcPr>
          <w:p w14:paraId="31364D98" w14:textId="77777777" w:rsidR="00FC5A62" w:rsidRDefault="00C76273">
            <w:pPr>
              <w:widowControl/>
              <w:jc w:val="right"/>
              <w:rPr>
                <w:b/>
                <w:bCs/>
                <w:color w:val="000000"/>
                <w:szCs w:val="21"/>
              </w:rPr>
            </w:pPr>
            <w:r>
              <w:rPr>
                <w:b/>
                <w:bCs/>
                <w:color w:val="000000"/>
                <w:szCs w:val="21"/>
              </w:rPr>
              <w:t>44,030</w:t>
            </w:r>
          </w:p>
        </w:tc>
        <w:tc>
          <w:tcPr>
            <w:tcW w:w="1179" w:type="dxa"/>
            <w:vAlign w:val="center"/>
          </w:tcPr>
          <w:p w14:paraId="0B4B85C1" w14:textId="77777777" w:rsidR="00FC5A62" w:rsidRDefault="00C76273">
            <w:pPr>
              <w:widowControl/>
              <w:jc w:val="right"/>
              <w:rPr>
                <w:b/>
                <w:bCs/>
                <w:color w:val="000000"/>
                <w:szCs w:val="21"/>
              </w:rPr>
            </w:pPr>
            <w:r>
              <w:rPr>
                <w:b/>
                <w:bCs/>
                <w:color w:val="000000"/>
                <w:szCs w:val="21"/>
              </w:rPr>
              <w:t>49.09%</w:t>
            </w:r>
          </w:p>
        </w:tc>
      </w:tr>
    </w:tbl>
    <w:bookmarkEnd w:id="4"/>
    <w:bookmarkEnd w:id="5"/>
    <w:p w14:paraId="04947D49" w14:textId="77777777" w:rsidR="00FC5A62" w:rsidRDefault="00C76273">
      <w:pPr>
        <w:pStyle w:val="af3"/>
      </w:pPr>
      <w:r>
        <w:rPr>
          <w:rFonts w:hint="eastAsia"/>
        </w:rPr>
        <w:t>注：以上财务数据未经审计</w:t>
      </w:r>
    </w:p>
    <w:p w14:paraId="4F970F18" w14:textId="441A2B94" w:rsidR="00FC5A62" w:rsidRDefault="00DF7D9D" w:rsidP="007519FA">
      <w:pPr>
        <w:spacing w:beforeLines="50" w:before="156" w:afterLines="50" w:after="156" w:line="360" w:lineRule="auto"/>
        <w:ind w:firstLineChars="200" w:firstLine="480"/>
        <w:rPr>
          <w:sz w:val="24"/>
        </w:rPr>
      </w:pPr>
      <w:r w:rsidRPr="00DF7D9D">
        <w:rPr>
          <w:rFonts w:hint="eastAsia"/>
          <w:sz w:val="24"/>
        </w:rPr>
        <w:t>2021</w:t>
      </w:r>
      <w:r w:rsidRPr="00DF7D9D">
        <w:rPr>
          <w:rFonts w:hint="eastAsia"/>
          <w:sz w:val="24"/>
        </w:rPr>
        <w:t>年度、</w:t>
      </w:r>
      <w:r w:rsidRPr="00DF7D9D">
        <w:rPr>
          <w:rFonts w:hint="eastAsia"/>
          <w:sz w:val="24"/>
        </w:rPr>
        <w:t>2022</w:t>
      </w:r>
      <w:r w:rsidRPr="00DF7D9D">
        <w:rPr>
          <w:rFonts w:hint="eastAsia"/>
          <w:sz w:val="24"/>
        </w:rPr>
        <w:t>年度及</w:t>
      </w:r>
      <w:r w:rsidRPr="00DF7D9D">
        <w:rPr>
          <w:rFonts w:hint="eastAsia"/>
          <w:sz w:val="24"/>
        </w:rPr>
        <w:t>2023</w:t>
      </w:r>
      <w:r w:rsidRPr="00DF7D9D">
        <w:rPr>
          <w:rFonts w:hint="eastAsia"/>
          <w:sz w:val="24"/>
        </w:rPr>
        <w:t>年一季度，前五大客户集中度分别达到了</w:t>
      </w:r>
      <w:r w:rsidRPr="00DF7D9D">
        <w:rPr>
          <w:rFonts w:hint="eastAsia"/>
          <w:sz w:val="24"/>
        </w:rPr>
        <w:t>49.09%</w:t>
      </w:r>
      <w:r w:rsidRPr="00DF7D9D">
        <w:rPr>
          <w:rFonts w:hint="eastAsia"/>
          <w:sz w:val="24"/>
        </w:rPr>
        <w:t>、</w:t>
      </w:r>
      <w:r w:rsidRPr="00DF7D9D">
        <w:rPr>
          <w:rFonts w:hint="eastAsia"/>
          <w:sz w:val="24"/>
        </w:rPr>
        <w:t>56.69%</w:t>
      </w:r>
      <w:r w:rsidRPr="00DF7D9D">
        <w:rPr>
          <w:rFonts w:hint="eastAsia"/>
          <w:sz w:val="24"/>
        </w:rPr>
        <w:t>和</w:t>
      </w:r>
      <w:r w:rsidRPr="00DF7D9D">
        <w:rPr>
          <w:rFonts w:hint="eastAsia"/>
          <w:sz w:val="24"/>
        </w:rPr>
        <w:t>95.67%</w:t>
      </w:r>
      <w:r w:rsidRPr="00DF7D9D">
        <w:rPr>
          <w:rFonts w:hint="eastAsia"/>
          <w:sz w:val="24"/>
        </w:rPr>
        <w:t>，其中</w:t>
      </w:r>
      <w:r w:rsidRPr="00DF7D9D">
        <w:rPr>
          <w:rFonts w:hint="eastAsia"/>
          <w:sz w:val="24"/>
        </w:rPr>
        <w:t>2023</w:t>
      </w:r>
      <w:r w:rsidRPr="00DF7D9D">
        <w:rPr>
          <w:rFonts w:hint="eastAsia"/>
          <w:sz w:val="24"/>
        </w:rPr>
        <w:t>年一季度前五大客户</w:t>
      </w:r>
      <w:proofErr w:type="gramStart"/>
      <w:r w:rsidRPr="00DF7D9D">
        <w:rPr>
          <w:rFonts w:hint="eastAsia"/>
          <w:sz w:val="24"/>
        </w:rPr>
        <w:t>占比较</w:t>
      </w:r>
      <w:proofErr w:type="gramEnd"/>
      <w:r w:rsidRPr="00DF7D9D">
        <w:rPr>
          <w:rFonts w:hint="eastAsia"/>
          <w:sz w:val="24"/>
        </w:rPr>
        <w:t>高，主要系标的公司采用“以销定产”的订单生产模式，根据其客户</w:t>
      </w:r>
      <w:proofErr w:type="spellStart"/>
      <w:r w:rsidRPr="00DF7D9D">
        <w:rPr>
          <w:rFonts w:hint="eastAsia"/>
          <w:sz w:val="24"/>
        </w:rPr>
        <w:t>Elawan</w:t>
      </w:r>
      <w:proofErr w:type="spellEnd"/>
      <w:r w:rsidRPr="00DF7D9D">
        <w:rPr>
          <w:rFonts w:hint="eastAsia"/>
          <w:sz w:val="24"/>
        </w:rPr>
        <w:t xml:space="preserve"> Energy S.L.</w:t>
      </w:r>
      <w:r w:rsidRPr="00DF7D9D">
        <w:rPr>
          <w:rFonts w:hint="eastAsia"/>
          <w:sz w:val="24"/>
        </w:rPr>
        <w:t>、</w:t>
      </w:r>
      <w:proofErr w:type="spellStart"/>
      <w:r w:rsidRPr="00DF7D9D">
        <w:rPr>
          <w:rFonts w:hint="eastAsia"/>
          <w:sz w:val="24"/>
        </w:rPr>
        <w:t>rPlus</w:t>
      </w:r>
      <w:proofErr w:type="spellEnd"/>
      <w:r w:rsidRPr="00DF7D9D">
        <w:rPr>
          <w:rFonts w:hint="eastAsia"/>
          <w:sz w:val="24"/>
        </w:rPr>
        <w:t xml:space="preserve"> Energies, LLC</w:t>
      </w:r>
      <w:r w:rsidRPr="00DF7D9D">
        <w:rPr>
          <w:rFonts w:hint="eastAsia"/>
          <w:sz w:val="24"/>
        </w:rPr>
        <w:t>的项目进度及交付安排等要求，其订单需于</w:t>
      </w:r>
      <w:r w:rsidRPr="00DF7D9D">
        <w:rPr>
          <w:rFonts w:hint="eastAsia"/>
          <w:sz w:val="24"/>
        </w:rPr>
        <w:t>2023</w:t>
      </w:r>
      <w:r w:rsidRPr="00DF7D9D">
        <w:rPr>
          <w:rFonts w:hint="eastAsia"/>
          <w:sz w:val="24"/>
        </w:rPr>
        <w:t>年一季度完成部分交付，因此受订单集中交付安排的影响，</w:t>
      </w:r>
      <w:r w:rsidRPr="00DF7D9D">
        <w:rPr>
          <w:rFonts w:hint="eastAsia"/>
          <w:sz w:val="24"/>
        </w:rPr>
        <w:t>2023</w:t>
      </w:r>
      <w:r w:rsidRPr="00DF7D9D">
        <w:rPr>
          <w:rFonts w:hint="eastAsia"/>
          <w:sz w:val="24"/>
        </w:rPr>
        <w:t>年一季度前五大客户占比较高。其中</w:t>
      </w:r>
      <w:proofErr w:type="spellStart"/>
      <w:r w:rsidRPr="00DF7D9D">
        <w:rPr>
          <w:rFonts w:hint="eastAsia"/>
          <w:sz w:val="24"/>
        </w:rPr>
        <w:t>Elawan</w:t>
      </w:r>
      <w:proofErr w:type="spellEnd"/>
      <w:r w:rsidRPr="00DF7D9D">
        <w:rPr>
          <w:rFonts w:hint="eastAsia"/>
          <w:sz w:val="24"/>
        </w:rPr>
        <w:t xml:space="preserve"> Energy S.L.</w:t>
      </w:r>
      <w:r w:rsidRPr="00DF7D9D">
        <w:rPr>
          <w:rFonts w:hint="eastAsia"/>
          <w:sz w:val="24"/>
        </w:rPr>
        <w:t>于一季度交付约</w:t>
      </w:r>
      <w:r w:rsidRPr="00DF7D9D">
        <w:rPr>
          <w:rFonts w:hint="eastAsia"/>
          <w:sz w:val="24"/>
        </w:rPr>
        <w:t>141MW</w:t>
      </w:r>
      <w:r w:rsidRPr="00DF7D9D">
        <w:rPr>
          <w:rFonts w:hint="eastAsia"/>
          <w:sz w:val="24"/>
        </w:rPr>
        <w:t>，</w:t>
      </w:r>
      <w:proofErr w:type="spellStart"/>
      <w:r w:rsidRPr="00DF7D9D">
        <w:rPr>
          <w:rFonts w:hint="eastAsia"/>
          <w:sz w:val="24"/>
        </w:rPr>
        <w:t>rPlus</w:t>
      </w:r>
      <w:proofErr w:type="spellEnd"/>
      <w:r w:rsidRPr="00DF7D9D">
        <w:rPr>
          <w:rFonts w:hint="eastAsia"/>
          <w:sz w:val="24"/>
        </w:rPr>
        <w:t xml:space="preserve"> Energies, LLC</w:t>
      </w:r>
      <w:r w:rsidRPr="00DF7D9D">
        <w:rPr>
          <w:rFonts w:hint="eastAsia"/>
          <w:sz w:val="24"/>
        </w:rPr>
        <w:t>于一季度交付约</w:t>
      </w:r>
      <w:r w:rsidRPr="00DF7D9D">
        <w:rPr>
          <w:rFonts w:hint="eastAsia"/>
          <w:sz w:val="24"/>
        </w:rPr>
        <w:t>123MW</w:t>
      </w:r>
      <w:r w:rsidRPr="00DF7D9D">
        <w:rPr>
          <w:rFonts w:hint="eastAsia"/>
          <w:sz w:val="24"/>
        </w:rPr>
        <w:t>。</w:t>
      </w:r>
    </w:p>
    <w:p w14:paraId="4BDD3671" w14:textId="72D8D716" w:rsidR="00A14320" w:rsidRDefault="00A14320" w:rsidP="00881468">
      <w:pPr>
        <w:spacing w:beforeLines="50" w:before="156" w:afterLines="50" w:after="156" w:line="360" w:lineRule="auto"/>
        <w:ind w:firstLineChars="200" w:firstLine="480"/>
        <w:rPr>
          <w:sz w:val="24"/>
        </w:rPr>
      </w:pPr>
      <w:r>
        <w:rPr>
          <w:rFonts w:hint="eastAsia"/>
          <w:sz w:val="24"/>
        </w:rPr>
        <w:t>标的公司主要客户基本情况如下：</w:t>
      </w:r>
    </w:p>
    <w:tbl>
      <w:tblPr>
        <w:tblStyle w:val="ae"/>
        <w:tblW w:w="9355" w:type="dxa"/>
        <w:tblInd w:w="-408" w:type="dxa"/>
        <w:tblLook w:val="04A0" w:firstRow="1" w:lastRow="0" w:firstColumn="1" w:lastColumn="0" w:noHBand="0" w:noVBand="1"/>
      </w:tblPr>
      <w:tblGrid>
        <w:gridCol w:w="4300"/>
        <w:gridCol w:w="5055"/>
      </w:tblGrid>
      <w:tr w:rsidR="00A14320" w:rsidRPr="00A44CCC" w14:paraId="6327F138" w14:textId="77777777" w:rsidTr="006A5F02">
        <w:tc>
          <w:tcPr>
            <w:tcW w:w="9355" w:type="dxa"/>
            <w:gridSpan w:val="2"/>
          </w:tcPr>
          <w:p w14:paraId="4DC39495" w14:textId="392C19CA" w:rsidR="00A14320" w:rsidRPr="005D37EA" w:rsidRDefault="00A14320" w:rsidP="00E64F0A">
            <w:pPr>
              <w:jc w:val="center"/>
              <w:rPr>
                <w:rFonts w:eastAsiaTheme="majorEastAsia"/>
                <w:b/>
                <w:bCs/>
                <w:szCs w:val="21"/>
              </w:rPr>
            </w:pPr>
            <w:r w:rsidRPr="005D37EA">
              <w:rPr>
                <w:rFonts w:eastAsiaTheme="majorEastAsia" w:hint="eastAsia"/>
                <w:b/>
                <w:bCs/>
                <w:szCs w:val="21"/>
              </w:rPr>
              <w:t>组件客户</w:t>
            </w:r>
          </w:p>
        </w:tc>
      </w:tr>
      <w:tr w:rsidR="00A14320" w:rsidRPr="00A44CCC" w14:paraId="16A0690E" w14:textId="77777777" w:rsidTr="00E64F0A">
        <w:tc>
          <w:tcPr>
            <w:tcW w:w="4300" w:type="dxa"/>
          </w:tcPr>
          <w:p w14:paraId="6316D8DB" w14:textId="565BA7EB" w:rsidR="00A14320" w:rsidRPr="005D37EA" w:rsidRDefault="00A14320" w:rsidP="00E64F0A">
            <w:pPr>
              <w:jc w:val="center"/>
              <w:rPr>
                <w:rFonts w:eastAsiaTheme="majorEastAsia"/>
                <w:b/>
                <w:bCs/>
                <w:szCs w:val="21"/>
              </w:rPr>
            </w:pPr>
            <w:r w:rsidRPr="005D37EA">
              <w:rPr>
                <w:rFonts w:eastAsiaTheme="majorEastAsia" w:hint="eastAsia"/>
                <w:b/>
                <w:bCs/>
                <w:szCs w:val="21"/>
              </w:rPr>
              <w:t>客户名称</w:t>
            </w:r>
          </w:p>
        </w:tc>
        <w:tc>
          <w:tcPr>
            <w:tcW w:w="5055" w:type="dxa"/>
          </w:tcPr>
          <w:p w14:paraId="7E8A31AB" w14:textId="2D794552" w:rsidR="00A14320" w:rsidRPr="005D37EA" w:rsidRDefault="00A14320" w:rsidP="00E64F0A">
            <w:pPr>
              <w:jc w:val="center"/>
              <w:rPr>
                <w:rFonts w:eastAsiaTheme="majorEastAsia"/>
                <w:b/>
                <w:bCs/>
                <w:szCs w:val="21"/>
              </w:rPr>
            </w:pPr>
            <w:r w:rsidRPr="005D37EA">
              <w:rPr>
                <w:rFonts w:eastAsiaTheme="majorEastAsia" w:hint="eastAsia"/>
                <w:b/>
                <w:bCs/>
                <w:szCs w:val="21"/>
              </w:rPr>
              <w:t>基本情况介绍</w:t>
            </w:r>
          </w:p>
        </w:tc>
      </w:tr>
      <w:tr w:rsidR="006A7943" w:rsidRPr="00A44CCC" w14:paraId="621F958F" w14:textId="77777777" w:rsidTr="00E64F0A">
        <w:tc>
          <w:tcPr>
            <w:tcW w:w="4300" w:type="dxa"/>
          </w:tcPr>
          <w:p w14:paraId="20E7AC69" w14:textId="1733200B" w:rsidR="006A7943" w:rsidRPr="006A7943" w:rsidRDefault="006A7943" w:rsidP="00E64F0A">
            <w:pPr>
              <w:rPr>
                <w:rFonts w:eastAsiaTheme="majorEastAsia"/>
                <w:kern w:val="0"/>
                <w:szCs w:val="21"/>
              </w:rPr>
            </w:pPr>
            <w:proofErr w:type="spellStart"/>
            <w:r w:rsidRPr="007E1A23">
              <w:rPr>
                <w:rFonts w:eastAsiaTheme="majorEastAsia"/>
                <w:kern w:val="0"/>
                <w:szCs w:val="21"/>
              </w:rPr>
              <w:lastRenderedPageBreak/>
              <w:t>Elawan</w:t>
            </w:r>
            <w:proofErr w:type="spellEnd"/>
            <w:r w:rsidRPr="007E1A23">
              <w:rPr>
                <w:rFonts w:eastAsiaTheme="majorEastAsia"/>
                <w:kern w:val="0"/>
                <w:szCs w:val="21"/>
              </w:rPr>
              <w:t xml:space="preserve"> Energy S.L.</w:t>
            </w:r>
          </w:p>
        </w:tc>
        <w:tc>
          <w:tcPr>
            <w:tcW w:w="5055" w:type="dxa"/>
          </w:tcPr>
          <w:p w14:paraId="72CDF43C" w14:textId="65EFC832" w:rsidR="006A7943" w:rsidRPr="006A7943" w:rsidRDefault="006A7943" w:rsidP="00E64F0A">
            <w:pPr>
              <w:rPr>
                <w:rFonts w:eastAsiaTheme="majorEastAsia"/>
                <w:szCs w:val="21"/>
              </w:rPr>
            </w:pPr>
            <w:proofErr w:type="spellStart"/>
            <w:r w:rsidRPr="007E1A23">
              <w:rPr>
                <w:rFonts w:eastAsiaTheme="majorEastAsia"/>
                <w:kern w:val="0"/>
                <w:szCs w:val="21"/>
              </w:rPr>
              <w:t>Elawan</w:t>
            </w:r>
            <w:proofErr w:type="spellEnd"/>
            <w:r w:rsidRPr="007E1A23">
              <w:rPr>
                <w:rFonts w:eastAsiaTheme="majorEastAsia"/>
                <w:kern w:val="0"/>
                <w:szCs w:val="21"/>
              </w:rPr>
              <w:t xml:space="preserve"> Energy</w:t>
            </w:r>
            <w:r w:rsidRPr="007E1A23">
              <w:rPr>
                <w:rFonts w:eastAsiaTheme="majorEastAsia" w:hint="eastAsia"/>
                <w:kern w:val="0"/>
                <w:szCs w:val="21"/>
              </w:rPr>
              <w:t>隶属</w:t>
            </w:r>
            <w:r>
              <w:rPr>
                <w:rFonts w:eastAsiaTheme="majorEastAsia" w:hint="eastAsia"/>
                <w:kern w:val="0"/>
                <w:szCs w:val="21"/>
              </w:rPr>
              <w:t>日本</w:t>
            </w:r>
            <w:r w:rsidRPr="007E1A23">
              <w:rPr>
                <w:rFonts w:eastAsiaTheme="majorEastAsia"/>
                <w:kern w:val="0"/>
                <w:szCs w:val="21"/>
              </w:rPr>
              <w:t>ORIX</w:t>
            </w:r>
            <w:r w:rsidRPr="007E1A23">
              <w:rPr>
                <w:rFonts w:eastAsiaTheme="majorEastAsia" w:hint="eastAsia"/>
                <w:kern w:val="0"/>
                <w:szCs w:val="21"/>
              </w:rPr>
              <w:t>集团，</w:t>
            </w:r>
            <w:r w:rsidRPr="007E1A23">
              <w:rPr>
                <w:rFonts w:eastAsiaTheme="majorEastAsia"/>
                <w:kern w:val="0"/>
                <w:szCs w:val="21"/>
              </w:rPr>
              <w:t>ORIX</w:t>
            </w:r>
            <w:r w:rsidRPr="007E1A23">
              <w:rPr>
                <w:rFonts w:eastAsiaTheme="majorEastAsia" w:hint="eastAsia"/>
                <w:kern w:val="0"/>
                <w:szCs w:val="21"/>
              </w:rPr>
              <w:t>集团成立于</w:t>
            </w:r>
            <w:r w:rsidRPr="007E1A23">
              <w:rPr>
                <w:rFonts w:eastAsiaTheme="majorEastAsia"/>
                <w:kern w:val="0"/>
                <w:szCs w:val="21"/>
              </w:rPr>
              <w:t>1964</w:t>
            </w:r>
            <w:r w:rsidRPr="007E1A23">
              <w:rPr>
                <w:rFonts w:eastAsiaTheme="majorEastAsia" w:hint="eastAsia"/>
                <w:kern w:val="0"/>
                <w:szCs w:val="21"/>
              </w:rPr>
              <w:t>年，总部设于日本东京，是全球最大的综合性企业集团之一，致力于以金融＋运营＋投资相结合的模式持续为经济、环境和社会创造新价值。</w:t>
            </w:r>
            <w:proofErr w:type="spellStart"/>
            <w:r w:rsidRPr="007E1A23">
              <w:rPr>
                <w:rFonts w:eastAsiaTheme="majorEastAsia"/>
                <w:kern w:val="0"/>
                <w:szCs w:val="21"/>
              </w:rPr>
              <w:t>Elawan</w:t>
            </w:r>
            <w:proofErr w:type="spellEnd"/>
            <w:r w:rsidRPr="007E1A23">
              <w:rPr>
                <w:rFonts w:eastAsiaTheme="majorEastAsia"/>
                <w:kern w:val="0"/>
                <w:szCs w:val="21"/>
              </w:rPr>
              <w:t xml:space="preserve"> Energy</w:t>
            </w:r>
            <w:r w:rsidRPr="007E1A23">
              <w:rPr>
                <w:rFonts w:eastAsiaTheme="majorEastAsia" w:hint="eastAsia"/>
                <w:kern w:val="0"/>
                <w:szCs w:val="21"/>
              </w:rPr>
              <w:t>是</w:t>
            </w:r>
            <w:r w:rsidRPr="007E1A23">
              <w:rPr>
                <w:rFonts w:eastAsiaTheme="majorEastAsia"/>
                <w:kern w:val="0"/>
                <w:szCs w:val="21"/>
              </w:rPr>
              <w:t>ORIX</w:t>
            </w:r>
            <w:r w:rsidRPr="007E1A23">
              <w:rPr>
                <w:rFonts w:eastAsiaTheme="majorEastAsia" w:hint="eastAsia"/>
                <w:kern w:val="0"/>
                <w:szCs w:val="21"/>
              </w:rPr>
              <w:t>集团可再生能源行业</w:t>
            </w:r>
            <w:r>
              <w:rPr>
                <w:rFonts w:eastAsiaTheme="majorEastAsia" w:hint="eastAsia"/>
                <w:kern w:val="0"/>
                <w:szCs w:val="21"/>
              </w:rPr>
              <w:t>板块</w:t>
            </w:r>
            <w:r w:rsidRPr="007E1A23">
              <w:rPr>
                <w:rFonts w:eastAsiaTheme="majorEastAsia" w:hint="eastAsia"/>
                <w:kern w:val="0"/>
                <w:szCs w:val="21"/>
              </w:rPr>
              <w:t>的全球运营商，为客户提供综合解决方案，涵盖绿色能源生命周期的各个阶段，从风电场、光伏电站和水电站的推广、开发和建设到运营、维护，同时销售所生产的绿色能源。截至</w:t>
            </w:r>
            <w:r w:rsidRPr="007E1A23">
              <w:rPr>
                <w:rFonts w:eastAsiaTheme="majorEastAsia"/>
                <w:kern w:val="0"/>
                <w:szCs w:val="21"/>
              </w:rPr>
              <w:t>2022</w:t>
            </w:r>
            <w:r w:rsidRPr="007E1A23">
              <w:rPr>
                <w:rFonts w:eastAsiaTheme="majorEastAsia" w:hint="eastAsia"/>
                <w:kern w:val="0"/>
                <w:szCs w:val="21"/>
              </w:rPr>
              <w:t>年末，</w:t>
            </w:r>
            <w:proofErr w:type="spellStart"/>
            <w:r w:rsidRPr="007E1A23">
              <w:rPr>
                <w:rFonts w:eastAsiaTheme="majorEastAsia"/>
                <w:kern w:val="0"/>
                <w:szCs w:val="21"/>
              </w:rPr>
              <w:t>Elawan</w:t>
            </w:r>
            <w:proofErr w:type="spellEnd"/>
            <w:r w:rsidRPr="007E1A23">
              <w:rPr>
                <w:rFonts w:eastAsiaTheme="majorEastAsia"/>
                <w:kern w:val="0"/>
                <w:szCs w:val="21"/>
              </w:rPr>
              <w:t xml:space="preserve"> Energy</w:t>
            </w:r>
            <w:r w:rsidRPr="007E1A23">
              <w:rPr>
                <w:rFonts w:eastAsiaTheme="majorEastAsia" w:hint="eastAsia"/>
                <w:kern w:val="0"/>
                <w:szCs w:val="21"/>
              </w:rPr>
              <w:t>在全球拥有</w:t>
            </w:r>
            <w:r w:rsidRPr="007E1A23">
              <w:rPr>
                <w:rFonts w:eastAsiaTheme="majorEastAsia"/>
                <w:kern w:val="0"/>
                <w:szCs w:val="21"/>
              </w:rPr>
              <w:t>43</w:t>
            </w:r>
            <w:r w:rsidRPr="007E1A23">
              <w:rPr>
                <w:rFonts w:eastAsiaTheme="majorEastAsia" w:hint="eastAsia"/>
                <w:kern w:val="0"/>
                <w:szCs w:val="21"/>
              </w:rPr>
              <w:t>个</w:t>
            </w:r>
            <w:r>
              <w:rPr>
                <w:rFonts w:eastAsiaTheme="majorEastAsia" w:hint="eastAsia"/>
                <w:kern w:val="0"/>
                <w:szCs w:val="21"/>
              </w:rPr>
              <w:t>新能源</w:t>
            </w:r>
            <w:r w:rsidRPr="007E1A23">
              <w:rPr>
                <w:rFonts w:eastAsiaTheme="majorEastAsia" w:hint="eastAsia"/>
                <w:kern w:val="0"/>
                <w:szCs w:val="21"/>
              </w:rPr>
              <w:t>项目。</w:t>
            </w:r>
          </w:p>
        </w:tc>
      </w:tr>
      <w:tr w:rsidR="00A14320" w:rsidRPr="00A44CCC" w14:paraId="6B01C20E" w14:textId="77777777" w:rsidTr="00E64F0A">
        <w:tc>
          <w:tcPr>
            <w:tcW w:w="4300" w:type="dxa"/>
          </w:tcPr>
          <w:p w14:paraId="7010E7EA" w14:textId="77777777" w:rsidR="00A14320" w:rsidRPr="005D37EA" w:rsidRDefault="00A14320" w:rsidP="00E64F0A">
            <w:pPr>
              <w:rPr>
                <w:rFonts w:eastAsiaTheme="majorEastAsia"/>
                <w:kern w:val="0"/>
                <w:szCs w:val="21"/>
              </w:rPr>
            </w:pPr>
            <w:proofErr w:type="spellStart"/>
            <w:r w:rsidRPr="005D37EA">
              <w:rPr>
                <w:rFonts w:eastAsiaTheme="majorEastAsia"/>
                <w:kern w:val="0"/>
                <w:szCs w:val="21"/>
              </w:rPr>
              <w:t>rPlus</w:t>
            </w:r>
            <w:proofErr w:type="spellEnd"/>
            <w:r w:rsidRPr="005D37EA">
              <w:rPr>
                <w:rFonts w:eastAsiaTheme="majorEastAsia"/>
                <w:kern w:val="0"/>
                <w:szCs w:val="21"/>
              </w:rPr>
              <w:t xml:space="preserve"> Energies, LLC</w:t>
            </w:r>
          </w:p>
        </w:tc>
        <w:tc>
          <w:tcPr>
            <w:tcW w:w="5055" w:type="dxa"/>
          </w:tcPr>
          <w:p w14:paraId="539DE25C" w14:textId="1FE0D868" w:rsidR="00A14320" w:rsidRPr="005D37EA" w:rsidRDefault="004700D6" w:rsidP="00E64F0A">
            <w:pPr>
              <w:rPr>
                <w:rFonts w:eastAsiaTheme="majorEastAsia"/>
                <w:szCs w:val="21"/>
              </w:rPr>
            </w:pPr>
            <w:proofErr w:type="spellStart"/>
            <w:r w:rsidRPr="005D37EA">
              <w:rPr>
                <w:rFonts w:eastAsiaTheme="majorEastAsia"/>
                <w:szCs w:val="21"/>
              </w:rPr>
              <w:t>rPlus</w:t>
            </w:r>
            <w:proofErr w:type="spellEnd"/>
            <w:r w:rsidRPr="005D37EA">
              <w:rPr>
                <w:rFonts w:eastAsiaTheme="majorEastAsia"/>
                <w:szCs w:val="21"/>
              </w:rPr>
              <w:t xml:space="preserve"> Energies</w:t>
            </w:r>
            <w:r w:rsidRPr="005D37EA">
              <w:rPr>
                <w:rFonts w:eastAsiaTheme="majorEastAsia" w:hint="eastAsia"/>
                <w:szCs w:val="21"/>
              </w:rPr>
              <w:t>于</w:t>
            </w:r>
            <w:r w:rsidRPr="005D37EA">
              <w:rPr>
                <w:rFonts w:eastAsiaTheme="majorEastAsia"/>
                <w:szCs w:val="21"/>
              </w:rPr>
              <w:t>2018</w:t>
            </w:r>
            <w:r w:rsidRPr="005D37EA">
              <w:rPr>
                <w:rFonts w:eastAsiaTheme="majorEastAsia" w:hint="eastAsia"/>
                <w:szCs w:val="21"/>
              </w:rPr>
              <w:t>年成立</w:t>
            </w:r>
            <w:r w:rsidR="006A7943">
              <w:rPr>
                <w:rFonts w:eastAsiaTheme="majorEastAsia" w:hint="eastAsia"/>
                <w:szCs w:val="21"/>
              </w:rPr>
              <w:t>于美国</w:t>
            </w:r>
            <w:r w:rsidRPr="005D37EA">
              <w:rPr>
                <w:rFonts w:eastAsiaTheme="majorEastAsia" w:hint="eastAsia"/>
                <w:szCs w:val="21"/>
              </w:rPr>
              <w:t>犹他州，是一家专注于开发、融资、建设和运营大型可再生能源发电和储存项目的可再生能源开发公司。</w:t>
            </w:r>
            <w:r w:rsidR="006A7943">
              <w:rPr>
                <w:rFonts w:eastAsiaTheme="majorEastAsia" w:hint="eastAsia"/>
                <w:szCs w:val="21"/>
              </w:rPr>
              <w:t>当前</w:t>
            </w:r>
            <w:proofErr w:type="spellStart"/>
            <w:r w:rsidRPr="005D37EA">
              <w:rPr>
                <w:rFonts w:eastAsiaTheme="majorEastAsia"/>
                <w:szCs w:val="21"/>
              </w:rPr>
              <w:t>rPlus</w:t>
            </w:r>
            <w:proofErr w:type="spellEnd"/>
            <w:r w:rsidRPr="005D37EA">
              <w:rPr>
                <w:rFonts w:eastAsiaTheme="majorEastAsia"/>
                <w:szCs w:val="21"/>
              </w:rPr>
              <w:t xml:space="preserve"> Energies</w:t>
            </w:r>
            <w:r w:rsidRPr="005D37EA">
              <w:rPr>
                <w:rFonts w:eastAsiaTheme="majorEastAsia" w:hint="eastAsia"/>
                <w:szCs w:val="21"/>
              </w:rPr>
              <w:t>已在美国投资</w:t>
            </w:r>
            <w:r w:rsidRPr="005D37EA">
              <w:rPr>
                <w:rFonts w:eastAsiaTheme="majorEastAsia"/>
                <w:szCs w:val="21"/>
              </w:rPr>
              <w:t>40</w:t>
            </w:r>
            <w:r w:rsidRPr="005D37EA">
              <w:rPr>
                <w:rFonts w:eastAsiaTheme="majorEastAsia" w:hint="eastAsia"/>
                <w:szCs w:val="21"/>
              </w:rPr>
              <w:t>多个</w:t>
            </w:r>
            <w:r w:rsidR="006A7943">
              <w:rPr>
                <w:rFonts w:eastAsiaTheme="majorEastAsia" w:hint="eastAsia"/>
                <w:szCs w:val="21"/>
              </w:rPr>
              <w:t>新能源</w:t>
            </w:r>
            <w:r w:rsidRPr="005D37EA">
              <w:rPr>
                <w:rFonts w:eastAsiaTheme="majorEastAsia" w:hint="eastAsia"/>
                <w:szCs w:val="21"/>
              </w:rPr>
              <w:t>项目，拥有超过</w:t>
            </w:r>
            <w:r w:rsidRPr="005D37EA">
              <w:rPr>
                <w:rFonts w:eastAsiaTheme="majorEastAsia"/>
                <w:szCs w:val="21"/>
              </w:rPr>
              <w:t>14GW</w:t>
            </w:r>
            <w:r w:rsidRPr="005D37EA">
              <w:rPr>
                <w:rFonts w:eastAsiaTheme="majorEastAsia" w:hint="eastAsia"/>
                <w:szCs w:val="21"/>
              </w:rPr>
              <w:t>的</w:t>
            </w:r>
            <w:r w:rsidRPr="005D37EA">
              <w:rPr>
                <w:rFonts w:eastAsiaTheme="majorEastAsia" w:hint="eastAsia"/>
                <w:kern w:val="0"/>
                <w:szCs w:val="21"/>
              </w:rPr>
              <w:t>清洁可再生能源总容量</w:t>
            </w:r>
            <w:r w:rsidR="006C4971">
              <w:rPr>
                <w:rFonts w:eastAsiaTheme="majorEastAsia" w:hint="eastAsia"/>
                <w:kern w:val="0"/>
                <w:szCs w:val="21"/>
              </w:rPr>
              <w:t>。</w:t>
            </w:r>
          </w:p>
        </w:tc>
      </w:tr>
      <w:tr w:rsidR="00A14320" w:rsidRPr="00A44CCC" w14:paraId="3E6512A1" w14:textId="77777777" w:rsidTr="00E64F0A">
        <w:tc>
          <w:tcPr>
            <w:tcW w:w="4300" w:type="dxa"/>
          </w:tcPr>
          <w:p w14:paraId="3D7E7CBC" w14:textId="77777777" w:rsidR="00A14320" w:rsidRPr="005D37EA" w:rsidRDefault="00A14320" w:rsidP="00E64F0A">
            <w:pPr>
              <w:rPr>
                <w:rFonts w:eastAsiaTheme="majorEastAsia"/>
                <w:kern w:val="0"/>
                <w:szCs w:val="21"/>
              </w:rPr>
            </w:pPr>
            <w:r w:rsidRPr="005D37EA">
              <w:rPr>
                <w:rFonts w:eastAsiaTheme="majorEastAsia"/>
                <w:kern w:val="0"/>
                <w:szCs w:val="21"/>
              </w:rPr>
              <w:t>Horus Louisiana 1, LLC</w:t>
            </w:r>
          </w:p>
        </w:tc>
        <w:tc>
          <w:tcPr>
            <w:tcW w:w="5055" w:type="dxa"/>
          </w:tcPr>
          <w:p w14:paraId="388416A2" w14:textId="7379716F" w:rsidR="00A14320" w:rsidRPr="005D37EA" w:rsidRDefault="004700D6" w:rsidP="00E64F0A">
            <w:pPr>
              <w:widowControl/>
              <w:jc w:val="left"/>
              <w:rPr>
                <w:rFonts w:eastAsiaTheme="majorEastAsia"/>
                <w:kern w:val="0"/>
                <w:szCs w:val="21"/>
              </w:rPr>
            </w:pPr>
            <w:r w:rsidRPr="005D37EA">
              <w:rPr>
                <w:rFonts w:eastAsiaTheme="majorEastAsia"/>
                <w:szCs w:val="21"/>
              </w:rPr>
              <w:t>Horus</w:t>
            </w:r>
            <w:r w:rsidR="006C4971">
              <w:rPr>
                <w:rFonts w:eastAsiaTheme="majorEastAsia" w:hint="eastAsia"/>
                <w:szCs w:val="21"/>
              </w:rPr>
              <w:t>系西班牙</w:t>
            </w:r>
            <w:r w:rsidRPr="005D37EA">
              <w:rPr>
                <w:rFonts w:eastAsiaTheme="majorEastAsia"/>
                <w:szCs w:val="21"/>
              </w:rPr>
              <w:t>OPD Energy</w:t>
            </w:r>
            <w:r w:rsidR="006C4971">
              <w:rPr>
                <w:rFonts w:eastAsiaTheme="majorEastAsia" w:hint="eastAsia"/>
                <w:szCs w:val="21"/>
              </w:rPr>
              <w:t>集团</w:t>
            </w:r>
            <w:r w:rsidRPr="005D37EA">
              <w:rPr>
                <w:rFonts w:eastAsiaTheme="majorEastAsia" w:hint="eastAsia"/>
                <w:szCs w:val="21"/>
              </w:rPr>
              <w:t>的项目公司</w:t>
            </w:r>
            <w:r w:rsidR="006C4971">
              <w:rPr>
                <w:rFonts w:eastAsiaTheme="majorEastAsia" w:hint="eastAsia"/>
                <w:szCs w:val="21"/>
              </w:rPr>
              <w:t>。</w:t>
            </w:r>
            <w:r w:rsidRPr="005D37EA">
              <w:rPr>
                <w:rFonts w:eastAsiaTheme="majorEastAsia"/>
                <w:szCs w:val="21"/>
              </w:rPr>
              <w:t>OPD Energy</w:t>
            </w:r>
            <w:r w:rsidR="006C4971">
              <w:rPr>
                <w:rFonts w:eastAsiaTheme="majorEastAsia" w:hint="eastAsia"/>
                <w:szCs w:val="21"/>
              </w:rPr>
              <w:t>集团</w:t>
            </w:r>
            <w:r w:rsidRPr="005D37EA">
              <w:rPr>
                <w:rFonts w:eastAsiaTheme="majorEastAsia" w:hint="eastAsia"/>
                <w:szCs w:val="21"/>
              </w:rPr>
              <w:t>成立于</w:t>
            </w:r>
            <w:r w:rsidRPr="005D37EA">
              <w:rPr>
                <w:rFonts w:eastAsiaTheme="majorEastAsia"/>
                <w:szCs w:val="21"/>
              </w:rPr>
              <w:t>2005</w:t>
            </w:r>
            <w:r w:rsidRPr="005D37EA">
              <w:rPr>
                <w:rFonts w:eastAsiaTheme="majorEastAsia" w:hint="eastAsia"/>
                <w:szCs w:val="21"/>
              </w:rPr>
              <w:t>年，总部位于西班牙，是一家独立可再生能源生产商，专注于太阳能</w:t>
            </w:r>
            <w:proofErr w:type="gramStart"/>
            <w:r w:rsidRPr="005D37EA">
              <w:rPr>
                <w:rFonts w:eastAsiaTheme="majorEastAsia" w:hint="eastAsia"/>
                <w:szCs w:val="21"/>
              </w:rPr>
              <w:t>光伏和陆上</w:t>
            </w:r>
            <w:proofErr w:type="gramEnd"/>
            <w:r w:rsidRPr="005D37EA">
              <w:rPr>
                <w:rFonts w:eastAsiaTheme="majorEastAsia" w:hint="eastAsia"/>
                <w:szCs w:val="21"/>
              </w:rPr>
              <w:t>风能生产，拥有丰富的</w:t>
            </w:r>
            <w:r w:rsidR="006C4971">
              <w:rPr>
                <w:rFonts w:eastAsiaTheme="majorEastAsia" w:hint="eastAsia"/>
                <w:szCs w:val="21"/>
              </w:rPr>
              <w:t>新能源运营</w:t>
            </w:r>
            <w:r w:rsidRPr="005D37EA">
              <w:rPr>
                <w:rFonts w:eastAsiaTheme="majorEastAsia" w:hint="eastAsia"/>
                <w:szCs w:val="21"/>
              </w:rPr>
              <w:t>经验。截至</w:t>
            </w:r>
            <w:r w:rsidRPr="005D37EA">
              <w:rPr>
                <w:rFonts w:eastAsiaTheme="majorEastAsia"/>
                <w:szCs w:val="21"/>
              </w:rPr>
              <w:t>2022</w:t>
            </w:r>
            <w:r w:rsidRPr="005D37EA">
              <w:rPr>
                <w:rFonts w:eastAsiaTheme="majorEastAsia" w:hint="eastAsia"/>
                <w:szCs w:val="21"/>
              </w:rPr>
              <w:t>年末，</w:t>
            </w:r>
            <w:r w:rsidRPr="005D37EA">
              <w:rPr>
                <w:rFonts w:eastAsiaTheme="majorEastAsia"/>
                <w:szCs w:val="21"/>
              </w:rPr>
              <w:t>OPD Energy</w:t>
            </w:r>
            <w:r w:rsidRPr="005D37EA">
              <w:rPr>
                <w:rFonts w:eastAsiaTheme="majorEastAsia" w:hint="eastAsia"/>
                <w:szCs w:val="21"/>
              </w:rPr>
              <w:t>运营、在建及待建的项目</w:t>
            </w:r>
            <w:r w:rsidR="006C4971">
              <w:rPr>
                <w:rFonts w:eastAsiaTheme="majorEastAsia" w:hint="eastAsia"/>
                <w:szCs w:val="21"/>
              </w:rPr>
              <w:t>共有约</w:t>
            </w:r>
            <w:r w:rsidRPr="005D37EA">
              <w:rPr>
                <w:rFonts w:eastAsiaTheme="majorEastAsia"/>
                <w:szCs w:val="21"/>
              </w:rPr>
              <w:t>2.4GW</w:t>
            </w:r>
            <w:r w:rsidRPr="005D37EA">
              <w:rPr>
                <w:rFonts w:eastAsiaTheme="majorEastAsia" w:hint="eastAsia"/>
                <w:szCs w:val="21"/>
              </w:rPr>
              <w:t>的装机容量。</w:t>
            </w:r>
          </w:p>
        </w:tc>
      </w:tr>
      <w:tr w:rsidR="00A14320" w:rsidRPr="00A44CCC" w14:paraId="1305AC6A" w14:textId="77777777" w:rsidTr="00E64F0A">
        <w:tc>
          <w:tcPr>
            <w:tcW w:w="4300" w:type="dxa"/>
          </w:tcPr>
          <w:p w14:paraId="468872CB" w14:textId="77777777" w:rsidR="00A14320" w:rsidRPr="005D37EA" w:rsidRDefault="00A14320" w:rsidP="00E64F0A">
            <w:pPr>
              <w:jc w:val="left"/>
              <w:rPr>
                <w:rFonts w:eastAsiaTheme="majorEastAsia"/>
                <w:kern w:val="0"/>
                <w:szCs w:val="21"/>
              </w:rPr>
            </w:pPr>
            <w:r w:rsidRPr="005D37EA">
              <w:rPr>
                <w:rFonts w:eastAsiaTheme="majorEastAsia"/>
                <w:kern w:val="0"/>
                <w:szCs w:val="21"/>
              </w:rPr>
              <w:t xml:space="preserve">Goldman Sachs Renewable Power Operating Company LLC </w:t>
            </w:r>
            <w:r w:rsidRPr="005D37EA">
              <w:rPr>
                <w:rFonts w:eastAsiaTheme="majorEastAsia" w:hint="eastAsia"/>
                <w:kern w:val="0"/>
                <w:szCs w:val="21"/>
              </w:rPr>
              <w:t>（</w:t>
            </w:r>
            <w:r w:rsidRPr="005D37EA">
              <w:rPr>
                <w:rFonts w:eastAsiaTheme="majorEastAsia"/>
                <w:kern w:val="0"/>
                <w:szCs w:val="21"/>
              </w:rPr>
              <w:t>MN8 Energy</w:t>
            </w:r>
            <w:r w:rsidRPr="005D37EA">
              <w:rPr>
                <w:rFonts w:eastAsiaTheme="majorEastAsia" w:hint="eastAsia"/>
                <w:kern w:val="0"/>
                <w:szCs w:val="21"/>
              </w:rPr>
              <w:t>）</w:t>
            </w:r>
          </w:p>
        </w:tc>
        <w:tc>
          <w:tcPr>
            <w:tcW w:w="5055" w:type="dxa"/>
          </w:tcPr>
          <w:p w14:paraId="7BA8BA72" w14:textId="510F607B" w:rsidR="00A14320" w:rsidRPr="005D37EA" w:rsidRDefault="004700D6" w:rsidP="006A7943">
            <w:pPr>
              <w:widowControl/>
              <w:jc w:val="left"/>
              <w:rPr>
                <w:rFonts w:eastAsiaTheme="majorEastAsia"/>
                <w:szCs w:val="21"/>
              </w:rPr>
            </w:pPr>
            <w:r w:rsidRPr="005D37EA">
              <w:rPr>
                <w:rFonts w:eastAsiaTheme="majorEastAsia"/>
                <w:kern w:val="0"/>
                <w:szCs w:val="21"/>
              </w:rPr>
              <w:t>Goldman Sachs Renewable Power Operating Company LLC</w:t>
            </w:r>
            <w:r w:rsidRPr="005D37EA">
              <w:rPr>
                <w:rFonts w:eastAsiaTheme="majorEastAsia" w:hint="eastAsia"/>
                <w:szCs w:val="21"/>
              </w:rPr>
              <w:t>于</w:t>
            </w:r>
            <w:r w:rsidRPr="005D37EA">
              <w:rPr>
                <w:rFonts w:eastAsiaTheme="majorEastAsia"/>
                <w:szCs w:val="21"/>
              </w:rPr>
              <w:t>2017</w:t>
            </w:r>
            <w:r w:rsidRPr="005D37EA">
              <w:rPr>
                <w:rFonts w:eastAsiaTheme="majorEastAsia" w:hint="eastAsia"/>
                <w:szCs w:val="21"/>
              </w:rPr>
              <w:t>年成立于</w:t>
            </w:r>
            <w:r w:rsidR="006A7943">
              <w:rPr>
                <w:rFonts w:eastAsiaTheme="majorEastAsia" w:hint="eastAsia"/>
                <w:szCs w:val="21"/>
              </w:rPr>
              <w:t>美国</w:t>
            </w:r>
            <w:r w:rsidRPr="005D37EA">
              <w:rPr>
                <w:rFonts w:eastAsiaTheme="majorEastAsia" w:hint="eastAsia"/>
                <w:szCs w:val="21"/>
              </w:rPr>
              <w:t>高盛集团</w:t>
            </w:r>
            <w:r w:rsidR="006A7943">
              <w:rPr>
                <w:rFonts w:eastAsiaTheme="majorEastAsia" w:hint="eastAsia"/>
                <w:szCs w:val="21"/>
              </w:rPr>
              <w:t>资产管理公司</w:t>
            </w:r>
            <w:r w:rsidR="006A7943" w:rsidRPr="007E1A23">
              <w:rPr>
                <w:rFonts w:eastAsiaTheme="majorEastAsia" w:hint="eastAsia"/>
                <w:szCs w:val="21"/>
              </w:rPr>
              <w:t>（</w:t>
            </w:r>
            <w:r w:rsidR="006A7943" w:rsidRPr="007E1A23">
              <w:rPr>
                <w:rFonts w:eastAsiaTheme="majorEastAsia"/>
                <w:szCs w:val="21"/>
              </w:rPr>
              <w:t>Goldman Sachs</w:t>
            </w:r>
            <w:r w:rsidR="006A7943">
              <w:rPr>
                <w:rFonts w:eastAsiaTheme="majorEastAsia"/>
                <w:szCs w:val="21"/>
              </w:rPr>
              <w:t xml:space="preserve"> </w:t>
            </w:r>
            <w:r w:rsidR="006A7943" w:rsidRPr="006A7943">
              <w:rPr>
                <w:rFonts w:eastAsiaTheme="majorEastAsia"/>
                <w:szCs w:val="21"/>
              </w:rPr>
              <w:t>Asset Management</w:t>
            </w:r>
            <w:r w:rsidR="006A7943" w:rsidRPr="007E1A23">
              <w:rPr>
                <w:rFonts w:eastAsiaTheme="majorEastAsia" w:hint="eastAsia"/>
                <w:szCs w:val="21"/>
              </w:rPr>
              <w:t>）</w:t>
            </w:r>
            <w:r w:rsidRPr="005D37EA">
              <w:rPr>
                <w:rFonts w:eastAsiaTheme="majorEastAsia" w:hint="eastAsia"/>
                <w:szCs w:val="21"/>
              </w:rPr>
              <w:t>内部，</w:t>
            </w:r>
            <w:r w:rsidR="006A7943">
              <w:rPr>
                <w:rFonts w:eastAsiaTheme="majorEastAsia" w:hint="eastAsia"/>
                <w:szCs w:val="21"/>
              </w:rPr>
              <w:t>后于</w:t>
            </w:r>
            <w:r w:rsidR="006A7943">
              <w:rPr>
                <w:rFonts w:eastAsiaTheme="majorEastAsia" w:hint="eastAsia"/>
                <w:szCs w:val="21"/>
              </w:rPr>
              <w:t>2</w:t>
            </w:r>
            <w:r w:rsidR="006A7943">
              <w:rPr>
                <w:rFonts w:eastAsiaTheme="majorEastAsia"/>
                <w:szCs w:val="21"/>
              </w:rPr>
              <w:t>022</w:t>
            </w:r>
            <w:r w:rsidR="006A7943">
              <w:rPr>
                <w:rFonts w:eastAsiaTheme="majorEastAsia" w:hint="eastAsia"/>
                <w:szCs w:val="21"/>
              </w:rPr>
              <w:t>年独立</w:t>
            </w:r>
            <w:r w:rsidR="006A7943" w:rsidRPr="006A7943">
              <w:rPr>
                <w:rFonts w:eastAsiaTheme="majorEastAsia" w:hint="eastAsia"/>
                <w:szCs w:val="21"/>
              </w:rPr>
              <w:t>分拆为一家新的独立公司</w:t>
            </w:r>
            <w:r w:rsidR="006C4971">
              <w:rPr>
                <w:rFonts w:eastAsiaTheme="majorEastAsia" w:hint="eastAsia"/>
                <w:szCs w:val="21"/>
              </w:rPr>
              <w:t>，现已</w:t>
            </w:r>
            <w:r w:rsidRPr="005D37EA">
              <w:rPr>
                <w:rFonts w:eastAsiaTheme="majorEastAsia" w:hint="eastAsia"/>
                <w:szCs w:val="21"/>
              </w:rPr>
              <w:t>更名为</w:t>
            </w:r>
            <w:r w:rsidRPr="005D37EA">
              <w:rPr>
                <w:rFonts w:eastAsiaTheme="majorEastAsia"/>
                <w:szCs w:val="21"/>
              </w:rPr>
              <w:t>MN8</w:t>
            </w:r>
            <w:r w:rsidR="006A7943">
              <w:rPr>
                <w:rFonts w:eastAsiaTheme="majorEastAsia"/>
                <w:szCs w:val="21"/>
              </w:rPr>
              <w:t xml:space="preserve"> </w:t>
            </w:r>
            <w:r w:rsidR="006A7943">
              <w:rPr>
                <w:rFonts w:eastAsiaTheme="majorEastAsia" w:hint="eastAsia"/>
                <w:szCs w:val="21"/>
              </w:rPr>
              <w:t>Energy</w:t>
            </w:r>
            <w:r w:rsidR="006C4971">
              <w:rPr>
                <w:rFonts w:eastAsiaTheme="majorEastAsia" w:hint="eastAsia"/>
                <w:szCs w:val="21"/>
              </w:rPr>
              <w:t>。目前</w:t>
            </w:r>
            <w:r w:rsidR="006A7943" w:rsidRPr="006A7943">
              <w:rPr>
                <w:rFonts w:eastAsiaTheme="majorEastAsia" w:hint="eastAsia"/>
                <w:szCs w:val="21"/>
              </w:rPr>
              <w:t>MN8 Energy</w:t>
            </w:r>
            <w:r w:rsidR="006A7943" w:rsidRPr="006A7943">
              <w:rPr>
                <w:rFonts w:eastAsiaTheme="majorEastAsia" w:hint="eastAsia"/>
                <w:szCs w:val="21"/>
              </w:rPr>
              <w:t>是美国最大的独立太阳能和储能电力生产商之一</w:t>
            </w:r>
            <w:r w:rsidR="006A7943">
              <w:rPr>
                <w:rFonts w:eastAsiaTheme="majorEastAsia" w:hint="eastAsia"/>
                <w:szCs w:val="21"/>
              </w:rPr>
              <w:t>，</w:t>
            </w:r>
            <w:r w:rsidR="006A7943" w:rsidRPr="006A7943">
              <w:rPr>
                <w:rFonts w:eastAsiaTheme="majorEastAsia" w:hint="eastAsia"/>
                <w:szCs w:val="21"/>
              </w:rPr>
              <w:t>根据</w:t>
            </w:r>
            <w:r w:rsidR="006A7943">
              <w:rPr>
                <w:rFonts w:eastAsiaTheme="majorEastAsia" w:hint="eastAsia"/>
                <w:szCs w:val="21"/>
              </w:rPr>
              <w:t>权威机构</w:t>
            </w:r>
            <w:r w:rsidR="006A7943" w:rsidRPr="006A7943">
              <w:rPr>
                <w:rFonts w:eastAsiaTheme="majorEastAsia" w:hint="eastAsia"/>
                <w:szCs w:val="21"/>
              </w:rPr>
              <w:t xml:space="preserve">S&amp;P Global Market Intelligence </w:t>
            </w:r>
            <w:r w:rsidR="006A7943" w:rsidRPr="006A7943">
              <w:rPr>
                <w:rFonts w:eastAsiaTheme="majorEastAsia" w:hint="eastAsia"/>
                <w:szCs w:val="21"/>
              </w:rPr>
              <w:t>的数据，</w:t>
            </w:r>
            <w:r w:rsidR="006A7943">
              <w:rPr>
                <w:rFonts w:eastAsiaTheme="majorEastAsia" w:hint="eastAsia"/>
                <w:szCs w:val="21"/>
              </w:rPr>
              <w:t>以在</w:t>
            </w:r>
            <w:r w:rsidR="006A7943" w:rsidRPr="006A7943">
              <w:rPr>
                <w:rFonts w:eastAsiaTheme="majorEastAsia" w:hint="eastAsia"/>
                <w:szCs w:val="21"/>
              </w:rPr>
              <w:t>运营的项目的总容量</w:t>
            </w:r>
            <w:r w:rsidR="006A7943">
              <w:rPr>
                <w:rFonts w:eastAsiaTheme="majorEastAsia" w:hint="eastAsia"/>
                <w:szCs w:val="21"/>
              </w:rPr>
              <w:t>计算</w:t>
            </w:r>
            <w:r w:rsidR="006A7943" w:rsidRPr="006A7943">
              <w:rPr>
                <w:rFonts w:eastAsiaTheme="majorEastAsia" w:hint="eastAsia"/>
                <w:szCs w:val="21"/>
              </w:rPr>
              <w:t>，</w:t>
            </w:r>
            <w:r w:rsidR="006A7943" w:rsidRPr="006A7943">
              <w:rPr>
                <w:rFonts w:eastAsiaTheme="majorEastAsia" w:hint="eastAsia"/>
                <w:szCs w:val="21"/>
              </w:rPr>
              <w:t>MN8 Energy</w:t>
            </w:r>
            <w:r w:rsidR="006A7943" w:rsidRPr="006A7943">
              <w:rPr>
                <w:rFonts w:eastAsiaTheme="majorEastAsia" w:hint="eastAsia"/>
                <w:szCs w:val="21"/>
              </w:rPr>
              <w:t>是美国最大的</w:t>
            </w:r>
            <w:r w:rsidR="006A7943" w:rsidRPr="006A7943">
              <w:rPr>
                <w:rFonts w:eastAsiaTheme="majorEastAsia" w:hint="eastAsia"/>
                <w:szCs w:val="21"/>
              </w:rPr>
              <w:t>5</w:t>
            </w:r>
            <w:r w:rsidR="006A7943" w:rsidRPr="006A7943">
              <w:rPr>
                <w:rFonts w:eastAsiaTheme="majorEastAsia" w:hint="eastAsia"/>
                <w:szCs w:val="21"/>
              </w:rPr>
              <w:t>大太阳能存储资产所有者之一。</w:t>
            </w:r>
          </w:p>
        </w:tc>
      </w:tr>
      <w:tr w:rsidR="00A14320" w:rsidRPr="00A44CCC" w14:paraId="2CA4E083" w14:textId="77777777" w:rsidTr="00E64F0A">
        <w:tc>
          <w:tcPr>
            <w:tcW w:w="4300" w:type="dxa"/>
          </w:tcPr>
          <w:p w14:paraId="5BB421DE" w14:textId="77777777" w:rsidR="00A14320" w:rsidRPr="005D37EA" w:rsidRDefault="00A14320" w:rsidP="00E64F0A">
            <w:pPr>
              <w:rPr>
                <w:rFonts w:eastAsiaTheme="majorEastAsia"/>
                <w:kern w:val="0"/>
                <w:szCs w:val="21"/>
              </w:rPr>
            </w:pPr>
            <w:r w:rsidRPr="005D37EA">
              <w:rPr>
                <w:rFonts w:eastAsiaTheme="majorEastAsia"/>
                <w:kern w:val="0"/>
                <w:szCs w:val="21"/>
              </w:rPr>
              <w:t>Grizzly Ridge Solar, LLC</w:t>
            </w:r>
          </w:p>
        </w:tc>
        <w:tc>
          <w:tcPr>
            <w:tcW w:w="5055" w:type="dxa"/>
          </w:tcPr>
          <w:p w14:paraId="70D1688D" w14:textId="0963355A" w:rsidR="00A14320" w:rsidRPr="005D37EA" w:rsidRDefault="006A7943" w:rsidP="00E64F0A">
            <w:pPr>
              <w:rPr>
                <w:rFonts w:eastAsiaTheme="majorEastAsia"/>
                <w:szCs w:val="21"/>
              </w:rPr>
            </w:pPr>
            <w:r w:rsidRPr="007E1A23">
              <w:rPr>
                <w:rFonts w:eastAsiaTheme="majorEastAsia"/>
                <w:kern w:val="0"/>
                <w:szCs w:val="21"/>
              </w:rPr>
              <w:t>Grizzly Ridge Solar</w:t>
            </w:r>
            <w:r>
              <w:rPr>
                <w:rFonts w:eastAsiaTheme="majorEastAsia" w:hint="eastAsia"/>
                <w:kern w:val="0"/>
                <w:szCs w:val="21"/>
              </w:rPr>
              <w:t>系</w:t>
            </w:r>
            <w:r w:rsidR="007B00FB" w:rsidRPr="005D37EA">
              <w:rPr>
                <w:rFonts w:eastAsiaTheme="majorEastAsia" w:hint="eastAsia"/>
                <w:szCs w:val="21"/>
              </w:rPr>
              <w:t>由</w:t>
            </w:r>
            <w:r w:rsidRPr="007E1A23">
              <w:rPr>
                <w:rFonts w:eastAsiaTheme="majorEastAsia" w:hint="eastAsia"/>
                <w:szCs w:val="21"/>
              </w:rPr>
              <w:t>全球领先的可持续基础设施解决方案提供商</w:t>
            </w:r>
            <w:r w:rsidR="007B00FB" w:rsidRPr="005D37EA">
              <w:rPr>
                <w:rFonts w:eastAsiaTheme="majorEastAsia"/>
                <w:szCs w:val="21"/>
              </w:rPr>
              <w:t>Black &amp; Veatch</w:t>
            </w:r>
            <w:r w:rsidR="006C4971">
              <w:rPr>
                <w:rFonts w:eastAsiaTheme="majorEastAsia" w:hint="eastAsia"/>
                <w:szCs w:val="21"/>
              </w:rPr>
              <w:t>在美国德州所</w:t>
            </w:r>
            <w:r w:rsidR="007B00FB" w:rsidRPr="005D37EA">
              <w:rPr>
                <w:rFonts w:eastAsiaTheme="majorEastAsia" w:hint="eastAsia"/>
                <w:szCs w:val="21"/>
              </w:rPr>
              <w:t>投资的太阳能项目公司，</w:t>
            </w:r>
            <w:r w:rsidR="006C4971">
              <w:rPr>
                <w:rFonts w:eastAsiaTheme="majorEastAsia" w:hint="eastAsia"/>
                <w:szCs w:val="21"/>
              </w:rPr>
              <w:t>总</w:t>
            </w:r>
            <w:r w:rsidR="007B00FB" w:rsidRPr="005D37EA">
              <w:rPr>
                <w:rFonts w:eastAsiaTheme="majorEastAsia" w:hint="eastAsia"/>
                <w:szCs w:val="21"/>
              </w:rPr>
              <w:t>装机量超过</w:t>
            </w:r>
            <w:r w:rsidR="007B00FB" w:rsidRPr="005D37EA">
              <w:rPr>
                <w:rFonts w:eastAsiaTheme="majorEastAsia"/>
                <w:szCs w:val="21"/>
              </w:rPr>
              <w:t>130MW</w:t>
            </w:r>
            <w:r w:rsidR="007B00FB" w:rsidRPr="005D37EA">
              <w:rPr>
                <w:rFonts w:eastAsiaTheme="majorEastAsia" w:hint="eastAsia"/>
                <w:szCs w:val="21"/>
              </w:rPr>
              <w:t>。</w:t>
            </w:r>
            <w:r w:rsidR="00A14320" w:rsidRPr="005D37EA">
              <w:rPr>
                <w:rFonts w:eastAsiaTheme="majorEastAsia"/>
                <w:szCs w:val="21"/>
              </w:rPr>
              <w:t>Black &amp; Veatch</w:t>
            </w:r>
            <w:r w:rsidR="007B00FB" w:rsidRPr="005D37EA">
              <w:rPr>
                <w:rFonts w:eastAsiaTheme="majorEastAsia" w:hint="eastAsia"/>
                <w:szCs w:val="21"/>
              </w:rPr>
              <w:t>于</w:t>
            </w:r>
            <w:r w:rsidR="00A14320" w:rsidRPr="005D37EA">
              <w:rPr>
                <w:rFonts w:eastAsiaTheme="majorEastAsia"/>
                <w:szCs w:val="21"/>
              </w:rPr>
              <w:t>1915</w:t>
            </w:r>
            <w:r w:rsidR="00A14320" w:rsidRPr="005D37EA">
              <w:rPr>
                <w:rFonts w:eastAsiaTheme="majorEastAsia" w:hint="eastAsia"/>
                <w:szCs w:val="21"/>
              </w:rPr>
              <w:t>年</w:t>
            </w:r>
            <w:r w:rsidR="007B00FB" w:rsidRPr="005D37EA">
              <w:rPr>
                <w:rFonts w:eastAsiaTheme="majorEastAsia" w:hint="eastAsia"/>
                <w:szCs w:val="21"/>
              </w:rPr>
              <w:t>成立</w:t>
            </w:r>
            <w:r>
              <w:rPr>
                <w:rFonts w:eastAsiaTheme="majorEastAsia" w:hint="eastAsia"/>
                <w:szCs w:val="21"/>
              </w:rPr>
              <w:t>于美国</w:t>
            </w:r>
            <w:r w:rsidR="00A14320" w:rsidRPr="005D37EA">
              <w:rPr>
                <w:rFonts w:eastAsiaTheme="majorEastAsia" w:hint="eastAsia"/>
                <w:szCs w:val="21"/>
              </w:rPr>
              <w:t>，</w:t>
            </w:r>
            <w:r w:rsidR="000000C1" w:rsidRPr="005D37EA">
              <w:rPr>
                <w:rFonts w:eastAsiaTheme="majorEastAsia" w:hint="eastAsia"/>
                <w:szCs w:val="21"/>
              </w:rPr>
              <w:t>位列全球权威工程设计媒体</w:t>
            </w:r>
            <w:r w:rsidR="000000C1" w:rsidRPr="005D37EA">
              <w:rPr>
                <w:rFonts w:eastAsiaTheme="majorEastAsia"/>
                <w:szCs w:val="21"/>
              </w:rPr>
              <w:t>ENR</w:t>
            </w:r>
            <w:r w:rsidR="000000C1" w:rsidRPr="005D37EA">
              <w:rPr>
                <w:rFonts w:eastAsiaTheme="majorEastAsia" w:hint="eastAsia"/>
                <w:szCs w:val="21"/>
              </w:rPr>
              <w:t>及美国知名太阳能媒体</w:t>
            </w:r>
            <w:r w:rsidR="000000C1" w:rsidRPr="005D37EA">
              <w:rPr>
                <w:rFonts w:eastAsiaTheme="majorEastAsia"/>
                <w:szCs w:val="21"/>
              </w:rPr>
              <w:t>Solar Power World</w:t>
            </w:r>
            <w:r>
              <w:rPr>
                <w:rFonts w:eastAsiaTheme="majorEastAsia" w:hint="eastAsia"/>
                <w:szCs w:val="21"/>
              </w:rPr>
              <w:t>“</w:t>
            </w:r>
            <w:r w:rsidR="000000C1" w:rsidRPr="005D37EA">
              <w:rPr>
                <w:rFonts w:eastAsiaTheme="majorEastAsia" w:hint="eastAsia"/>
                <w:szCs w:val="21"/>
              </w:rPr>
              <w:t>全美太阳能项目承包商前十名</w:t>
            </w:r>
            <w:r>
              <w:rPr>
                <w:rFonts w:eastAsiaTheme="majorEastAsia" w:hint="eastAsia"/>
                <w:szCs w:val="21"/>
              </w:rPr>
              <w:t>”</w:t>
            </w:r>
            <w:r w:rsidR="000000C1" w:rsidRPr="005D37EA">
              <w:rPr>
                <w:rFonts w:eastAsiaTheme="majorEastAsia" w:hint="eastAsia"/>
                <w:szCs w:val="21"/>
              </w:rPr>
              <w:t>，并获得</w:t>
            </w:r>
            <w:r w:rsidR="000000C1" w:rsidRPr="005D37EA">
              <w:rPr>
                <w:rFonts w:eastAsiaTheme="majorEastAsia"/>
                <w:szCs w:val="21"/>
              </w:rPr>
              <w:t>ENR</w:t>
            </w:r>
            <w:r>
              <w:rPr>
                <w:rFonts w:eastAsiaTheme="majorEastAsia" w:hint="eastAsia"/>
                <w:szCs w:val="21"/>
              </w:rPr>
              <w:t>“</w:t>
            </w:r>
            <w:r w:rsidR="000000C1" w:rsidRPr="005D37EA">
              <w:rPr>
                <w:rFonts w:eastAsiaTheme="majorEastAsia" w:hint="eastAsia"/>
                <w:szCs w:val="21"/>
              </w:rPr>
              <w:t>太阳能项目设计公司第二名</w:t>
            </w:r>
            <w:r>
              <w:rPr>
                <w:rFonts w:eastAsiaTheme="majorEastAsia" w:hint="eastAsia"/>
                <w:szCs w:val="21"/>
              </w:rPr>
              <w:t>”</w:t>
            </w:r>
            <w:r w:rsidR="000000C1" w:rsidRPr="005D37EA">
              <w:rPr>
                <w:rFonts w:eastAsiaTheme="majorEastAsia" w:hint="eastAsia"/>
                <w:szCs w:val="21"/>
              </w:rPr>
              <w:t>，</w:t>
            </w:r>
            <w:r>
              <w:rPr>
                <w:rFonts w:eastAsiaTheme="majorEastAsia" w:hint="eastAsia"/>
                <w:szCs w:val="21"/>
              </w:rPr>
              <w:t>在</w:t>
            </w:r>
            <w:r w:rsidR="000000C1" w:rsidRPr="005D37EA">
              <w:rPr>
                <w:rFonts w:eastAsiaTheme="majorEastAsia" w:hint="eastAsia"/>
                <w:szCs w:val="21"/>
              </w:rPr>
              <w:t>全球</w:t>
            </w:r>
            <w:r>
              <w:rPr>
                <w:rFonts w:eastAsiaTheme="majorEastAsia" w:hint="eastAsia"/>
                <w:szCs w:val="21"/>
              </w:rPr>
              <w:t>范围内</w:t>
            </w:r>
            <w:r w:rsidR="000000C1" w:rsidRPr="005D37EA">
              <w:rPr>
                <w:rFonts w:eastAsiaTheme="majorEastAsia" w:hint="eastAsia"/>
                <w:szCs w:val="21"/>
              </w:rPr>
              <w:t>累计拥有超过</w:t>
            </w:r>
            <w:r w:rsidR="000000C1" w:rsidRPr="005D37EA">
              <w:rPr>
                <w:rFonts w:eastAsiaTheme="majorEastAsia"/>
                <w:szCs w:val="21"/>
              </w:rPr>
              <w:t>50GW</w:t>
            </w:r>
            <w:r w:rsidR="000000C1" w:rsidRPr="005D37EA">
              <w:rPr>
                <w:rFonts w:eastAsiaTheme="majorEastAsia" w:hint="eastAsia"/>
                <w:szCs w:val="21"/>
              </w:rPr>
              <w:t>的太阳能项目实施经验</w:t>
            </w:r>
            <w:r>
              <w:rPr>
                <w:rFonts w:eastAsiaTheme="majorEastAsia" w:hint="eastAsia"/>
                <w:szCs w:val="21"/>
              </w:rPr>
              <w:t>。</w:t>
            </w:r>
          </w:p>
        </w:tc>
      </w:tr>
      <w:tr w:rsidR="00A14320" w:rsidRPr="00A44CCC" w14:paraId="743D9EC6" w14:textId="77777777" w:rsidTr="00E64F0A">
        <w:tc>
          <w:tcPr>
            <w:tcW w:w="4300" w:type="dxa"/>
          </w:tcPr>
          <w:p w14:paraId="4C45BBA9" w14:textId="77777777" w:rsidR="00A14320" w:rsidRPr="005D37EA" w:rsidRDefault="00A14320" w:rsidP="00E64F0A">
            <w:pPr>
              <w:rPr>
                <w:rFonts w:eastAsiaTheme="majorEastAsia"/>
                <w:kern w:val="0"/>
                <w:szCs w:val="21"/>
              </w:rPr>
            </w:pPr>
            <w:r w:rsidRPr="005D37EA">
              <w:rPr>
                <w:rFonts w:eastAsiaTheme="majorEastAsia"/>
                <w:kern w:val="0"/>
                <w:szCs w:val="21"/>
              </w:rPr>
              <w:t>Longbow Solar, LLC</w:t>
            </w:r>
          </w:p>
        </w:tc>
        <w:tc>
          <w:tcPr>
            <w:tcW w:w="5055" w:type="dxa"/>
          </w:tcPr>
          <w:p w14:paraId="0420AA9B" w14:textId="4BD30C45" w:rsidR="00A14320" w:rsidRPr="005D37EA" w:rsidRDefault="006A7943" w:rsidP="00E64F0A">
            <w:pPr>
              <w:rPr>
                <w:rFonts w:eastAsiaTheme="majorEastAsia"/>
                <w:szCs w:val="21"/>
              </w:rPr>
            </w:pPr>
            <w:r w:rsidRPr="007E1A23">
              <w:rPr>
                <w:rFonts w:eastAsiaTheme="majorEastAsia"/>
                <w:kern w:val="0"/>
                <w:szCs w:val="21"/>
              </w:rPr>
              <w:t>Longbow Solar</w:t>
            </w:r>
            <w:proofErr w:type="gramStart"/>
            <w:r>
              <w:rPr>
                <w:rFonts w:eastAsiaTheme="majorEastAsia" w:hint="eastAsia"/>
                <w:szCs w:val="21"/>
              </w:rPr>
              <w:t>系全球</w:t>
            </w:r>
            <w:proofErr w:type="gramEnd"/>
            <w:r>
              <w:rPr>
                <w:rFonts w:eastAsiaTheme="majorEastAsia" w:hint="eastAsia"/>
                <w:szCs w:val="21"/>
              </w:rPr>
              <w:t>知名能源公司</w:t>
            </w:r>
            <w:r w:rsidR="00A14320" w:rsidRPr="005D37EA">
              <w:rPr>
                <w:rFonts w:eastAsiaTheme="majorEastAsia" w:hint="eastAsia"/>
                <w:szCs w:val="21"/>
              </w:rPr>
              <w:t>法国</w:t>
            </w:r>
            <w:r w:rsidR="00A14320" w:rsidRPr="005D37EA">
              <w:rPr>
                <w:rFonts w:eastAsiaTheme="majorEastAsia"/>
                <w:szCs w:val="21"/>
              </w:rPr>
              <w:t>Engie</w:t>
            </w:r>
            <w:r w:rsidR="006C4971">
              <w:rPr>
                <w:rFonts w:eastAsiaTheme="majorEastAsia" w:hint="eastAsia"/>
                <w:szCs w:val="21"/>
              </w:rPr>
              <w:t>集团</w:t>
            </w:r>
            <w:r>
              <w:rPr>
                <w:rFonts w:eastAsiaTheme="majorEastAsia" w:hint="eastAsia"/>
                <w:szCs w:val="21"/>
              </w:rPr>
              <w:t>所拥有的新能源项目公司</w:t>
            </w:r>
            <w:r w:rsidR="00A14320" w:rsidRPr="005D37EA">
              <w:rPr>
                <w:rFonts w:eastAsiaTheme="majorEastAsia" w:hint="eastAsia"/>
                <w:szCs w:val="21"/>
              </w:rPr>
              <w:t>。</w:t>
            </w:r>
            <w:r>
              <w:rPr>
                <w:rFonts w:eastAsiaTheme="majorEastAsia" w:hint="eastAsia"/>
                <w:szCs w:val="21"/>
              </w:rPr>
              <w:t>法国</w:t>
            </w:r>
            <w:r w:rsidR="00765C79" w:rsidRPr="005D37EA">
              <w:rPr>
                <w:rFonts w:eastAsiaTheme="majorEastAsia"/>
                <w:szCs w:val="21"/>
              </w:rPr>
              <w:t>Engie</w:t>
            </w:r>
            <w:r w:rsidR="00765C79" w:rsidRPr="005D37EA">
              <w:rPr>
                <w:rFonts w:eastAsiaTheme="majorEastAsia" w:hint="eastAsia"/>
                <w:szCs w:val="21"/>
              </w:rPr>
              <w:t>集团是全球领先的低碳能源服务商，</w:t>
            </w:r>
            <w:r w:rsidRPr="006A7943">
              <w:rPr>
                <w:rFonts w:eastAsiaTheme="majorEastAsia" w:hint="eastAsia"/>
                <w:szCs w:val="21"/>
              </w:rPr>
              <w:t>业务遍布</w:t>
            </w:r>
            <w:r w:rsidRPr="006A7943">
              <w:rPr>
                <w:rFonts w:eastAsiaTheme="majorEastAsia" w:hint="eastAsia"/>
                <w:szCs w:val="21"/>
              </w:rPr>
              <w:t>70</w:t>
            </w:r>
            <w:r w:rsidRPr="006A7943">
              <w:rPr>
                <w:rFonts w:eastAsiaTheme="majorEastAsia" w:hint="eastAsia"/>
                <w:szCs w:val="21"/>
              </w:rPr>
              <w:t>个国家和地区</w:t>
            </w:r>
            <w:r>
              <w:rPr>
                <w:rFonts w:eastAsiaTheme="majorEastAsia" w:hint="eastAsia"/>
                <w:szCs w:val="21"/>
              </w:rPr>
              <w:t>，连续多年位列</w:t>
            </w:r>
            <w:r w:rsidRPr="006A7943">
              <w:rPr>
                <w:rFonts w:eastAsiaTheme="majorEastAsia" w:hint="eastAsia"/>
                <w:szCs w:val="21"/>
              </w:rPr>
              <w:t>《财富》世界</w:t>
            </w:r>
            <w:r w:rsidRPr="006A7943">
              <w:rPr>
                <w:rFonts w:eastAsiaTheme="majorEastAsia" w:hint="eastAsia"/>
                <w:szCs w:val="21"/>
              </w:rPr>
              <w:t>500</w:t>
            </w:r>
            <w:r w:rsidRPr="006A7943">
              <w:rPr>
                <w:rFonts w:eastAsiaTheme="majorEastAsia" w:hint="eastAsia"/>
                <w:szCs w:val="21"/>
              </w:rPr>
              <w:t>强</w:t>
            </w:r>
            <w:r w:rsidR="006C4971">
              <w:rPr>
                <w:rFonts w:eastAsiaTheme="majorEastAsia" w:hint="eastAsia"/>
                <w:szCs w:val="21"/>
              </w:rPr>
              <w:t>企业</w:t>
            </w:r>
            <w:r>
              <w:rPr>
                <w:rFonts w:eastAsiaTheme="majorEastAsia" w:hint="eastAsia"/>
                <w:szCs w:val="21"/>
              </w:rPr>
              <w:t>。</w:t>
            </w:r>
          </w:p>
        </w:tc>
      </w:tr>
      <w:tr w:rsidR="006C4971" w:rsidRPr="00A44CCC" w14:paraId="13663B82" w14:textId="77777777" w:rsidTr="00E64F0A">
        <w:tc>
          <w:tcPr>
            <w:tcW w:w="4300" w:type="dxa"/>
          </w:tcPr>
          <w:p w14:paraId="63EA5926" w14:textId="6D08EC65" w:rsidR="006C4971" w:rsidRPr="006C4971" w:rsidRDefault="006C4971" w:rsidP="00E64F0A">
            <w:pPr>
              <w:rPr>
                <w:rFonts w:eastAsiaTheme="majorEastAsia"/>
                <w:kern w:val="0"/>
                <w:szCs w:val="21"/>
              </w:rPr>
            </w:pPr>
            <w:r w:rsidRPr="007E1A23">
              <w:rPr>
                <w:rFonts w:eastAsiaTheme="majorEastAsia"/>
                <w:kern w:val="0"/>
                <w:szCs w:val="21"/>
              </w:rPr>
              <w:t>Swinerton Renewable Energy</w:t>
            </w:r>
            <w:r w:rsidRPr="007E1A23">
              <w:rPr>
                <w:rFonts w:eastAsiaTheme="majorEastAsia" w:hint="eastAsia"/>
                <w:kern w:val="0"/>
                <w:szCs w:val="21"/>
              </w:rPr>
              <w:t>（</w:t>
            </w:r>
            <w:r w:rsidRPr="007E1A23">
              <w:rPr>
                <w:rFonts w:eastAsiaTheme="majorEastAsia"/>
                <w:kern w:val="0"/>
                <w:szCs w:val="21"/>
              </w:rPr>
              <w:t>SOLV</w:t>
            </w:r>
            <w:r w:rsidRPr="007E1A23">
              <w:rPr>
                <w:rFonts w:eastAsiaTheme="majorEastAsia" w:hint="eastAsia"/>
                <w:kern w:val="0"/>
                <w:szCs w:val="21"/>
              </w:rPr>
              <w:t>）</w:t>
            </w:r>
          </w:p>
        </w:tc>
        <w:tc>
          <w:tcPr>
            <w:tcW w:w="5055" w:type="dxa"/>
          </w:tcPr>
          <w:p w14:paraId="306AFC85" w14:textId="0E657132" w:rsidR="006C4971" w:rsidRPr="007E1A23" w:rsidRDefault="006C4971" w:rsidP="00E64F0A">
            <w:pPr>
              <w:rPr>
                <w:rFonts w:eastAsiaTheme="majorEastAsia"/>
                <w:kern w:val="0"/>
                <w:szCs w:val="21"/>
              </w:rPr>
            </w:pPr>
            <w:r w:rsidRPr="007E1A23">
              <w:rPr>
                <w:rFonts w:eastAsiaTheme="majorEastAsia"/>
                <w:szCs w:val="21"/>
              </w:rPr>
              <w:t>Swinerton</w:t>
            </w:r>
            <w:r w:rsidRPr="007E1A23">
              <w:rPr>
                <w:rFonts w:eastAsiaTheme="majorEastAsia" w:hint="eastAsia"/>
                <w:szCs w:val="21"/>
              </w:rPr>
              <w:t>是</w:t>
            </w:r>
            <w:r>
              <w:rPr>
                <w:rFonts w:eastAsiaTheme="majorEastAsia" w:hint="eastAsia"/>
                <w:szCs w:val="21"/>
              </w:rPr>
              <w:t>美国</w:t>
            </w:r>
            <w:r w:rsidRPr="007E1A23">
              <w:rPr>
                <w:rFonts w:eastAsiaTheme="majorEastAsia" w:hint="eastAsia"/>
                <w:szCs w:val="21"/>
              </w:rPr>
              <w:t>新能源领域最大的</w:t>
            </w:r>
            <w:r w:rsidRPr="007E1A23">
              <w:rPr>
                <w:rFonts w:eastAsiaTheme="majorEastAsia"/>
                <w:szCs w:val="21"/>
              </w:rPr>
              <w:t>EPC</w:t>
            </w:r>
            <w:r>
              <w:rPr>
                <w:rFonts w:eastAsiaTheme="majorEastAsia" w:hint="eastAsia"/>
                <w:szCs w:val="21"/>
              </w:rPr>
              <w:t>工程承包</w:t>
            </w:r>
            <w:r w:rsidRPr="007E1A23">
              <w:rPr>
                <w:rFonts w:eastAsiaTheme="majorEastAsia" w:hint="eastAsia"/>
                <w:szCs w:val="21"/>
              </w:rPr>
              <w:t>公司之一，</w:t>
            </w:r>
            <w:r>
              <w:rPr>
                <w:rFonts w:eastAsiaTheme="majorEastAsia" w:hint="eastAsia"/>
                <w:szCs w:val="21"/>
              </w:rPr>
              <w:t>其</w:t>
            </w:r>
            <w:r w:rsidRPr="007E1A23">
              <w:rPr>
                <w:rFonts w:eastAsiaTheme="majorEastAsia" w:hint="eastAsia"/>
                <w:szCs w:val="21"/>
              </w:rPr>
              <w:t>子公司</w:t>
            </w:r>
            <w:r w:rsidRPr="007E1A23">
              <w:rPr>
                <w:rFonts w:eastAsiaTheme="majorEastAsia"/>
                <w:szCs w:val="21"/>
              </w:rPr>
              <w:t>SOLV Energy</w:t>
            </w:r>
            <w:r w:rsidRPr="007E1A23">
              <w:rPr>
                <w:rFonts w:eastAsiaTheme="majorEastAsia" w:hint="eastAsia"/>
                <w:szCs w:val="21"/>
              </w:rPr>
              <w:t>是行业领先的太阳能</w:t>
            </w:r>
            <w:r w:rsidRPr="007E1A23">
              <w:rPr>
                <w:rFonts w:eastAsiaTheme="majorEastAsia" w:hint="eastAsia"/>
                <w:szCs w:val="21"/>
              </w:rPr>
              <w:lastRenderedPageBreak/>
              <w:t>承包商和运营维护商，已建设了超</w:t>
            </w:r>
            <w:r w:rsidRPr="007E1A23">
              <w:rPr>
                <w:rFonts w:eastAsiaTheme="majorEastAsia"/>
                <w:szCs w:val="21"/>
              </w:rPr>
              <w:t>9GW</w:t>
            </w:r>
            <w:r w:rsidRPr="007E1A23">
              <w:rPr>
                <w:rFonts w:eastAsiaTheme="majorEastAsia" w:hint="eastAsia"/>
                <w:szCs w:val="21"/>
              </w:rPr>
              <w:t>的太阳能项目，</w:t>
            </w:r>
            <w:r w:rsidRPr="007E1A23">
              <w:rPr>
                <w:rFonts w:eastAsiaTheme="majorEastAsia"/>
                <w:szCs w:val="21"/>
              </w:rPr>
              <w:t>2021</w:t>
            </w:r>
            <w:r w:rsidRPr="007E1A23">
              <w:rPr>
                <w:rFonts w:eastAsiaTheme="majorEastAsia" w:hint="eastAsia"/>
                <w:szCs w:val="21"/>
              </w:rPr>
              <w:t>年被</w:t>
            </w:r>
            <w:r>
              <w:rPr>
                <w:rFonts w:eastAsiaTheme="majorEastAsia" w:hint="eastAsia"/>
                <w:szCs w:val="21"/>
              </w:rPr>
              <w:t>美国权威媒体</w:t>
            </w:r>
            <w:r w:rsidRPr="007E1A23">
              <w:rPr>
                <w:rFonts w:eastAsiaTheme="majorEastAsia"/>
                <w:szCs w:val="21"/>
              </w:rPr>
              <w:t>Solar Power World</w:t>
            </w:r>
            <w:r>
              <w:rPr>
                <w:rFonts w:eastAsiaTheme="majorEastAsia" w:hint="eastAsia"/>
                <w:szCs w:val="21"/>
              </w:rPr>
              <w:t>及</w:t>
            </w:r>
            <w:r w:rsidRPr="007E1A23">
              <w:rPr>
                <w:rFonts w:eastAsiaTheme="majorEastAsia"/>
                <w:szCs w:val="21"/>
              </w:rPr>
              <w:t>Wiki-Solar</w:t>
            </w:r>
            <w:r w:rsidRPr="007E1A23">
              <w:rPr>
                <w:rFonts w:eastAsiaTheme="majorEastAsia" w:hint="eastAsia"/>
                <w:szCs w:val="21"/>
              </w:rPr>
              <w:t>评为全美第一太阳能承包商。</w:t>
            </w:r>
          </w:p>
        </w:tc>
      </w:tr>
      <w:tr w:rsidR="00A14320" w:rsidRPr="00A44CCC" w14:paraId="452BB4D4" w14:textId="77777777" w:rsidTr="00E64F0A">
        <w:tc>
          <w:tcPr>
            <w:tcW w:w="4300" w:type="dxa"/>
          </w:tcPr>
          <w:p w14:paraId="0A15944B" w14:textId="77777777" w:rsidR="00A14320" w:rsidRPr="005D37EA" w:rsidRDefault="00A14320" w:rsidP="00E64F0A">
            <w:pPr>
              <w:rPr>
                <w:rFonts w:eastAsiaTheme="majorEastAsia"/>
                <w:kern w:val="0"/>
                <w:szCs w:val="21"/>
              </w:rPr>
            </w:pPr>
            <w:r w:rsidRPr="005D37EA">
              <w:rPr>
                <w:rFonts w:eastAsiaTheme="majorEastAsia"/>
                <w:kern w:val="0"/>
                <w:szCs w:val="21"/>
              </w:rPr>
              <w:lastRenderedPageBreak/>
              <w:t>Hecate Energy LLC</w:t>
            </w:r>
          </w:p>
        </w:tc>
        <w:tc>
          <w:tcPr>
            <w:tcW w:w="5055" w:type="dxa"/>
          </w:tcPr>
          <w:p w14:paraId="78E6B146" w14:textId="2F2D0D46" w:rsidR="00A14320" w:rsidRPr="005D37EA" w:rsidRDefault="00A14320" w:rsidP="00E64F0A">
            <w:pPr>
              <w:rPr>
                <w:rFonts w:eastAsiaTheme="majorEastAsia"/>
                <w:szCs w:val="21"/>
              </w:rPr>
            </w:pPr>
            <w:r w:rsidRPr="005D37EA">
              <w:rPr>
                <w:rFonts w:eastAsiaTheme="majorEastAsia"/>
                <w:szCs w:val="21"/>
              </w:rPr>
              <w:t>Hecate Energy</w:t>
            </w:r>
            <w:r w:rsidRPr="005D37EA">
              <w:rPr>
                <w:rFonts w:eastAsiaTheme="majorEastAsia" w:hint="eastAsia"/>
                <w:szCs w:val="21"/>
              </w:rPr>
              <w:t>是美国领先的可再生能源项目和存储解决方案开发商和运营商，专注于清洁能源和储能项目，</w:t>
            </w:r>
            <w:r w:rsidR="00AF4B62" w:rsidRPr="005D37EA">
              <w:rPr>
                <w:rFonts w:eastAsiaTheme="majorEastAsia" w:hint="eastAsia"/>
                <w:szCs w:val="21"/>
              </w:rPr>
              <w:t>已承包超过</w:t>
            </w:r>
            <w:r w:rsidR="00AF4B62" w:rsidRPr="005D37EA">
              <w:rPr>
                <w:rFonts w:eastAsiaTheme="majorEastAsia"/>
                <w:szCs w:val="21"/>
              </w:rPr>
              <w:t>3.6GW</w:t>
            </w:r>
            <w:r w:rsidR="00AF4B62" w:rsidRPr="005D37EA">
              <w:rPr>
                <w:rFonts w:eastAsiaTheme="majorEastAsia" w:hint="eastAsia"/>
                <w:szCs w:val="21"/>
              </w:rPr>
              <w:t>太阳能项目</w:t>
            </w:r>
            <w:r w:rsidRPr="005D37EA">
              <w:rPr>
                <w:rFonts w:eastAsiaTheme="majorEastAsia" w:hint="eastAsia"/>
                <w:szCs w:val="21"/>
              </w:rPr>
              <w:t>。</w:t>
            </w:r>
          </w:p>
        </w:tc>
      </w:tr>
      <w:tr w:rsidR="00A14320" w:rsidRPr="00A44CCC" w14:paraId="421D95C2" w14:textId="77777777" w:rsidTr="00E64F0A">
        <w:tc>
          <w:tcPr>
            <w:tcW w:w="4300" w:type="dxa"/>
          </w:tcPr>
          <w:p w14:paraId="38C50028" w14:textId="77777777" w:rsidR="00A14320" w:rsidRPr="005D37EA" w:rsidRDefault="00A14320" w:rsidP="00E64F0A">
            <w:pPr>
              <w:rPr>
                <w:rFonts w:eastAsiaTheme="majorEastAsia"/>
                <w:kern w:val="0"/>
                <w:szCs w:val="21"/>
              </w:rPr>
            </w:pPr>
            <w:r w:rsidRPr="005D37EA">
              <w:rPr>
                <w:rFonts w:eastAsiaTheme="majorEastAsia"/>
                <w:kern w:val="0"/>
                <w:szCs w:val="21"/>
              </w:rPr>
              <w:t>Seraphim Energy Group Inc</w:t>
            </w:r>
          </w:p>
        </w:tc>
        <w:tc>
          <w:tcPr>
            <w:tcW w:w="5055" w:type="dxa"/>
          </w:tcPr>
          <w:p w14:paraId="78A3E1E2" w14:textId="56FE8684" w:rsidR="00A14320" w:rsidRPr="005D37EA" w:rsidRDefault="006F689C" w:rsidP="00E64F0A">
            <w:pPr>
              <w:rPr>
                <w:rFonts w:eastAsiaTheme="majorEastAsia"/>
                <w:szCs w:val="21"/>
              </w:rPr>
            </w:pPr>
            <w:r w:rsidRPr="005D37EA">
              <w:rPr>
                <w:rFonts w:eastAsiaTheme="majorEastAsia"/>
                <w:szCs w:val="21"/>
              </w:rPr>
              <w:t>SEG Solar</w:t>
            </w:r>
            <w:r w:rsidRPr="005D37EA">
              <w:rPr>
                <w:rFonts w:eastAsiaTheme="majorEastAsia" w:hint="eastAsia"/>
                <w:szCs w:val="21"/>
              </w:rPr>
              <w:t>于</w:t>
            </w:r>
            <w:r w:rsidRPr="005D37EA">
              <w:rPr>
                <w:rFonts w:eastAsiaTheme="majorEastAsia"/>
                <w:szCs w:val="21"/>
              </w:rPr>
              <w:t>2016</w:t>
            </w:r>
            <w:r w:rsidRPr="005D37EA">
              <w:rPr>
                <w:rFonts w:eastAsiaTheme="majorEastAsia" w:hint="eastAsia"/>
                <w:szCs w:val="21"/>
              </w:rPr>
              <w:t>年成立于美国得克萨斯州，是一家国际知名的太阳能电池及组件产品制造商，拥有完全集成的供应</w:t>
            </w:r>
            <w:proofErr w:type="gramStart"/>
            <w:r w:rsidRPr="005D37EA">
              <w:rPr>
                <w:rFonts w:eastAsiaTheme="majorEastAsia" w:hint="eastAsia"/>
                <w:szCs w:val="21"/>
              </w:rPr>
              <w:t>链生产</w:t>
            </w:r>
            <w:proofErr w:type="gramEnd"/>
            <w:r w:rsidRPr="005D37EA">
              <w:rPr>
                <w:rFonts w:eastAsiaTheme="majorEastAsia" w:hint="eastAsia"/>
                <w:szCs w:val="21"/>
              </w:rPr>
              <w:t>高质量的太阳能组件产品。该公司产品连续两年获得全球权威光伏组件性能测试实验室</w:t>
            </w:r>
            <w:r w:rsidRPr="005D37EA">
              <w:rPr>
                <w:rFonts w:eastAsiaTheme="majorEastAsia"/>
                <w:szCs w:val="21"/>
              </w:rPr>
              <w:t>PVEL“</w:t>
            </w:r>
            <w:r w:rsidRPr="005D37EA">
              <w:rPr>
                <w:rFonts w:eastAsiaTheme="majorEastAsia" w:hint="eastAsia"/>
                <w:szCs w:val="21"/>
              </w:rPr>
              <w:t>全球</w:t>
            </w:r>
            <w:r w:rsidRPr="005D37EA">
              <w:rPr>
                <w:rFonts w:eastAsiaTheme="majorEastAsia"/>
                <w:szCs w:val="21"/>
              </w:rPr>
              <w:t>TOP Performer</w:t>
            </w:r>
            <w:r w:rsidRPr="005D37EA">
              <w:rPr>
                <w:rFonts w:eastAsiaTheme="majorEastAsia" w:hint="eastAsia"/>
                <w:szCs w:val="21"/>
              </w:rPr>
              <w:t>组件制造商</w:t>
            </w:r>
            <w:r w:rsidRPr="005D37EA">
              <w:rPr>
                <w:rFonts w:eastAsiaTheme="majorEastAsia"/>
                <w:szCs w:val="21"/>
              </w:rPr>
              <w:t>”</w:t>
            </w:r>
            <w:r w:rsidRPr="005D37EA">
              <w:rPr>
                <w:rFonts w:eastAsiaTheme="majorEastAsia" w:hint="eastAsia"/>
                <w:szCs w:val="21"/>
              </w:rPr>
              <w:t>认证，并获得全球知名机构彭博新能源财经</w:t>
            </w:r>
            <w:r w:rsidRPr="005D37EA">
              <w:rPr>
                <w:rFonts w:eastAsiaTheme="majorEastAsia"/>
                <w:szCs w:val="21"/>
              </w:rPr>
              <w:t>BNEF“</w:t>
            </w:r>
            <w:r w:rsidRPr="005D37EA">
              <w:rPr>
                <w:rFonts w:eastAsiaTheme="majorEastAsia" w:hint="eastAsia"/>
                <w:szCs w:val="21"/>
              </w:rPr>
              <w:t>全球一线组件制造商</w:t>
            </w:r>
            <w:r w:rsidRPr="005D37EA">
              <w:rPr>
                <w:rFonts w:eastAsiaTheme="majorEastAsia"/>
                <w:szCs w:val="21"/>
              </w:rPr>
              <w:t>(BNEF Tier 1)”</w:t>
            </w:r>
            <w:r w:rsidRPr="005D37EA">
              <w:rPr>
                <w:rFonts w:eastAsiaTheme="majorEastAsia" w:hint="eastAsia"/>
                <w:szCs w:val="21"/>
              </w:rPr>
              <w:t>认证。</w:t>
            </w:r>
          </w:p>
        </w:tc>
      </w:tr>
      <w:tr w:rsidR="00A14320" w:rsidRPr="00A44CCC" w14:paraId="65976F02" w14:textId="77777777" w:rsidTr="00E64F0A">
        <w:tc>
          <w:tcPr>
            <w:tcW w:w="4300" w:type="dxa"/>
          </w:tcPr>
          <w:p w14:paraId="04071AA8" w14:textId="77777777" w:rsidR="00A14320" w:rsidRPr="005D37EA" w:rsidRDefault="00A14320" w:rsidP="00E64F0A">
            <w:pPr>
              <w:rPr>
                <w:rFonts w:eastAsiaTheme="majorEastAsia"/>
                <w:kern w:val="0"/>
                <w:szCs w:val="21"/>
              </w:rPr>
            </w:pPr>
            <w:proofErr w:type="spellStart"/>
            <w:r w:rsidRPr="005D37EA">
              <w:rPr>
                <w:rFonts w:eastAsiaTheme="majorEastAsia"/>
                <w:kern w:val="0"/>
                <w:szCs w:val="21"/>
              </w:rPr>
              <w:t>Axitec</w:t>
            </w:r>
            <w:proofErr w:type="spellEnd"/>
            <w:r w:rsidRPr="005D37EA">
              <w:rPr>
                <w:rFonts w:eastAsiaTheme="majorEastAsia"/>
                <w:kern w:val="0"/>
                <w:szCs w:val="21"/>
              </w:rPr>
              <w:t xml:space="preserve"> LLC</w:t>
            </w:r>
          </w:p>
        </w:tc>
        <w:tc>
          <w:tcPr>
            <w:tcW w:w="5055" w:type="dxa"/>
          </w:tcPr>
          <w:p w14:paraId="1F965714" w14:textId="2499CD32" w:rsidR="00A14320" w:rsidRPr="005D37EA" w:rsidRDefault="006F689C" w:rsidP="00E64F0A">
            <w:pPr>
              <w:rPr>
                <w:rFonts w:eastAsiaTheme="majorEastAsia"/>
                <w:szCs w:val="21"/>
              </w:rPr>
            </w:pPr>
            <w:proofErr w:type="spellStart"/>
            <w:r w:rsidRPr="005D37EA">
              <w:rPr>
                <w:rFonts w:eastAsiaTheme="majorEastAsia"/>
                <w:szCs w:val="21"/>
              </w:rPr>
              <w:t>Axitec</w:t>
            </w:r>
            <w:proofErr w:type="spellEnd"/>
            <w:proofErr w:type="gramStart"/>
            <w:r w:rsidRPr="005D37EA">
              <w:rPr>
                <w:rFonts w:eastAsiaTheme="majorEastAsia" w:hint="eastAsia"/>
                <w:szCs w:val="21"/>
              </w:rPr>
              <w:t>系全球</w:t>
            </w:r>
            <w:proofErr w:type="gramEnd"/>
            <w:r w:rsidRPr="005D37EA">
              <w:rPr>
                <w:rFonts w:eastAsiaTheme="majorEastAsia" w:hint="eastAsia"/>
                <w:szCs w:val="21"/>
              </w:rPr>
              <w:t>最具影响力的太阳能模块、能源储存和电动汽车充电器制造商之一。其总部位于德国，当前总产能达到</w:t>
            </w:r>
            <w:r w:rsidRPr="005D37EA">
              <w:rPr>
                <w:rFonts w:eastAsiaTheme="majorEastAsia"/>
                <w:szCs w:val="21"/>
              </w:rPr>
              <w:t>2GW</w:t>
            </w:r>
            <w:r w:rsidRPr="005D37EA">
              <w:rPr>
                <w:rFonts w:eastAsiaTheme="majorEastAsia" w:hint="eastAsia"/>
                <w:szCs w:val="21"/>
              </w:rPr>
              <w:t>，其光</w:t>
            </w:r>
            <w:proofErr w:type="gramStart"/>
            <w:r w:rsidRPr="005D37EA">
              <w:rPr>
                <w:rFonts w:eastAsiaTheme="majorEastAsia" w:hint="eastAsia"/>
                <w:szCs w:val="21"/>
              </w:rPr>
              <w:t>伏</w:t>
            </w:r>
            <w:proofErr w:type="gramEnd"/>
            <w:r w:rsidRPr="005D37EA">
              <w:rPr>
                <w:rFonts w:eastAsiaTheme="majorEastAsia" w:hint="eastAsia"/>
                <w:szCs w:val="21"/>
              </w:rPr>
              <w:t>产品销售至全球</w:t>
            </w:r>
            <w:r w:rsidRPr="005D37EA">
              <w:rPr>
                <w:rFonts w:eastAsiaTheme="majorEastAsia"/>
                <w:szCs w:val="21"/>
              </w:rPr>
              <w:t>89</w:t>
            </w:r>
            <w:r w:rsidRPr="005D37EA">
              <w:rPr>
                <w:rFonts w:eastAsiaTheme="majorEastAsia" w:hint="eastAsia"/>
                <w:szCs w:val="21"/>
              </w:rPr>
              <w:t>个国家和地区。</w:t>
            </w:r>
            <w:proofErr w:type="spellStart"/>
            <w:r w:rsidRPr="005D37EA">
              <w:rPr>
                <w:rFonts w:eastAsiaTheme="majorEastAsia"/>
                <w:szCs w:val="21"/>
              </w:rPr>
              <w:t>Axitec</w:t>
            </w:r>
            <w:proofErr w:type="spellEnd"/>
            <w:r w:rsidRPr="005D37EA">
              <w:rPr>
                <w:rFonts w:eastAsiaTheme="majorEastAsia" w:hint="eastAsia"/>
                <w:szCs w:val="21"/>
              </w:rPr>
              <w:t>在美国新泽西州设有业务总部，并在美国加利福尼亚州设有额外的仓储设施，为其美国境内客户提供太阳能组件相关的快速服务。</w:t>
            </w:r>
          </w:p>
        </w:tc>
      </w:tr>
      <w:tr w:rsidR="00FC1A27" w:rsidRPr="00A44CCC" w14:paraId="615AD3C0" w14:textId="77777777" w:rsidTr="006A21FF">
        <w:tc>
          <w:tcPr>
            <w:tcW w:w="9355" w:type="dxa"/>
            <w:gridSpan w:val="2"/>
          </w:tcPr>
          <w:p w14:paraId="172AD5DA" w14:textId="64D45098" w:rsidR="00FC1A27" w:rsidRPr="005D37EA" w:rsidRDefault="009F4C10" w:rsidP="005D37EA">
            <w:pPr>
              <w:jc w:val="center"/>
              <w:rPr>
                <w:rFonts w:eastAsiaTheme="majorEastAsia"/>
                <w:szCs w:val="21"/>
              </w:rPr>
            </w:pPr>
            <w:r w:rsidRPr="005D37EA">
              <w:rPr>
                <w:rFonts w:eastAsiaTheme="majorEastAsia" w:hint="eastAsia"/>
                <w:b/>
                <w:bCs/>
                <w:szCs w:val="21"/>
              </w:rPr>
              <w:t>电池</w:t>
            </w:r>
            <w:proofErr w:type="gramStart"/>
            <w:r w:rsidRPr="005D37EA">
              <w:rPr>
                <w:rFonts w:eastAsiaTheme="majorEastAsia" w:hint="eastAsia"/>
                <w:b/>
                <w:bCs/>
                <w:szCs w:val="21"/>
              </w:rPr>
              <w:t>片客户</w:t>
            </w:r>
            <w:proofErr w:type="gramEnd"/>
          </w:p>
        </w:tc>
      </w:tr>
      <w:tr w:rsidR="00FC1A27" w:rsidRPr="00A44CCC" w14:paraId="6ACCF9B6" w14:textId="77777777" w:rsidTr="00E64F0A">
        <w:tc>
          <w:tcPr>
            <w:tcW w:w="4300" w:type="dxa"/>
          </w:tcPr>
          <w:p w14:paraId="7A6D54E1" w14:textId="6B0CAB73" w:rsidR="00FC1A27" w:rsidRPr="005D37EA" w:rsidRDefault="00FC1A27" w:rsidP="00E64F0A">
            <w:pPr>
              <w:rPr>
                <w:rFonts w:eastAsiaTheme="majorEastAsia"/>
                <w:kern w:val="0"/>
                <w:szCs w:val="21"/>
              </w:rPr>
            </w:pPr>
            <w:r w:rsidRPr="005D37EA">
              <w:rPr>
                <w:rFonts w:eastAsiaTheme="majorEastAsia"/>
                <w:kern w:val="0"/>
                <w:szCs w:val="21"/>
              </w:rPr>
              <w:t>BOVIET SOLAR TECHNOLOGY CO., LTD</w:t>
            </w:r>
          </w:p>
        </w:tc>
        <w:tc>
          <w:tcPr>
            <w:tcW w:w="5055" w:type="dxa"/>
          </w:tcPr>
          <w:p w14:paraId="4F5E2C0E" w14:textId="3E3491EF" w:rsidR="00FC1A27" w:rsidRPr="005D37EA" w:rsidRDefault="006F689C" w:rsidP="00FC1A27">
            <w:pPr>
              <w:rPr>
                <w:rFonts w:eastAsiaTheme="majorEastAsia"/>
                <w:szCs w:val="21"/>
              </w:rPr>
            </w:pPr>
            <w:proofErr w:type="spellStart"/>
            <w:r w:rsidRPr="005D37EA">
              <w:rPr>
                <w:rFonts w:eastAsiaTheme="majorEastAsia"/>
                <w:szCs w:val="21"/>
              </w:rPr>
              <w:t>Boviet</w:t>
            </w:r>
            <w:proofErr w:type="spellEnd"/>
            <w:r w:rsidRPr="005D37EA">
              <w:rPr>
                <w:rFonts w:eastAsiaTheme="majorEastAsia"/>
                <w:szCs w:val="21"/>
              </w:rPr>
              <w:t xml:space="preserve"> Solar</w:t>
            </w:r>
            <w:r w:rsidRPr="005D37EA">
              <w:rPr>
                <w:rFonts w:eastAsiaTheme="majorEastAsia" w:hint="eastAsia"/>
                <w:szCs w:val="21"/>
              </w:rPr>
              <w:t>（博威尔特太阳能科技有限公司）于</w:t>
            </w:r>
            <w:r w:rsidRPr="005D37EA">
              <w:rPr>
                <w:rFonts w:eastAsiaTheme="majorEastAsia"/>
                <w:szCs w:val="21"/>
              </w:rPr>
              <w:t>2013</w:t>
            </w:r>
            <w:r w:rsidRPr="005D37EA">
              <w:rPr>
                <w:rFonts w:eastAsiaTheme="majorEastAsia" w:hint="eastAsia"/>
                <w:szCs w:val="21"/>
              </w:rPr>
              <w:t>年成立于越南，是中国博威集团有限公司子企业，专注于新能源光伏电池、组件等产业的研发、生产和销售，为客户提供新能源光</w:t>
            </w:r>
            <w:proofErr w:type="gramStart"/>
            <w:r w:rsidRPr="005D37EA">
              <w:rPr>
                <w:rFonts w:eastAsiaTheme="majorEastAsia" w:hint="eastAsia"/>
                <w:szCs w:val="21"/>
              </w:rPr>
              <w:t>伏电子</w:t>
            </w:r>
            <w:proofErr w:type="gramEnd"/>
            <w:r w:rsidRPr="005D37EA">
              <w:rPr>
                <w:rFonts w:eastAsiaTheme="majorEastAsia" w:hint="eastAsia"/>
                <w:szCs w:val="21"/>
              </w:rPr>
              <w:t>产品解决方案。该公司产品自</w:t>
            </w:r>
            <w:r w:rsidRPr="005D37EA">
              <w:rPr>
                <w:rFonts w:eastAsiaTheme="majorEastAsia"/>
                <w:szCs w:val="21"/>
              </w:rPr>
              <w:t>2017</w:t>
            </w:r>
            <w:r w:rsidRPr="005D37EA">
              <w:rPr>
                <w:rFonts w:eastAsiaTheme="majorEastAsia" w:hint="eastAsia"/>
                <w:szCs w:val="21"/>
              </w:rPr>
              <w:t>年起连续获得全球知名机构彭博新能源财经</w:t>
            </w:r>
            <w:r w:rsidRPr="005D37EA">
              <w:rPr>
                <w:rFonts w:eastAsiaTheme="majorEastAsia"/>
                <w:szCs w:val="21"/>
              </w:rPr>
              <w:t>BNEF“</w:t>
            </w:r>
            <w:r w:rsidRPr="005D37EA">
              <w:rPr>
                <w:rFonts w:eastAsiaTheme="majorEastAsia" w:hint="eastAsia"/>
                <w:szCs w:val="21"/>
              </w:rPr>
              <w:t>全球一线组件制造商</w:t>
            </w:r>
            <w:r w:rsidRPr="005D37EA">
              <w:rPr>
                <w:rFonts w:eastAsiaTheme="majorEastAsia"/>
                <w:szCs w:val="21"/>
              </w:rPr>
              <w:t>(BNEF Tier 1)”</w:t>
            </w:r>
            <w:r w:rsidRPr="005D37EA">
              <w:rPr>
                <w:rFonts w:eastAsiaTheme="majorEastAsia" w:hint="eastAsia"/>
                <w:szCs w:val="21"/>
              </w:rPr>
              <w:t>认证，并自</w:t>
            </w:r>
            <w:r w:rsidRPr="005D37EA">
              <w:rPr>
                <w:rFonts w:eastAsiaTheme="majorEastAsia"/>
                <w:szCs w:val="21"/>
              </w:rPr>
              <w:t>2019</w:t>
            </w:r>
            <w:r w:rsidRPr="005D37EA">
              <w:rPr>
                <w:rFonts w:eastAsiaTheme="majorEastAsia" w:hint="eastAsia"/>
                <w:szCs w:val="21"/>
              </w:rPr>
              <w:t>年起连续获得全球权威光伏组件性能测试实验室</w:t>
            </w:r>
            <w:r w:rsidRPr="005D37EA">
              <w:rPr>
                <w:rFonts w:eastAsiaTheme="majorEastAsia"/>
                <w:szCs w:val="21"/>
              </w:rPr>
              <w:t>PVEL“</w:t>
            </w:r>
            <w:r w:rsidRPr="005D37EA">
              <w:rPr>
                <w:rFonts w:eastAsiaTheme="majorEastAsia" w:hint="eastAsia"/>
                <w:szCs w:val="21"/>
              </w:rPr>
              <w:t>全球</w:t>
            </w:r>
            <w:r w:rsidRPr="005D37EA">
              <w:rPr>
                <w:rFonts w:eastAsiaTheme="majorEastAsia"/>
                <w:szCs w:val="21"/>
              </w:rPr>
              <w:t>TOP Performer</w:t>
            </w:r>
            <w:r w:rsidRPr="005D37EA">
              <w:rPr>
                <w:rFonts w:eastAsiaTheme="majorEastAsia" w:hint="eastAsia"/>
                <w:szCs w:val="21"/>
              </w:rPr>
              <w:t>组件制造商</w:t>
            </w:r>
            <w:r w:rsidRPr="005D37EA">
              <w:rPr>
                <w:rFonts w:eastAsiaTheme="majorEastAsia"/>
                <w:szCs w:val="21"/>
              </w:rPr>
              <w:t>”</w:t>
            </w:r>
            <w:r w:rsidRPr="005D37EA">
              <w:rPr>
                <w:rFonts w:eastAsiaTheme="majorEastAsia" w:hint="eastAsia"/>
                <w:szCs w:val="21"/>
              </w:rPr>
              <w:t>认证。该公司当前光伏电池和光伏组件年产能约为</w:t>
            </w:r>
            <w:r w:rsidRPr="005D37EA">
              <w:rPr>
                <w:rFonts w:eastAsiaTheme="majorEastAsia"/>
                <w:szCs w:val="21"/>
              </w:rPr>
              <w:t>3GW</w:t>
            </w:r>
            <w:r w:rsidRPr="005D37EA">
              <w:rPr>
                <w:rFonts w:eastAsiaTheme="majorEastAsia" w:hint="eastAsia"/>
                <w:szCs w:val="21"/>
              </w:rPr>
              <w:t>，主要销往美国市场。</w:t>
            </w:r>
          </w:p>
        </w:tc>
      </w:tr>
      <w:tr w:rsidR="00FC1A27" w:rsidRPr="00A44CCC" w14:paraId="6B20EB2B" w14:textId="77777777" w:rsidTr="00E64F0A">
        <w:tc>
          <w:tcPr>
            <w:tcW w:w="4300" w:type="dxa"/>
          </w:tcPr>
          <w:p w14:paraId="5494B925" w14:textId="583B5C39" w:rsidR="00FC1A27" w:rsidRPr="005D37EA" w:rsidRDefault="009F4C10" w:rsidP="00E64F0A">
            <w:pPr>
              <w:rPr>
                <w:rFonts w:eastAsiaTheme="majorEastAsia"/>
                <w:kern w:val="0"/>
                <w:szCs w:val="21"/>
              </w:rPr>
            </w:pPr>
            <w:r w:rsidRPr="005D37EA">
              <w:rPr>
                <w:rFonts w:eastAsiaTheme="majorEastAsia"/>
                <w:kern w:val="0"/>
                <w:szCs w:val="21"/>
              </w:rPr>
              <w:t>BYD</w:t>
            </w:r>
            <w:r w:rsidR="006C4971">
              <w:rPr>
                <w:rFonts w:eastAsiaTheme="majorEastAsia"/>
                <w:kern w:val="0"/>
                <w:szCs w:val="21"/>
              </w:rPr>
              <w:t xml:space="preserve"> </w:t>
            </w:r>
            <w:r w:rsidRPr="005D37EA">
              <w:rPr>
                <w:rFonts w:eastAsiaTheme="majorEastAsia"/>
                <w:kern w:val="0"/>
                <w:szCs w:val="21"/>
              </w:rPr>
              <w:t>(H.K.)</w:t>
            </w:r>
            <w:r w:rsidR="006C4971">
              <w:rPr>
                <w:rFonts w:eastAsiaTheme="majorEastAsia"/>
                <w:kern w:val="0"/>
                <w:szCs w:val="21"/>
              </w:rPr>
              <w:t xml:space="preserve"> </w:t>
            </w:r>
            <w:r w:rsidRPr="005D37EA">
              <w:rPr>
                <w:rFonts w:eastAsiaTheme="majorEastAsia"/>
                <w:kern w:val="0"/>
                <w:szCs w:val="21"/>
              </w:rPr>
              <w:t>CO.LIMITED</w:t>
            </w:r>
          </w:p>
        </w:tc>
        <w:tc>
          <w:tcPr>
            <w:tcW w:w="5055" w:type="dxa"/>
          </w:tcPr>
          <w:p w14:paraId="688FAE5C" w14:textId="0852CA5A" w:rsidR="00FC1A27" w:rsidRPr="005D37EA" w:rsidRDefault="006F689C">
            <w:pPr>
              <w:rPr>
                <w:rFonts w:eastAsiaTheme="majorEastAsia"/>
                <w:szCs w:val="21"/>
                <w:shd w:val="clear" w:color="auto" w:fill="FFFFFF"/>
              </w:rPr>
            </w:pPr>
            <w:r w:rsidRPr="005D37EA">
              <w:rPr>
                <w:rFonts w:eastAsiaTheme="majorEastAsia"/>
                <w:szCs w:val="21"/>
              </w:rPr>
              <w:t>BYD HK</w:t>
            </w:r>
            <w:r w:rsidRPr="005D37EA">
              <w:rPr>
                <w:rFonts w:eastAsiaTheme="majorEastAsia" w:hint="eastAsia"/>
                <w:szCs w:val="21"/>
              </w:rPr>
              <w:t>（比亚</w:t>
            </w:r>
            <w:proofErr w:type="gramStart"/>
            <w:r w:rsidRPr="005D37EA">
              <w:rPr>
                <w:rFonts w:eastAsiaTheme="majorEastAsia" w:hint="eastAsia"/>
                <w:szCs w:val="21"/>
              </w:rPr>
              <w:t>迪</w:t>
            </w:r>
            <w:proofErr w:type="gramEnd"/>
            <w:r w:rsidRPr="005D37EA">
              <w:rPr>
                <w:rFonts w:eastAsiaTheme="majorEastAsia" w:hint="eastAsia"/>
                <w:szCs w:val="21"/>
              </w:rPr>
              <w:t>香港）于</w:t>
            </w:r>
            <w:r w:rsidRPr="005D37EA">
              <w:rPr>
                <w:rFonts w:eastAsiaTheme="majorEastAsia"/>
                <w:szCs w:val="21"/>
              </w:rPr>
              <w:t>1999</w:t>
            </w:r>
            <w:r w:rsidRPr="005D37EA">
              <w:rPr>
                <w:rFonts w:eastAsiaTheme="majorEastAsia" w:hint="eastAsia"/>
                <w:szCs w:val="21"/>
              </w:rPr>
              <w:t>年成立于中国香港，是中国比亚</w:t>
            </w:r>
            <w:proofErr w:type="gramStart"/>
            <w:r w:rsidRPr="005D37EA">
              <w:rPr>
                <w:rFonts w:eastAsiaTheme="majorEastAsia" w:hint="eastAsia"/>
                <w:szCs w:val="21"/>
              </w:rPr>
              <w:t>迪</w:t>
            </w:r>
            <w:proofErr w:type="gramEnd"/>
            <w:r w:rsidRPr="005D37EA">
              <w:rPr>
                <w:rFonts w:eastAsiaTheme="majorEastAsia" w:hint="eastAsia"/>
                <w:szCs w:val="21"/>
              </w:rPr>
              <w:t>股份有限公司子企业，专业从事充电电池的研发、生产和销售。主要产品有锂离子电池、镍镉电池、镍氢电池等。光</w:t>
            </w:r>
            <w:proofErr w:type="gramStart"/>
            <w:r w:rsidRPr="005D37EA">
              <w:rPr>
                <w:rFonts w:eastAsiaTheme="majorEastAsia" w:hint="eastAsia"/>
                <w:szCs w:val="21"/>
              </w:rPr>
              <w:t>伏业务</w:t>
            </w:r>
            <w:proofErr w:type="gramEnd"/>
            <w:r w:rsidRPr="005D37EA">
              <w:rPr>
                <w:rFonts w:eastAsiaTheme="majorEastAsia" w:hint="eastAsia"/>
                <w:szCs w:val="21"/>
              </w:rPr>
              <w:t>作为比亚</w:t>
            </w:r>
            <w:proofErr w:type="gramStart"/>
            <w:r w:rsidRPr="005D37EA">
              <w:rPr>
                <w:rFonts w:eastAsiaTheme="majorEastAsia" w:hint="eastAsia"/>
                <w:szCs w:val="21"/>
              </w:rPr>
              <w:t>迪</w:t>
            </w:r>
            <w:proofErr w:type="gramEnd"/>
            <w:r w:rsidRPr="005D37EA">
              <w:rPr>
                <w:rFonts w:eastAsiaTheme="majorEastAsia" w:hint="eastAsia"/>
                <w:szCs w:val="21"/>
              </w:rPr>
              <w:t>在清洁能源领域的重要布局之一，拥有电池片、光伏组件、光</w:t>
            </w:r>
            <w:proofErr w:type="gramStart"/>
            <w:r w:rsidRPr="005D37EA">
              <w:rPr>
                <w:rFonts w:eastAsiaTheme="majorEastAsia" w:hint="eastAsia"/>
                <w:szCs w:val="21"/>
              </w:rPr>
              <w:t>伏系统</w:t>
            </w:r>
            <w:proofErr w:type="gramEnd"/>
            <w:r w:rsidRPr="005D37EA">
              <w:rPr>
                <w:rFonts w:eastAsiaTheme="majorEastAsia" w:hint="eastAsia"/>
                <w:szCs w:val="21"/>
              </w:rPr>
              <w:t>应用等全产业链布局，其光</w:t>
            </w:r>
            <w:proofErr w:type="gramStart"/>
            <w:r w:rsidRPr="005D37EA">
              <w:rPr>
                <w:rFonts w:eastAsiaTheme="majorEastAsia" w:hint="eastAsia"/>
                <w:szCs w:val="21"/>
              </w:rPr>
              <w:t>伏</w:t>
            </w:r>
            <w:proofErr w:type="gramEnd"/>
            <w:r w:rsidRPr="005D37EA">
              <w:rPr>
                <w:rFonts w:eastAsiaTheme="majorEastAsia" w:hint="eastAsia"/>
                <w:szCs w:val="21"/>
              </w:rPr>
              <w:t>组件在全球范围内率先实现硅胶封装量产，拥有较强的技术优势。</w:t>
            </w:r>
          </w:p>
        </w:tc>
      </w:tr>
      <w:tr w:rsidR="00FC1A27" w:rsidRPr="00A44CCC" w14:paraId="6208923D" w14:textId="77777777" w:rsidTr="00E64F0A">
        <w:tc>
          <w:tcPr>
            <w:tcW w:w="4300" w:type="dxa"/>
          </w:tcPr>
          <w:p w14:paraId="68EAB21A" w14:textId="39C5DF78" w:rsidR="00FC1A27" w:rsidRPr="005D37EA" w:rsidRDefault="009F4C10" w:rsidP="00E64F0A">
            <w:pPr>
              <w:rPr>
                <w:rFonts w:eastAsiaTheme="majorEastAsia"/>
                <w:szCs w:val="21"/>
              </w:rPr>
            </w:pPr>
            <w:r w:rsidRPr="005D37EA">
              <w:rPr>
                <w:rFonts w:eastAsiaTheme="majorEastAsia"/>
                <w:szCs w:val="21"/>
              </w:rPr>
              <w:t>JA SOLAR INTERNATIONAL LIMITED</w:t>
            </w:r>
          </w:p>
        </w:tc>
        <w:tc>
          <w:tcPr>
            <w:tcW w:w="5055" w:type="dxa"/>
          </w:tcPr>
          <w:p w14:paraId="0EBF756D" w14:textId="1662ABBF" w:rsidR="00FC1A27" w:rsidRPr="005D37EA" w:rsidRDefault="006F689C" w:rsidP="00E64F0A">
            <w:pPr>
              <w:rPr>
                <w:rFonts w:eastAsiaTheme="majorEastAsia"/>
                <w:szCs w:val="21"/>
              </w:rPr>
            </w:pPr>
            <w:r w:rsidRPr="005D37EA">
              <w:rPr>
                <w:rFonts w:eastAsiaTheme="majorEastAsia"/>
                <w:szCs w:val="21"/>
              </w:rPr>
              <w:t>JA Solar</w:t>
            </w:r>
            <w:r w:rsidRPr="005D37EA">
              <w:rPr>
                <w:rFonts w:eastAsiaTheme="majorEastAsia" w:hint="eastAsia"/>
                <w:szCs w:val="21"/>
              </w:rPr>
              <w:t>（</w:t>
            </w:r>
            <w:proofErr w:type="gramStart"/>
            <w:r w:rsidRPr="005D37EA">
              <w:rPr>
                <w:rFonts w:eastAsiaTheme="majorEastAsia" w:hint="eastAsia"/>
                <w:szCs w:val="21"/>
              </w:rPr>
              <w:t>晶澳太阳能</w:t>
            </w:r>
            <w:proofErr w:type="gramEnd"/>
            <w:r w:rsidRPr="005D37EA">
              <w:rPr>
                <w:rFonts w:eastAsiaTheme="majorEastAsia" w:hint="eastAsia"/>
                <w:szCs w:val="21"/>
              </w:rPr>
              <w:t>国际有限公司）于</w:t>
            </w:r>
            <w:r w:rsidRPr="005D37EA">
              <w:rPr>
                <w:rFonts w:eastAsiaTheme="majorEastAsia"/>
                <w:szCs w:val="21"/>
              </w:rPr>
              <w:t>2016</w:t>
            </w:r>
            <w:r w:rsidRPr="005D37EA">
              <w:rPr>
                <w:rFonts w:eastAsiaTheme="majorEastAsia" w:hint="eastAsia"/>
                <w:szCs w:val="21"/>
              </w:rPr>
              <w:t>年成立于中国香港，是</w:t>
            </w:r>
            <w:proofErr w:type="gramStart"/>
            <w:r w:rsidRPr="005D37EA">
              <w:rPr>
                <w:rFonts w:eastAsiaTheme="majorEastAsia" w:hint="eastAsia"/>
                <w:szCs w:val="21"/>
              </w:rPr>
              <w:t>中国晶澳太阳能</w:t>
            </w:r>
            <w:proofErr w:type="gramEnd"/>
            <w:r w:rsidRPr="005D37EA">
              <w:rPr>
                <w:rFonts w:eastAsiaTheme="majorEastAsia" w:hint="eastAsia"/>
                <w:szCs w:val="21"/>
              </w:rPr>
              <w:t>科技股份有限公司子企业，专业从事境外新能源发电解决方案。</w:t>
            </w:r>
            <w:proofErr w:type="gramStart"/>
            <w:r w:rsidRPr="005D37EA">
              <w:rPr>
                <w:rFonts w:eastAsiaTheme="majorEastAsia" w:hint="eastAsia"/>
                <w:szCs w:val="21"/>
              </w:rPr>
              <w:t>晶澳太阳能</w:t>
            </w:r>
            <w:proofErr w:type="gramEnd"/>
            <w:r w:rsidRPr="005D37EA">
              <w:rPr>
                <w:rFonts w:eastAsiaTheme="majorEastAsia" w:hint="eastAsia"/>
                <w:szCs w:val="21"/>
              </w:rPr>
              <w:t>以硅片</w:t>
            </w:r>
            <w:r w:rsidRPr="005D37EA">
              <w:rPr>
                <w:rFonts w:eastAsiaTheme="majorEastAsia"/>
                <w:szCs w:val="21"/>
              </w:rPr>
              <w:t>-</w:t>
            </w:r>
            <w:r w:rsidRPr="005D37EA">
              <w:rPr>
                <w:rFonts w:eastAsiaTheme="majorEastAsia" w:hint="eastAsia"/>
                <w:szCs w:val="21"/>
              </w:rPr>
              <w:t>电池片</w:t>
            </w:r>
            <w:r w:rsidRPr="005D37EA">
              <w:rPr>
                <w:rFonts w:eastAsiaTheme="majorEastAsia"/>
                <w:szCs w:val="21"/>
              </w:rPr>
              <w:t>-</w:t>
            </w:r>
            <w:r w:rsidRPr="005D37EA">
              <w:rPr>
                <w:rFonts w:eastAsiaTheme="majorEastAsia" w:hint="eastAsia"/>
                <w:szCs w:val="21"/>
              </w:rPr>
              <w:t>组件的主产业链为主体，以光伏辅材和设备产业、光伏</w:t>
            </w:r>
            <w:r w:rsidRPr="005D37EA">
              <w:rPr>
                <w:rFonts w:eastAsiaTheme="majorEastAsia"/>
                <w:szCs w:val="21"/>
              </w:rPr>
              <w:t>+</w:t>
            </w:r>
            <w:r w:rsidRPr="005D37EA">
              <w:rPr>
                <w:rFonts w:eastAsiaTheme="majorEastAsia" w:hint="eastAsia"/>
                <w:szCs w:val="21"/>
              </w:rPr>
              <w:t>应用场景解决方案为两翼的战略，现已发展成全球光</w:t>
            </w:r>
            <w:proofErr w:type="gramStart"/>
            <w:r w:rsidRPr="005D37EA">
              <w:rPr>
                <w:rFonts w:eastAsiaTheme="majorEastAsia" w:hint="eastAsia"/>
                <w:szCs w:val="21"/>
              </w:rPr>
              <w:t>伏产业</w:t>
            </w:r>
            <w:proofErr w:type="gramEnd"/>
            <w:r w:rsidRPr="005D37EA">
              <w:rPr>
                <w:rFonts w:eastAsiaTheme="majorEastAsia" w:hint="eastAsia"/>
                <w:szCs w:val="21"/>
              </w:rPr>
              <w:t>领军企业，并面向全球</w:t>
            </w:r>
            <w:r w:rsidRPr="005D37EA">
              <w:rPr>
                <w:rFonts w:eastAsiaTheme="majorEastAsia"/>
                <w:szCs w:val="21"/>
              </w:rPr>
              <w:t>135</w:t>
            </w:r>
            <w:r w:rsidRPr="005D37EA">
              <w:rPr>
                <w:rFonts w:eastAsiaTheme="majorEastAsia" w:hint="eastAsia"/>
                <w:szCs w:val="21"/>
              </w:rPr>
              <w:t>个国家和地区提供绿色光伏产品及服务。</w:t>
            </w:r>
            <w:proofErr w:type="gramStart"/>
            <w:r w:rsidRPr="005D37EA">
              <w:rPr>
                <w:rFonts w:eastAsiaTheme="majorEastAsia" w:hint="eastAsia"/>
                <w:szCs w:val="21"/>
              </w:rPr>
              <w:t>晶澳太</w:t>
            </w:r>
            <w:r w:rsidRPr="005D37EA">
              <w:rPr>
                <w:rFonts w:eastAsiaTheme="majorEastAsia" w:hint="eastAsia"/>
                <w:szCs w:val="21"/>
              </w:rPr>
              <w:lastRenderedPageBreak/>
              <w:t>阳能</w:t>
            </w:r>
            <w:proofErr w:type="gramEnd"/>
            <w:r w:rsidRPr="005D37EA">
              <w:rPr>
                <w:rFonts w:eastAsiaTheme="majorEastAsia" w:hint="eastAsia"/>
                <w:szCs w:val="21"/>
              </w:rPr>
              <w:t>连续多年荣登</w:t>
            </w:r>
            <w:r w:rsidRPr="005D37EA">
              <w:rPr>
                <w:rFonts w:eastAsiaTheme="majorEastAsia"/>
                <w:szCs w:val="21"/>
              </w:rPr>
              <w:t>“</w:t>
            </w:r>
            <w:r w:rsidRPr="005D37EA">
              <w:rPr>
                <w:rFonts w:eastAsiaTheme="majorEastAsia" w:hint="eastAsia"/>
                <w:szCs w:val="21"/>
              </w:rPr>
              <w:t>《财富》中国</w:t>
            </w:r>
            <w:r w:rsidRPr="005D37EA">
              <w:rPr>
                <w:rFonts w:eastAsiaTheme="majorEastAsia"/>
                <w:szCs w:val="21"/>
              </w:rPr>
              <w:t>500</w:t>
            </w:r>
            <w:r w:rsidRPr="005D37EA">
              <w:rPr>
                <w:rFonts w:eastAsiaTheme="majorEastAsia" w:hint="eastAsia"/>
                <w:szCs w:val="21"/>
              </w:rPr>
              <w:t>强</w:t>
            </w:r>
            <w:r w:rsidRPr="005D37EA">
              <w:rPr>
                <w:rFonts w:eastAsiaTheme="majorEastAsia"/>
                <w:szCs w:val="21"/>
              </w:rPr>
              <w:t>”</w:t>
            </w:r>
            <w:r w:rsidRPr="005D37EA">
              <w:rPr>
                <w:rFonts w:eastAsiaTheme="majorEastAsia" w:hint="eastAsia"/>
                <w:szCs w:val="21"/>
              </w:rPr>
              <w:t>和</w:t>
            </w:r>
            <w:r w:rsidRPr="005D37EA">
              <w:rPr>
                <w:rFonts w:eastAsiaTheme="majorEastAsia"/>
                <w:szCs w:val="21"/>
              </w:rPr>
              <w:t>“</w:t>
            </w:r>
            <w:r w:rsidRPr="005D37EA">
              <w:rPr>
                <w:rFonts w:eastAsiaTheme="majorEastAsia" w:hint="eastAsia"/>
                <w:szCs w:val="21"/>
              </w:rPr>
              <w:t>全球新能源企业</w:t>
            </w:r>
            <w:r w:rsidRPr="005D37EA">
              <w:rPr>
                <w:rFonts w:eastAsiaTheme="majorEastAsia"/>
                <w:szCs w:val="21"/>
              </w:rPr>
              <w:t>500</w:t>
            </w:r>
            <w:r w:rsidRPr="005D37EA">
              <w:rPr>
                <w:rFonts w:eastAsiaTheme="majorEastAsia" w:hint="eastAsia"/>
                <w:szCs w:val="21"/>
              </w:rPr>
              <w:t>强</w:t>
            </w:r>
            <w:r w:rsidRPr="005D37EA">
              <w:rPr>
                <w:rFonts w:eastAsiaTheme="majorEastAsia"/>
                <w:szCs w:val="21"/>
              </w:rPr>
              <w:t>”</w:t>
            </w:r>
            <w:r w:rsidRPr="005D37EA">
              <w:rPr>
                <w:rFonts w:eastAsiaTheme="majorEastAsia" w:hint="eastAsia"/>
                <w:szCs w:val="21"/>
              </w:rPr>
              <w:t>榜单。</w:t>
            </w:r>
          </w:p>
        </w:tc>
      </w:tr>
    </w:tbl>
    <w:p w14:paraId="03C0610E" w14:textId="626377C8" w:rsidR="00A14320" w:rsidRPr="00A00160" w:rsidRDefault="00A00160" w:rsidP="005D37EA">
      <w:pPr>
        <w:jc w:val="left"/>
        <w:rPr>
          <w:sz w:val="24"/>
        </w:rPr>
      </w:pPr>
      <w:r>
        <w:lastRenderedPageBreak/>
        <w:t>信息来源：公开信息、</w:t>
      </w:r>
      <w:proofErr w:type="gramStart"/>
      <w:r>
        <w:t>公司官网</w:t>
      </w:r>
      <w:r>
        <w:rPr>
          <w:rFonts w:hint="eastAsia"/>
        </w:rPr>
        <w:t>等</w:t>
      </w:r>
      <w:proofErr w:type="gramEnd"/>
      <w:r>
        <w:rPr>
          <w:rFonts w:hint="eastAsia"/>
        </w:rPr>
        <w:t>整理</w:t>
      </w:r>
    </w:p>
    <w:p w14:paraId="712AE0AF" w14:textId="77777777" w:rsidR="00FC5A62" w:rsidRDefault="00C76273" w:rsidP="00881468">
      <w:pPr>
        <w:spacing w:beforeLines="50" w:before="156" w:afterLines="50" w:after="156" w:line="360" w:lineRule="auto"/>
        <w:ind w:firstLineChars="200" w:firstLine="480"/>
        <w:rPr>
          <w:sz w:val="24"/>
        </w:rPr>
      </w:pPr>
      <w:r>
        <w:rPr>
          <w:rFonts w:hint="eastAsia"/>
          <w:sz w:val="24"/>
        </w:rPr>
        <w:t>上市公司已于《安徽省交通建设股份有限公司发行股份购买资产并募集配套资金暨关联交易预案（修订稿）》“第四节</w:t>
      </w:r>
      <w:r>
        <w:rPr>
          <w:rFonts w:hint="eastAsia"/>
          <w:sz w:val="24"/>
        </w:rPr>
        <w:t xml:space="preserve"> </w:t>
      </w:r>
      <w:r>
        <w:rPr>
          <w:rFonts w:hint="eastAsia"/>
          <w:sz w:val="24"/>
        </w:rPr>
        <w:t>交易标的基本情况”之“四、标的公司主营业务发展情况”</w:t>
      </w:r>
      <w:r>
        <w:rPr>
          <w:rFonts w:hint="eastAsia"/>
          <w:sz w:val="24"/>
        </w:rPr>
        <w:t xml:space="preserve"> </w:t>
      </w:r>
      <w:r>
        <w:rPr>
          <w:rFonts w:hint="eastAsia"/>
          <w:sz w:val="24"/>
        </w:rPr>
        <w:t>之</w:t>
      </w:r>
      <w:r>
        <w:rPr>
          <w:rFonts w:hint="eastAsia"/>
          <w:sz w:val="24"/>
        </w:rPr>
        <w:t xml:space="preserve"> </w:t>
      </w:r>
      <w:r>
        <w:rPr>
          <w:rFonts w:hint="eastAsia"/>
          <w:sz w:val="24"/>
        </w:rPr>
        <w:t>“（一）标的公司主营业务概述”中补充披露了标的公司最近两年又一期前五大客户情况。</w:t>
      </w:r>
    </w:p>
    <w:p w14:paraId="14FA9908" w14:textId="77777777" w:rsidR="00FC5A62" w:rsidRDefault="00C76273" w:rsidP="00881468">
      <w:pPr>
        <w:spacing w:beforeLines="50" w:before="156" w:afterLines="50" w:after="156" w:line="360" w:lineRule="auto"/>
        <w:ind w:firstLineChars="200" w:firstLine="482"/>
        <w:outlineLvl w:val="2"/>
        <w:rPr>
          <w:rFonts w:ascii="宋体" w:hAnsi="宋体"/>
          <w:b/>
          <w:bCs/>
          <w:sz w:val="24"/>
        </w:rPr>
      </w:pPr>
      <w:r>
        <w:rPr>
          <w:rFonts w:ascii="宋体" w:hAnsi="宋体" w:hint="eastAsia"/>
          <w:b/>
          <w:bCs/>
          <w:sz w:val="24"/>
        </w:rPr>
        <w:t>二、结合标的公司经营与采购模式、在手订单、客户构成、行业地位等，区分业务板块说明标的公司业绩自2022年以来大幅增长的主要原因及合理性，并结合主要客户变动情况，说明标的公司与相关客户的合作是否具有稳定性与可持续性</w:t>
      </w:r>
    </w:p>
    <w:p w14:paraId="6CCD7A55" w14:textId="77777777" w:rsidR="00FC5A62" w:rsidRDefault="00C76273" w:rsidP="00881468">
      <w:pPr>
        <w:spacing w:beforeLines="50" w:before="156" w:afterLines="50" w:after="156" w:line="360" w:lineRule="auto"/>
        <w:ind w:firstLineChars="200" w:firstLine="482"/>
        <w:outlineLvl w:val="3"/>
        <w:rPr>
          <w:b/>
          <w:bCs/>
          <w:sz w:val="24"/>
        </w:rPr>
      </w:pPr>
      <w:r>
        <w:rPr>
          <w:rFonts w:hint="eastAsia"/>
          <w:b/>
          <w:bCs/>
          <w:sz w:val="24"/>
        </w:rPr>
        <w:t>（一）结合标的公司经营与采购模式、在手订单、客户构成、行业地位等，区分业务板块说明标的公司业绩自</w:t>
      </w:r>
      <w:r>
        <w:rPr>
          <w:rFonts w:hint="eastAsia"/>
          <w:b/>
          <w:bCs/>
          <w:sz w:val="24"/>
        </w:rPr>
        <w:t>2022</w:t>
      </w:r>
      <w:r>
        <w:rPr>
          <w:rFonts w:hint="eastAsia"/>
          <w:b/>
          <w:bCs/>
          <w:sz w:val="24"/>
        </w:rPr>
        <w:t>年以来大幅增长的主要原因及合理性</w:t>
      </w:r>
    </w:p>
    <w:p w14:paraId="21DAF216" w14:textId="77777777" w:rsidR="00FC5A62" w:rsidRDefault="00C76273" w:rsidP="00881468">
      <w:pPr>
        <w:spacing w:beforeLines="50" w:before="156" w:afterLines="50" w:after="156" w:line="360" w:lineRule="auto"/>
        <w:ind w:firstLineChars="200" w:firstLine="482"/>
        <w:outlineLvl w:val="4"/>
        <w:rPr>
          <w:sz w:val="24"/>
        </w:rPr>
      </w:pPr>
      <w:r>
        <w:rPr>
          <w:rFonts w:hint="eastAsia"/>
          <w:b/>
          <w:bCs/>
          <w:sz w:val="24"/>
        </w:rPr>
        <w:t>1</w:t>
      </w:r>
      <w:r>
        <w:rPr>
          <w:rFonts w:hint="eastAsia"/>
          <w:b/>
          <w:bCs/>
          <w:sz w:val="24"/>
        </w:rPr>
        <w:t>、标的公司经营与采购模式情况</w:t>
      </w:r>
    </w:p>
    <w:p w14:paraId="6785FC59" w14:textId="77777777" w:rsidR="00FC5A62" w:rsidRDefault="00C76273" w:rsidP="00881468">
      <w:pPr>
        <w:spacing w:beforeLines="50" w:before="156" w:afterLines="50" w:after="156" w:line="360" w:lineRule="auto"/>
        <w:ind w:firstLineChars="200" w:firstLine="480"/>
        <w:rPr>
          <w:sz w:val="24"/>
        </w:rPr>
      </w:pPr>
      <w:r>
        <w:rPr>
          <w:rFonts w:hint="eastAsia"/>
          <w:sz w:val="24"/>
        </w:rPr>
        <w:t>标的公司长期深耕光伏产业，持续进行技术、产品的迭代更新。标的公司通过与客户签署产品销售合同的方式获取订单，采用“以销定产”的方式组织生产。标的公司采购硅片及辅材后，由东南亚生产基地进行电池片生产活动，并主要通过</w:t>
      </w:r>
      <w:r>
        <w:rPr>
          <w:rFonts w:hint="eastAsia"/>
          <w:sz w:val="24"/>
        </w:rPr>
        <w:t>O</w:t>
      </w:r>
      <w:r>
        <w:rPr>
          <w:sz w:val="24"/>
        </w:rPr>
        <w:t>EM</w:t>
      </w:r>
      <w:r>
        <w:rPr>
          <w:rFonts w:hint="eastAsia"/>
          <w:sz w:val="24"/>
        </w:rPr>
        <w:t>模式完成组件产品的生产。最终主要通过美国销售中心完成对外销售，由此构成标的公司主要的盈利模式。标的公司战略性布局硅片业务和</w:t>
      </w:r>
      <w:r>
        <w:rPr>
          <w:rFonts w:hint="eastAsia"/>
          <w:sz w:val="24"/>
        </w:rPr>
        <w:t xml:space="preserve"> </w:t>
      </w:r>
      <w:proofErr w:type="spellStart"/>
      <w:r>
        <w:rPr>
          <w:rFonts w:hint="eastAsia"/>
          <w:sz w:val="24"/>
        </w:rPr>
        <w:t>TOPCon</w:t>
      </w:r>
      <w:proofErr w:type="spellEnd"/>
      <w:r>
        <w:rPr>
          <w:rFonts w:hint="eastAsia"/>
          <w:sz w:val="24"/>
        </w:rPr>
        <w:t xml:space="preserve"> </w:t>
      </w:r>
      <w:r>
        <w:rPr>
          <w:rFonts w:hint="eastAsia"/>
          <w:sz w:val="24"/>
        </w:rPr>
        <w:t>电池技术，有望成为新的业务增长点。</w:t>
      </w:r>
    </w:p>
    <w:p w14:paraId="1A2ED1AE" w14:textId="77777777" w:rsidR="00FC5A62" w:rsidRDefault="00C76273" w:rsidP="00881468">
      <w:pPr>
        <w:spacing w:beforeLines="50" w:before="156" w:afterLines="50" w:after="156" w:line="360" w:lineRule="auto"/>
        <w:ind w:firstLineChars="200" w:firstLine="480"/>
        <w:rPr>
          <w:sz w:val="24"/>
        </w:rPr>
      </w:pPr>
      <w:r>
        <w:rPr>
          <w:rFonts w:hint="eastAsia"/>
          <w:sz w:val="24"/>
        </w:rPr>
        <w:t>标的公司的具体采购模式、生产模式及销售模式如下：</w:t>
      </w:r>
    </w:p>
    <w:p w14:paraId="112EB08B" w14:textId="77777777" w:rsidR="00FC5A62" w:rsidRDefault="00C76273" w:rsidP="00881468">
      <w:pPr>
        <w:spacing w:beforeLines="50" w:before="156" w:afterLines="50" w:after="156" w:line="360" w:lineRule="auto"/>
        <w:ind w:firstLineChars="200" w:firstLine="482"/>
        <w:rPr>
          <w:b/>
          <w:bCs/>
          <w:sz w:val="24"/>
        </w:rPr>
      </w:pPr>
      <w:r>
        <w:rPr>
          <w:rFonts w:hint="eastAsia"/>
          <w:b/>
          <w:bCs/>
          <w:sz w:val="24"/>
        </w:rPr>
        <w:t>（</w:t>
      </w:r>
      <w:r>
        <w:rPr>
          <w:rFonts w:hint="eastAsia"/>
          <w:b/>
          <w:bCs/>
          <w:sz w:val="24"/>
        </w:rPr>
        <w:t>1</w:t>
      </w:r>
      <w:r>
        <w:rPr>
          <w:rFonts w:hint="eastAsia"/>
          <w:b/>
          <w:bCs/>
          <w:sz w:val="24"/>
        </w:rPr>
        <w:t>）采购模式：</w:t>
      </w:r>
    </w:p>
    <w:p w14:paraId="47377E0A" w14:textId="77777777" w:rsidR="00FC5A62" w:rsidRDefault="00C76273" w:rsidP="00881468">
      <w:pPr>
        <w:spacing w:beforeLines="50" w:before="156" w:afterLines="50" w:after="156" w:line="360" w:lineRule="auto"/>
        <w:ind w:firstLineChars="200" w:firstLine="480"/>
        <w:rPr>
          <w:sz w:val="24"/>
        </w:rPr>
      </w:pPr>
      <w:r>
        <w:rPr>
          <w:rFonts w:hint="eastAsia"/>
          <w:sz w:val="24"/>
        </w:rPr>
        <w:t>标的公司的采购包括原材料采购和加工服务采购两个方面。</w:t>
      </w:r>
    </w:p>
    <w:p w14:paraId="36EB32A8" w14:textId="3400A85A" w:rsidR="00FC5A62" w:rsidRDefault="00C76273" w:rsidP="00881468">
      <w:pPr>
        <w:spacing w:beforeLines="50" w:before="156" w:afterLines="50" w:after="156" w:line="360" w:lineRule="auto"/>
        <w:ind w:firstLineChars="200" w:firstLine="480"/>
        <w:rPr>
          <w:sz w:val="24"/>
        </w:rPr>
      </w:pPr>
      <w:r>
        <w:rPr>
          <w:rFonts w:hint="eastAsia"/>
          <w:sz w:val="24"/>
        </w:rPr>
        <w:t>原材料采购主要包括硅片、</w:t>
      </w:r>
      <w:proofErr w:type="gramStart"/>
      <w:r>
        <w:rPr>
          <w:rFonts w:hint="eastAsia"/>
          <w:sz w:val="24"/>
        </w:rPr>
        <w:t>非硅辅料</w:t>
      </w:r>
      <w:proofErr w:type="gramEnd"/>
      <w:r>
        <w:rPr>
          <w:rFonts w:hint="eastAsia"/>
          <w:sz w:val="24"/>
        </w:rPr>
        <w:t>（包括玻璃、</w:t>
      </w:r>
      <w:r>
        <w:rPr>
          <w:rFonts w:hint="eastAsia"/>
          <w:sz w:val="24"/>
        </w:rPr>
        <w:t>EVA</w:t>
      </w:r>
      <w:r>
        <w:rPr>
          <w:rFonts w:hint="eastAsia"/>
          <w:sz w:val="24"/>
        </w:rPr>
        <w:t>、背板、焊带、边框、接线盒等）及其他组件辅材和配件等。对于原材料采购，标的公司</w:t>
      </w:r>
      <w:r>
        <w:rPr>
          <w:sz w:val="24"/>
        </w:rPr>
        <w:t>总体采用</w:t>
      </w:r>
      <w:r>
        <w:rPr>
          <w:sz w:val="24"/>
        </w:rPr>
        <w:t>“</w:t>
      </w:r>
      <w:r>
        <w:rPr>
          <w:sz w:val="24"/>
        </w:rPr>
        <w:t>以销定采</w:t>
      </w:r>
      <w:r>
        <w:rPr>
          <w:sz w:val="24"/>
        </w:rPr>
        <w:t>”</w:t>
      </w:r>
      <w:r>
        <w:rPr>
          <w:sz w:val="24"/>
        </w:rPr>
        <w:t>的原则进行采购</w:t>
      </w:r>
      <w:r>
        <w:rPr>
          <w:rFonts w:hint="eastAsia"/>
          <w:sz w:val="24"/>
        </w:rPr>
        <w:t>，</w:t>
      </w:r>
      <w:r>
        <w:rPr>
          <w:sz w:val="24"/>
        </w:rPr>
        <w:t>通过产供销信息联动，</w:t>
      </w:r>
      <w:r>
        <w:rPr>
          <w:rFonts w:hint="eastAsia"/>
          <w:sz w:val="24"/>
        </w:rPr>
        <w:t>标的</w:t>
      </w:r>
      <w:r>
        <w:rPr>
          <w:sz w:val="24"/>
        </w:rPr>
        <w:t>公司以市场趋势、销售订单、销售预测、产能情况制定的生产计划为基础，结合安全库存</w:t>
      </w:r>
      <w:r>
        <w:rPr>
          <w:rFonts w:hint="eastAsia"/>
          <w:sz w:val="24"/>
        </w:rPr>
        <w:t>，</w:t>
      </w:r>
      <w:r>
        <w:rPr>
          <w:sz w:val="24"/>
        </w:rPr>
        <w:t>制定原材料采</w:t>
      </w:r>
      <w:r>
        <w:rPr>
          <w:sz w:val="24"/>
        </w:rPr>
        <w:lastRenderedPageBreak/>
        <w:t>购计划。</w:t>
      </w:r>
    </w:p>
    <w:p w14:paraId="78031585" w14:textId="77777777" w:rsidR="00FC5A62" w:rsidRDefault="00C76273" w:rsidP="00881468">
      <w:pPr>
        <w:spacing w:beforeLines="50" w:before="156" w:afterLines="50" w:after="156" w:line="360" w:lineRule="auto"/>
        <w:ind w:firstLineChars="200" w:firstLine="480"/>
        <w:rPr>
          <w:sz w:val="24"/>
        </w:rPr>
      </w:pPr>
      <w:r>
        <w:rPr>
          <w:rFonts w:hint="eastAsia"/>
          <w:sz w:val="24"/>
        </w:rPr>
        <w:t>对于加工服务采购，标的公司邀请具备生产能力和资格的供应商参与商务谈判，综合其生产能力、质量管控能力、价格、服务、结算方式等因素确定具体的供应商，向其下达生产任务，并派驻现场质量监督人员，确保供应商的加工质量。</w:t>
      </w:r>
    </w:p>
    <w:p w14:paraId="295D7BE4" w14:textId="01CF444E" w:rsidR="00FC5A62" w:rsidRDefault="00C76273" w:rsidP="00881468">
      <w:pPr>
        <w:spacing w:beforeLines="50" w:before="156" w:afterLines="50" w:after="156" w:line="360" w:lineRule="auto"/>
        <w:ind w:firstLineChars="200" w:firstLine="480"/>
        <w:rPr>
          <w:sz w:val="24"/>
        </w:rPr>
      </w:pPr>
      <w:r>
        <w:rPr>
          <w:rFonts w:hint="eastAsia"/>
          <w:sz w:val="24"/>
        </w:rPr>
        <w:t>标的公司建立了严格、透明、规范的采购控制程序，采购过程规范透明。在选择供应商时</w:t>
      </w:r>
      <w:r>
        <w:rPr>
          <w:sz w:val="24"/>
        </w:rPr>
        <w:t>，</w:t>
      </w:r>
      <w:r>
        <w:rPr>
          <w:rFonts w:hint="eastAsia"/>
          <w:sz w:val="24"/>
        </w:rPr>
        <w:t>标的</w:t>
      </w:r>
      <w:r>
        <w:rPr>
          <w:sz w:val="24"/>
        </w:rPr>
        <w:t>公司综合考虑供应商实力、供货质量、效率和价格等</w:t>
      </w:r>
      <w:r>
        <w:rPr>
          <w:rFonts w:hint="eastAsia"/>
          <w:sz w:val="24"/>
        </w:rPr>
        <w:t>因</w:t>
      </w:r>
      <w:r>
        <w:rPr>
          <w:sz w:val="24"/>
        </w:rPr>
        <w:t>素，选择战略供应</w:t>
      </w:r>
      <w:proofErr w:type="gramStart"/>
      <w:r>
        <w:rPr>
          <w:sz w:val="24"/>
        </w:rPr>
        <w:t>商长期</w:t>
      </w:r>
      <w:proofErr w:type="gramEnd"/>
      <w:r>
        <w:rPr>
          <w:sz w:val="24"/>
        </w:rPr>
        <w:t>合作，确保供应的稳定性和质量可靠性，并于采购实际发生时在市场基准价的基础上结合采购量与供应商协商确定采购价格。</w:t>
      </w:r>
      <w:r>
        <w:rPr>
          <w:rFonts w:hint="eastAsia"/>
          <w:sz w:val="24"/>
        </w:rPr>
        <w:t>标的</w:t>
      </w:r>
      <w:r>
        <w:rPr>
          <w:sz w:val="24"/>
        </w:rPr>
        <w:t>公司主要选择拥有优质、稳定的行业头部公司开展合作。</w:t>
      </w:r>
    </w:p>
    <w:p w14:paraId="026694F3" w14:textId="77777777" w:rsidR="00FC5A62" w:rsidRDefault="00C76273" w:rsidP="00881468">
      <w:pPr>
        <w:spacing w:beforeLines="50" w:before="156" w:afterLines="50" w:after="156" w:line="360" w:lineRule="auto"/>
        <w:ind w:firstLineChars="200" w:firstLine="482"/>
        <w:rPr>
          <w:b/>
          <w:bCs/>
          <w:sz w:val="24"/>
        </w:rPr>
      </w:pPr>
      <w:r>
        <w:rPr>
          <w:rFonts w:hint="eastAsia"/>
          <w:b/>
          <w:bCs/>
          <w:sz w:val="24"/>
        </w:rPr>
        <w:t>（</w:t>
      </w:r>
      <w:r>
        <w:rPr>
          <w:rFonts w:hint="eastAsia"/>
          <w:b/>
          <w:bCs/>
          <w:sz w:val="24"/>
        </w:rPr>
        <w:t>2</w:t>
      </w:r>
      <w:r>
        <w:rPr>
          <w:rFonts w:hint="eastAsia"/>
          <w:b/>
          <w:bCs/>
          <w:sz w:val="24"/>
        </w:rPr>
        <w:t>）生产模式</w:t>
      </w:r>
    </w:p>
    <w:p w14:paraId="346CEDD1" w14:textId="77777777" w:rsidR="00FC5A62" w:rsidRDefault="00C76273" w:rsidP="00881468">
      <w:pPr>
        <w:spacing w:beforeLines="50" w:before="156" w:afterLines="50" w:after="156" w:line="360" w:lineRule="auto"/>
        <w:ind w:firstLineChars="200" w:firstLine="480"/>
        <w:rPr>
          <w:sz w:val="24"/>
        </w:rPr>
      </w:pPr>
      <w:r>
        <w:rPr>
          <w:sz w:val="24"/>
        </w:rPr>
        <w:t>标的公司在东南亚建立了生产制造基地，根据市场需求及订单交付安排提前规划制定生产计划，生产流程主要为</w:t>
      </w:r>
      <w:r>
        <w:rPr>
          <w:sz w:val="24"/>
        </w:rPr>
        <w:t>“</w:t>
      </w:r>
      <w:r>
        <w:rPr>
          <w:sz w:val="24"/>
        </w:rPr>
        <w:t>硅片</w:t>
      </w:r>
      <w:r>
        <w:rPr>
          <w:sz w:val="24"/>
        </w:rPr>
        <w:t>—</w:t>
      </w:r>
      <w:r>
        <w:rPr>
          <w:sz w:val="24"/>
        </w:rPr>
        <w:t>电池片</w:t>
      </w:r>
      <w:r>
        <w:rPr>
          <w:sz w:val="24"/>
        </w:rPr>
        <w:t>—</w:t>
      </w:r>
      <w:r>
        <w:rPr>
          <w:sz w:val="24"/>
        </w:rPr>
        <w:t>光伏组件</w:t>
      </w:r>
      <w:r>
        <w:rPr>
          <w:sz w:val="24"/>
        </w:rPr>
        <w:t>”</w:t>
      </w:r>
      <w:r>
        <w:rPr>
          <w:sz w:val="24"/>
        </w:rPr>
        <w:t>，</w:t>
      </w:r>
      <w:r>
        <w:rPr>
          <w:rFonts w:hint="eastAsia"/>
          <w:sz w:val="24"/>
        </w:rPr>
        <w:t>光伏组件</w:t>
      </w:r>
      <w:r>
        <w:rPr>
          <w:sz w:val="24"/>
        </w:rPr>
        <w:t>采用</w:t>
      </w:r>
      <w:r>
        <w:rPr>
          <w:sz w:val="24"/>
        </w:rPr>
        <w:t>“</w:t>
      </w:r>
      <w:r>
        <w:rPr>
          <w:sz w:val="24"/>
        </w:rPr>
        <w:t>以销定产</w:t>
      </w:r>
      <w:r>
        <w:rPr>
          <w:sz w:val="24"/>
        </w:rPr>
        <w:t>”</w:t>
      </w:r>
      <w:r>
        <w:rPr>
          <w:sz w:val="24"/>
        </w:rPr>
        <w:t>的订单生产模式，根据订单和产能情况分配生产任务，东南亚生产基地进行电池片生产制造，光伏组件的生产制造主要采用</w:t>
      </w:r>
      <w:r>
        <w:rPr>
          <w:sz w:val="24"/>
        </w:rPr>
        <w:t>OEM</w:t>
      </w:r>
      <w:r>
        <w:rPr>
          <w:sz w:val="24"/>
        </w:rPr>
        <w:t>模式。标的公司制定了严格的生产管理制度，对生产全流程进行精细化管理，并对产品质量进行全流程监督把控。</w:t>
      </w:r>
    </w:p>
    <w:p w14:paraId="51EC45F7" w14:textId="77777777" w:rsidR="00FC5A62" w:rsidRDefault="00C76273" w:rsidP="00881468">
      <w:pPr>
        <w:spacing w:beforeLines="50" w:before="156" w:afterLines="50" w:after="156" w:line="360" w:lineRule="auto"/>
        <w:ind w:firstLineChars="200" w:firstLine="462"/>
        <w:rPr>
          <w:b/>
          <w:bCs/>
          <w:sz w:val="23"/>
          <w:szCs w:val="23"/>
        </w:rPr>
      </w:pPr>
      <w:r>
        <w:rPr>
          <w:rFonts w:hint="eastAsia"/>
          <w:b/>
          <w:bCs/>
          <w:sz w:val="23"/>
          <w:szCs w:val="23"/>
        </w:rPr>
        <w:t>（</w:t>
      </w:r>
      <w:r>
        <w:rPr>
          <w:rFonts w:hint="eastAsia"/>
          <w:b/>
          <w:bCs/>
          <w:sz w:val="23"/>
          <w:szCs w:val="23"/>
        </w:rPr>
        <w:t>3</w:t>
      </w:r>
      <w:r>
        <w:rPr>
          <w:rFonts w:hint="eastAsia"/>
          <w:b/>
          <w:bCs/>
          <w:sz w:val="23"/>
          <w:szCs w:val="23"/>
        </w:rPr>
        <w:t>）销售模式</w:t>
      </w:r>
    </w:p>
    <w:p w14:paraId="7044F9CE" w14:textId="77777777" w:rsidR="00FC5A62" w:rsidRDefault="00C76273" w:rsidP="00881468">
      <w:pPr>
        <w:spacing w:beforeLines="50" w:before="156" w:afterLines="50" w:after="156" w:line="360" w:lineRule="auto"/>
        <w:ind w:firstLineChars="200" w:firstLine="480"/>
        <w:rPr>
          <w:sz w:val="24"/>
        </w:rPr>
      </w:pPr>
      <w:r>
        <w:rPr>
          <w:sz w:val="24"/>
        </w:rPr>
        <w:t>标的公司所销售的终端产品主要是</w:t>
      </w:r>
      <w:r>
        <w:rPr>
          <w:sz w:val="24"/>
        </w:rPr>
        <w:t>ET S</w:t>
      </w:r>
      <w:r>
        <w:rPr>
          <w:rFonts w:hint="eastAsia"/>
          <w:color w:val="000000"/>
          <w:sz w:val="24"/>
        </w:rPr>
        <w:t>olar/</w:t>
      </w:r>
      <w:r>
        <w:rPr>
          <w:color w:val="000000"/>
          <w:sz w:val="24"/>
        </w:rPr>
        <w:t xml:space="preserve"> </w:t>
      </w:r>
      <w:proofErr w:type="spellStart"/>
      <w:r>
        <w:rPr>
          <w:rFonts w:hint="eastAsia"/>
          <w:color w:val="000000"/>
          <w:sz w:val="24"/>
        </w:rPr>
        <w:t>EliTe</w:t>
      </w:r>
      <w:proofErr w:type="spellEnd"/>
      <w:r>
        <w:rPr>
          <w:rFonts w:hint="eastAsia"/>
          <w:color w:val="000000"/>
          <w:sz w:val="24"/>
        </w:rPr>
        <w:t xml:space="preserve"> Solar</w:t>
      </w:r>
      <w:proofErr w:type="gramStart"/>
      <w:r>
        <w:rPr>
          <w:sz w:val="24"/>
        </w:rPr>
        <w:t>品牌光</w:t>
      </w:r>
      <w:proofErr w:type="gramEnd"/>
      <w:r>
        <w:rPr>
          <w:sz w:val="24"/>
        </w:rPr>
        <w:t>伏组件和电池片产品。光伏组件产品主要聚焦</w:t>
      </w:r>
      <w:r>
        <w:rPr>
          <w:rFonts w:hint="eastAsia"/>
          <w:sz w:val="24"/>
        </w:rPr>
        <w:t>美国</w:t>
      </w:r>
      <w:r>
        <w:rPr>
          <w:sz w:val="24"/>
        </w:rPr>
        <w:t>地区的销售，标的公司建立了完整的销售服务体系，由</w:t>
      </w:r>
      <w:r>
        <w:rPr>
          <w:rFonts w:hint="eastAsia"/>
          <w:sz w:val="24"/>
        </w:rPr>
        <w:t>美国</w:t>
      </w:r>
      <w:r>
        <w:rPr>
          <w:sz w:val="24"/>
        </w:rPr>
        <w:t>地区专职人员负责组件销售的工作，并与客户直接签署销售合同，以</w:t>
      </w:r>
      <w:r>
        <w:rPr>
          <w:sz w:val="24"/>
        </w:rPr>
        <w:t>DDP</w:t>
      </w:r>
      <w:r>
        <w:rPr>
          <w:sz w:val="24"/>
        </w:rPr>
        <w:t>模式为主开展销售交付工作，深度开发区域市场。标的公司生产的电池片</w:t>
      </w:r>
      <w:r>
        <w:rPr>
          <w:rFonts w:hint="eastAsia"/>
          <w:sz w:val="24"/>
        </w:rPr>
        <w:t>部分对</w:t>
      </w:r>
      <w:r>
        <w:rPr>
          <w:sz w:val="24"/>
        </w:rPr>
        <w:t>外销售，主要以客户自</w:t>
      </w:r>
      <w:proofErr w:type="gramStart"/>
      <w:r>
        <w:rPr>
          <w:sz w:val="24"/>
        </w:rPr>
        <w:t>提模式</w:t>
      </w:r>
      <w:proofErr w:type="gramEnd"/>
      <w:r>
        <w:rPr>
          <w:sz w:val="24"/>
        </w:rPr>
        <w:t>销往越南、柬埔寨</w:t>
      </w:r>
      <w:r>
        <w:rPr>
          <w:rFonts w:hint="eastAsia"/>
          <w:sz w:val="24"/>
        </w:rPr>
        <w:t>等</w:t>
      </w:r>
      <w:r>
        <w:rPr>
          <w:sz w:val="24"/>
        </w:rPr>
        <w:t>地区的客户。</w:t>
      </w:r>
    </w:p>
    <w:p w14:paraId="21305550" w14:textId="77777777" w:rsidR="00FC5A62" w:rsidRDefault="00C76273" w:rsidP="00881468">
      <w:pPr>
        <w:spacing w:beforeLines="50" w:before="156" w:afterLines="50" w:after="156" w:line="360" w:lineRule="auto"/>
        <w:ind w:firstLineChars="200" w:firstLine="482"/>
        <w:outlineLvl w:val="4"/>
        <w:rPr>
          <w:sz w:val="24"/>
        </w:rPr>
      </w:pPr>
      <w:r>
        <w:rPr>
          <w:rFonts w:hint="eastAsia"/>
          <w:b/>
          <w:bCs/>
          <w:sz w:val="24"/>
        </w:rPr>
        <w:t>2</w:t>
      </w:r>
      <w:r>
        <w:rPr>
          <w:rFonts w:hint="eastAsia"/>
          <w:b/>
          <w:bCs/>
          <w:sz w:val="24"/>
        </w:rPr>
        <w:t>、标的公司在手订单情况</w:t>
      </w:r>
    </w:p>
    <w:p w14:paraId="5645B31B" w14:textId="77777777" w:rsidR="00FC5A62" w:rsidRDefault="00C76273" w:rsidP="00881468">
      <w:pPr>
        <w:spacing w:beforeLines="50" w:before="156" w:afterLines="50" w:after="156" w:line="360" w:lineRule="auto"/>
        <w:ind w:firstLineChars="200" w:firstLine="480"/>
        <w:rPr>
          <w:sz w:val="24"/>
        </w:rPr>
      </w:pPr>
      <w:r>
        <w:rPr>
          <w:rFonts w:hint="eastAsia"/>
          <w:sz w:val="24"/>
        </w:rPr>
        <w:t>标的公司聚焦于美国地区的光伏组件销售业务，受益于美国地区光</w:t>
      </w:r>
      <w:proofErr w:type="gramStart"/>
      <w:r>
        <w:rPr>
          <w:rFonts w:hint="eastAsia"/>
          <w:sz w:val="24"/>
        </w:rPr>
        <w:t>伏市场</w:t>
      </w:r>
      <w:proofErr w:type="gramEnd"/>
      <w:r>
        <w:rPr>
          <w:rFonts w:hint="eastAsia"/>
          <w:sz w:val="24"/>
        </w:rPr>
        <w:t>规模及对光</w:t>
      </w:r>
      <w:proofErr w:type="gramStart"/>
      <w:r>
        <w:rPr>
          <w:rFonts w:hint="eastAsia"/>
          <w:sz w:val="24"/>
        </w:rPr>
        <w:t>伏</w:t>
      </w:r>
      <w:proofErr w:type="gramEnd"/>
      <w:r>
        <w:rPr>
          <w:rFonts w:hint="eastAsia"/>
          <w:sz w:val="24"/>
        </w:rPr>
        <w:t>组件需求的不断扩大，标的公司报告期各期的销售情况持续向好。同时，美国政府对来自于东南亚地区的光伏组件暂时执行宽松性政策，标的公司</w:t>
      </w:r>
      <w:r>
        <w:rPr>
          <w:rFonts w:hint="eastAsia"/>
          <w:sz w:val="24"/>
        </w:rPr>
        <w:t>2</w:t>
      </w:r>
      <w:r>
        <w:rPr>
          <w:sz w:val="24"/>
        </w:rPr>
        <w:t>021</w:t>
      </w:r>
      <w:r>
        <w:rPr>
          <w:rFonts w:hint="eastAsia"/>
          <w:sz w:val="24"/>
        </w:rPr>
        <w:t>年下半年以来签订了大量在执行订单，截至</w:t>
      </w:r>
      <w:r>
        <w:rPr>
          <w:rFonts w:hint="eastAsia"/>
          <w:sz w:val="24"/>
        </w:rPr>
        <w:t>2</w:t>
      </w:r>
      <w:r>
        <w:rPr>
          <w:sz w:val="24"/>
        </w:rPr>
        <w:t>023</w:t>
      </w:r>
      <w:r>
        <w:rPr>
          <w:rFonts w:hint="eastAsia"/>
          <w:sz w:val="24"/>
        </w:rPr>
        <w:t>年</w:t>
      </w:r>
      <w:r>
        <w:rPr>
          <w:rFonts w:hint="eastAsia"/>
          <w:sz w:val="24"/>
        </w:rPr>
        <w:t>8</w:t>
      </w:r>
      <w:r>
        <w:rPr>
          <w:rFonts w:hint="eastAsia"/>
          <w:sz w:val="24"/>
        </w:rPr>
        <w:t>月末在手订单较为充</w:t>
      </w:r>
      <w:r>
        <w:rPr>
          <w:rFonts w:hint="eastAsia"/>
          <w:sz w:val="24"/>
        </w:rPr>
        <w:lastRenderedPageBreak/>
        <w:t>足。</w:t>
      </w:r>
    </w:p>
    <w:p w14:paraId="4AF4F2DE" w14:textId="77777777" w:rsidR="00FC5A62" w:rsidRDefault="00C76273" w:rsidP="00881468">
      <w:pPr>
        <w:spacing w:beforeLines="50" w:before="156" w:afterLines="50" w:after="156" w:line="360" w:lineRule="auto"/>
        <w:ind w:firstLineChars="200" w:firstLine="480"/>
        <w:rPr>
          <w:sz w:val="24"/>
        </w:rPr>
      </w:pPr>
      <w:r>
        <w:rPr>
          <w:rFonts w:hint="eastAsia"/>
          <w:sz w:val="24"/>
        </w:rPr>
        <w:t>2</w:t>
      </w:r>
      <w:r>
        <w:rPr>
          <w:sz w:val="24"/>
        </w:rPr>
        <w:t>021</w:t>
      </w:r>
      <w:r>
        <w:rPr>
          <w:rFonts w:hint="eastAsia"/>
          <w:sz w:val="24"/>
        </w:rPr>
        <w:t>年末、</w:t>
      </w:r>
      <w:r>
        <w:rPr>
          <w:rFonts w:hint="eastAsia"/>
          <w:sz w:val="24"/>
        </w:rPr>
        <w:t>2</w:t>
      </w:r>
      <w:r>
        <w:rPr>
          <w:sz w:val="24"/>
        </w:rPr>
        <w:t>022</w:t>
      </w:r>
      <w:r>
        <w:rPr>
          <w:rFonts w:hint="eastAsia"/>
          <w:sz w:val="24"/>
        </w:rPr>
        <w:t>年末及</w:t>
      </w:r>
      <w:r>
        <w:rPr>
          <w:rFonts w:hint="eastAsia"/>
          <w:sz w:val="24"/>
        </w:rPr>
        <w:t>2</w:t>
      </w:r>
      <w:r>
        <w:rPr>
          <w:sz w:val="24"/>
        </w:rPr>
        <w:t>023</w:t>
      </w:r>
      <w:r>
        <w:rPr>
          <w:rFonts w:hint="eastAsia"/>
          <w:sz w:val="24"/>
        </w:rPr>
        <w:t>年一季度末，标的</w:t>
      </w:r>
      <w:r>
        <w:rPr>
          <w:sz w:val="24"/>
        </w:rPr>
        <w:t>公司在手订单</w:t>
      </w:r>
      <w:r>
        <w:rPr>
          <w:rFonts w:hint="eastAsia"/>
          <w:sz w:val="24"/>
        </w:rPr>
        <w:t>量</w:t>
      </w:r>
      <w:r>
        <w:rPr>
          <w:sz w:val="24"/>
        </w:rPr>
        <w:t>分别</w:t>
      </w:r>
      <w:r>
        <w:rPr>
          <w:rFonts w:hint="eastAsia"/>
          <w:sz w:val="24"/>
        </w:rPr>
        <w:t>约</w:t>
      </w:r>
      <w:r>
        <w:rPr>
          <w:sz w:val="24"/>
        </w:rPr>
        <w:t>为</w:t>
      </w:r>
      <w:r>
        <w:rPr>
          <w:rFonts w:hint="eastAsia"/>
          <w:sz w:val="24"/>
        </w:rPr>
        <w:t>6</w:t>
      </w:r>
      <w:r>
        <w:rPr>
          <w:sz w:val="24"/>
        </w:rPr>
        <w:t>90MW</w:t>
      </w:r>
      <w:r>
        <w:rPr>
          <w:sz w:val="24"/>
        </w:rPr>
        <w:t>、</w:t>
      </w:r>
      <w:r>
        <w:rPr>
          <w:sz w:val="24"/>
        </w:rPr>
        <w:t>2,067MW</w:t>
      </w:r>
      <w:r>
        <w:rPr>
          <w:rFonts w:hint="eastAsia"/>
          <w:sz w:val="24"/>
        </w:rPr>
        <w:t>和</w:t>
      </w:r>
      <w:r>
        <w:rPr>
          <w:sz w:val="24"/>
        </w:rPr>
        <w:t>1,942MW</w:t>
      </w:r>
      <w:r>
        <w:rPr>
          <w:rFonts w:hint="eastAsia"/>
          <w:sz w:val="24"/>
        </w:rPr>
        <w:t>，</w:t>
      </w:r>
      <w:r>
        <w:rPr>
          <w:sz w:val="24"/>
        </w:rPr>
        <w:t>截至</w:t>
      </w:r>
      <w:r>
        <w:rPr>
          <w:sz w:val="24"/>
        </w:rPr>
        <w:t>2023</w:t>
      </w:r>
      <w:r>
        <w:rPr>
          <w:sz w:val="24"/>
        </w:rPr>
        <w:t>年</w:t>
      </w:r>
      <w:r>
        <w:rPr>
          <w:sz w:val="24"/>
        </w:rPr>
        <w:t>8</w:t>
      </w:r>
      <w:r>
        <w:rPr>
          <w:sz w:val="24"/>
        </w:rPr>
        <w:t>月末，公司在手订单</w:t>
      </w:r>
      <w:r>
        <w:rPr>
          <w:rFonts w:hint="eastAsia"/>
          <w:sz w:val="24"/>
        </w:rPr>
        <w:t>量约为</w:t>
      </w:r>
      <w:r>
        <w:rPr>
          <w:sz w:val="24"/>
        </w:rPr>
        <w:t>2,053MW</w:t>
      </w:r>
      <w:r>
        <w:rPr>
          <w:rFonts w:hint="eastAsia"/>
          <w:sz w:val="24"/>
        </w:rPr>
        <w:t>，公司对该部分在手订单的排</w:t>
      </w:r>
      <w:proofErr w:type="gramStart"/>
      <w:r>
        <w:rPr>
          <w:rFonts w:hint="eastAsia"/>
          <w:sz w:val="24"/>
        </w:rPr>
        <w:t>产计划</w:t>
      </w:r>
      <w:proofErr w:type="gramEnd"/>
      <w:r>
        <w:rPr>
          <w:rFonts w:hint="eastAsia"/>
          <w:sz w:val="24"/>
        </w:rPr>
        <w:t>已至</w:t>
      </w:r>
      <w:r>
        <w:rPr>
          <w:rFonts w:hint="eastAsia"/>
          <w:sz w:val="24"/>
        </w:rPr>
        <w:t>2</w:t>
      </w:r>
      <w:r>
        <w:rPr>
          <w:sz w:val="24"/>
        </w:rPr>
        <w:t>024</w:t>
      </w:r>
      <w:r>
        <w:rPr>
          <w:rFonts w:hint="eastAsia"/>
          <w:sz w:val="24"/>
        </w:rPr>
        <w:t>年上半年，短期业绩确定性较高。</w:t>
      </w:r>
    </w:p>
    <w:p w14:paraId="3216033E" w14:textId="77777777" w:rsidR="00FC5A62" w:rsidRDefault="00C76273" w:rsidP="00881468">
      <w:pPr>
        <w:spacing w:beforeLines="50" w:before="156" w:afterLines="50" w:after="156" w:line="360" w:lineRule="auto"/>
        <w:ind w:firstLineChars="200" w:firstLine="482"/>
        <w:outlineLvl w:val="4"/>
        <w:rPr>
          <w:b/>
          <w:bCs/>
          <w:sz w:val="24"/>
        </w:rPr>
      </w:pPr>
      <w:r>
        <w:rPr>
          <w:rFonts w:hint="eastAsia"/>
          <w:b/>
          <w:bCs/>
          <w:sz w:val="24"/>
        </w:rPr>
        <w:t>3</w:t>
      </w:r>
      <w:r>
        <w:rPr>
          <w:rFonts w:hint="eastAsia"/>
          <w:b/>
          <w:bCs/>
          <w:sz w:val="24"/>
        </w:rPr>
        <w:t>、标的公司客户构成情况</w:t>
      </w:r>
    </w:p>
    <w:p w14:paraId="11873E23" w14:textId="77777777" w:rsidR="00FC5A62" w:rsidRDefault="00C76273" w:rsidP="00881468">
      <w:pPr>
        <w:spacing w:beforeLines="50" w:before="156" w:afterLines="50" w:after="156" w:line="360" w:lineRule="auto"/>
        <w:ind w:firstLineChars="200" w:firstLine="480"/>
        <w:rPr>
          <w:sz w:val="24"/>
        </w:rPr>
      </w:pPr>
      <w:r>
        <w:rPr>
          <w:rFonts w:hint="eastAsia"/>
          <w:sz w:val="24"/>
        </w:rPr>
        <w:t>从客户类型上来看，标的公司光伏组件产品的主要客户为光伏电站投资方及光伏电站</w:t>
      </w:r>
      <w:r>
        <w:rPr>
          <w:rFonts w:hint="eastAsia"/>
          <w:sz w:val="24"/>
        </w:rPr>
        <w:t>E</w:t>
      </w:r>
      <w:r>
        <w:rPr>
          <w:sz w:val="24"/>
        </w:rPr>
        <w:t>PC</w:t>
      </w:r>
      <w:r>
        <w:rPr>
          <w:rFonts w:hint="eastAsia"/>
          <w:sz w:val="24"/>
        </w:rPr>
        <w:t>建设方，同时有少量光伏组件通过分销商对外销售；标的公司电池片产品主要销售给其他组件生产企业。</w:t>
      </w:r>
    </w:p>
    <w:p w14:paraId="0C678BAD" w14:textId="77777777" w:rsidR="00FC5A62" w:rsidRDefault="00C76273" w:rsidP="00881468">
      <w:pPr>
        <w:spacing w:beforeLines="50" w:before="156" w:afterLines="50" w:after="156" w:line="360" w:lineRule="auto"/>
        <w:ind w:firstLineChars="200" w:firstLine="480"/>
        <w:rPr>
          <w:sz w:val="24"/>
        </w:rPr>
      </w:pPr>
      <w:r>
        <w:rPr>
          <w:rFonts w:hint="eastAsia"/>
          <w:sz w:val="24"/>
        </w:rPr>
        <w:t>从客户区域分部来看，标的公司的光伏组件产品主要销往美国，同时有少量产品销往欧洲等地区；标的公司的电池片主要在东南亚地区进行销售，同时部分销往非东南亚地区，如印度等。</w:t>
      </w:r>
    </w:p>
    <w:p w14:paraId="7B661FD8" w14:textId="77777777" w:rsidR="00FC5A62" w:rsidRDefault="00C76273" w:rsidP="00881468">
      <w:pPr>
        <w:spacing w:beforeLines="50" w:before="156" w:afterLines="50" w:after="156" w:line="360" w:lineRule="auto"/>
        <w:ind w:firstLineChars="200" w:firstLine="480"/>
        <w:rPr>
          <w:sz w:val="24"/>
        </w:rPr>
      </w:pPr>
      <w:r>
        <w:rPr>
          <w:rFonts w:hint="eastAsia"/>
          <w:sz w:val="24"/>
        </w:rPr>
        <w:t>2</w:t>
      </w:r>
      <w:r>
        <w:rPr>
          <w:sz w:val="24"/>
        </w:rPr>
        <w:t>021</w:t>
      </w:r>
      <w:r>
        <w:rPr>
          <w:rFonts w:hint="eastAsia"/>
          <w:sz w:val="24"/>
        </w:rPr>
        <w:t>年度、</w:t>
      </w:r>
      <w:r>
        <w:rPr>
          <w:rFonts w:hint="eastAsia"/>
          <w:sz w:val="24"/>
        </w:rPr>
        <w:t>2</w:t>
      </w:r>
      <w:r>
        <w:rPr>
          <w:sz w:val="24"/>
        </w:rPr>
        <w:t>022</w:t>
      </w:r>
      <w:r>
        <w:rPr>
          <w:rFonts w:hint="eastAsia"/>
          <w:sz w:val="24"/>
        </w:rPr>
        <w:t>年度及</w:t>
      </w:r>
      <w:r>
        <w:rPr>
          <w:rFonts w:hint="eastAsia"/>
          <w:sz w:val="24"/>
        </w:rPr>
        <w:t>2</w:t>
      </w:r>
      <w:r>
        <w:rPr>
          <w:sz w:val="24"/>
        </w:rPr>
        <w:t>023</w:t>
      </w:r>
      <w:r>
        <w:rPr>
          <w:rFonts w:hint="eastAsia"/>
          <w:sz w:val="24"/>
        </w:rPr>
        <w:t>年一季度，标的公司按照客户类型划分的客户具体构成情况如下：</w:t>
      </w:r>
    </w:p>
    <w:p w14:paraId="17E0A3EC" w14:textId="77777777" w:rsidR="00FC5A62" w:rsidRPr="008A1A3A" w:rsidRDefault="00C76273" w:rsidP="007B66EC">
      <w:pPr>
        <w:ind w:firstLineChars="200" w:firstLine="420"/>
        <w:jc w:val="right"/>
        <w:rPr>
          <w:szCs w:val="21"/>
        </w:rPr>
      </w:pPr>
      <w:r w:rsidRPr="008A1A3A">
        <w:rPr>
          <w:rFonts w:hint="eastAsia"/>
          <w:szCs w:val="21"/>
        </w:rPr>
        <w:t>单位：万元</w:t>
      </w:r>
    </w:p>
    <w:tbl>
      <w:tblPr>
        <w:tblW w:w="56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1079"/>
        <w:gridCol w:w="1187"/>
        <w:gridCol w:w="1187"/>
        <w:gridCol w:w="1187"/>
        <w:gridCol w:w="1187"/>
        <w:gridCol w:w="1187"/>
        <w:gridCol w:w="1189"/>
      </w:tblGrid>
      <w:tr w:rsidR="00FC5A62" w14:paraId="00909FF5" w14:textId="77777777">
        <w:trPr>
          <w:trHeight w:val="397"/>
          <w:jc w:val="center"/>
        </w:trPr>
        <w:tc>
          <w:tcPr>
            <w:tcW w:w="1249" w:type="pct"/>
            <w:gridSpan w:val="2"/>
            <w:vMerge w:val="restart"/>
            <w:shd w:val="clear" w:color="auto" w:fill="auto"/>
            <w:noWrap/>
            <w:tcMar>
              <w:left w:w="0" w:type="dxa"/>
              <w:right w:w="0" w:type="dxa"/>
            </w:tcMar>
            <w:vAlign w:val="center"/>
          </w:tcPr>
          <w:p w14:paraId="1FFD515B" w14:textId="77777777" w:rsidR="00FC5A62" w:rsidRDefault="00C76273">
            <w:pPr>
              <w:widowControl/>
              <w:jc w:val="center"/>
              <w:rPr>
                <w:b/>
                <w:bCs/>
                <w:szCs w:val="21"/>
              </w:rPr>
            </w:pPr>
            <w:r>
              <w:rPr>
                <w:b/>
                <w:bCs/>
                <w:szCs w:val="21"/>
              </w:rPr>
              <w:t>类型</w:t>
            </w:r>
          </w:p>
        </w:tc>
        <w:tc>
          <w:tcPr>
            <w:tcW w:w="1250" w:type="pct"/>
            <w:gridSpan w:val="2"/>
            <w:shd w:val="clear" w:color="auto" w:fill="auto"/>
            <w:vAlign w:val="center"/>
          </w:tcPr>
          <w:p w14:paraId="5426C183" w14:textId="77777777" w:rsidR="00FC5A62" w:rsidRDefault="00C76273">
            <w:pPr>
              <w:widowControl/>
              <w:jc w:val="center"/>
              <w:rPr>
                <w:b/>
                <w:bCs/>
                <w:szCs w:val="21"/>
              </w:rPr>
            </w:pPr>
            <w:r>
              <w:rPr>
                <w:rFonts w:hint="eastAsia"/>
                <w:b/>
                <w:bCs/>
                <w:szCs w:val="21"/>
              </w:rPr>
              <w:t>2</w:t>
            </w:r>
            <w:r>
              <w:rPr>
                <w:b/>
                <w:bCs/>
                <w:szCs w:val="21"/>
              </w:rPr>
              <w:t>023</w:t>
            </w:r>
            <w:r>
              <w:rPr>
                <w:rFonts w:hint="eastAsia"/>
                <w:b/>
                <w:bCs/>
                <w:szCs w:val="21"/>
              </w:rPr>
              <w:t>年</w:t>
            </w:r>
            <w:r>
              <w:rPr>
                <w:rFonts w:hint="eastAsia"/>
                <w:b/>
                <w:bCs/>
                <w:szCs w:val="21"/>
              </w:rPr>
              <w:t>1</w:t>
            </w:r>
            <w:r>
              <w:rPr>
                <w:b/>
                <w:bCs/>
                <w:szCs w:val="21"/>
              </w:rPr>
              <w:t>-3</w:t>
            </w:r>
            <w:r>
              <w:rPr>
                <w:rFonts w:hint="eastAsia"/>
                <w:b/>
                <w:bCs/>
                <w:szCs w:val="21"/>
              </w:rPr>
              <w:t>月</w:t>
            </w:r>
          </w:p>
        </w:tc>
        <w:tc>
          <w:tcPr>
            <w:tcW w:w="1250" w:type="pct"/>
            <w:gridSpan w:val="2"/>
            <w:shd w:val="clear" w:color="auto" w:fill="auto"/>
            <w:vAlign w:val="center"/>
          </w:tcPr>
          <w:p w14:paraId="6DDA93EE" w14:textId="77777777" w:rsidR="00FC5A62" w:rsidRDefault="00C76273">
            <w:pPr>
              <w:widowControl/>
              <w:jc w:val="center"/>
              <w:rPr>
                <w:b/>
                <w:bCs/>
                <w:szCs w:val="21"/>
              </w:rPr>
            </w:pPr>
            <w:r>
              <w:rPr>
                <w:rFonts w:hint="eastAsia"/>
                <w:b/>
                <w:bCs/>
                <w:szCs w:val="21"/>
              </w:rPr>
              <w:t>2</w:t>
            </w:r>
            <w:r>
              <w:rPr>
                <w:b/>
                <w:bCs/>
                <w:szCs w:val="21"/>
              </w:rPr>
              <w:t>022</w:t>
            </w:r>
            <w:r>
              <w:rPr>
                <w:rFonts w:hint="eastAsia"/>
                <w:b/>
                <w:bCs/>
                <w:szCs w:val="21"/>
              </w:rPr>
              <w:t>年度</w:t>
            </w:r>
          </w:p>
        </w:tc>
        <w:tc>
          <w:tcPr>
            <w:tcW w:w="1251" w:type="pct"/>
            <w:gridSpan w:val="2"/>
            <w:shd w:val="clear" w:color="auto" w:fill="auto"/>
            <w:vAlign w:val="center"/>
          </w:tcPr>
          <w:p w14:paraId="756A0D64" w14:textId="77777777" w:rsidR="00FC5A62" w:rsidRDefault="00C76273">
            <w:pPr>
              <w:widowControl/>
              <w:jc w:val="center"/>
              <w:rPr>
                <w:b/>
                <w:bCs/>
                <w:szCs w:val="21"/>
              </w:rPr>
            </w:pPr>
            <w:r>
              <w:rPr>
                <w:rFonts w:hint="eastAsia"/>
                <w:b/>
                <w:bCs/>
                <w:szCs w:val="21"/>
              </w:rPr>
              <w:t>2</w:t>
            </w:r>
            <w:r>
              <w:rPr>
                <w:b/>
                <w:bCs/>
                <w:szCs w:val="21"/>
              </w:rPr>
              <w:t>021</w:t>
            </w:r>
            <w:r>
              <w:rPr>
                <w:rFonts w:hint="eastAsia"/>
                <w:b/>
                <w:bCs/>
                <w:szCs w:val="21"/>
              </w:rPr>
              <w:t>年度</w:t>
            </w:r>
          </w:p>
        </w:tc>
      </w:tr>
      <w:tr w:rsidR="00FC5A62" w14:paraId="1E2AD2CB" w14:textId="77777777">
        <w:trPr>
          <w:trHeight w:val="397"/>
          <w:jc w:val="center"/>
        </w:trPr>
        <w:tc>
          <w:tcPr>
            <w:tcW w:w="1249" w:type="pct"/>
            <w:gridSpan w:val="2"/>
            <w:vMerge/>
            <w:shd w:val="clear" w:color="auto" w:fill="auto"/>
            <w:noWrap/>
            <w:tcMar>
              <w:left w:w="0" w:type="dxa"/>
              <w:right w:w="0" w:type="dxa"/>
            </w:tcMar>
            <w:vAlign w:val="center"/>
          </w:tcPr>
          <w:p w14:paraId="47551966" w14:textId="77777777" w:rsidR="00FC5A62" w:rsidRDefault="00FC5A62">
            <w:pPr>
              <w:widowControl/>
              <w:jc w:val="center"/>
              <w:rPr>
                <w:b/>
                <w:bCs/>
                <w:szCs w:val="21"/>
              </w:rPr>
            </w:pPr>
          </w:p>
        </w:tc>
        <w:tc>
          <w:tcPr>
            <w:tcW w:w="625" w:type="pct"/>
            <w:shd w:val="clear" w:color="auto" w:fill="auto"/>
            <w:vAlign w:val="center"/>
          </w:tcPr>
          <w:p w14:paraId="26BC3C05" w14:textId="77777777" w:rsidR="00FC5A62" w:rsidRDefault="00C76273">
            <w:pPr>
              <w:widowControl/>
              <w:jc w:val="center"/>
              <w:rPr>
                <w:b/>
                <w:bCs/>
                <w:szCs w:val="21"/>
              </w:rPr>
            </w:pPr>
            <w:r>
              <w:rPr>
                <w:rFonts w:hint="eastAsia"/>
                <w:b/>
                <w:bCs/>
                <w:szCs w:val="21"/>
              </w:rPr>
              <w:t>金额</w:t>
            </w:r>
          </w:p>
        </w:tc>
        <w:tc>
          <w:tcPr>
            <w:tcW w:w="625" w:type="pct"/>
            <w:shd w:val="clear" w:color="auto" w:fill="auto"/>
            <w:vAlign w:val="center"/>
          </w:tcPr>
          <w:p w14:paraId="1E574237" w14:textId="77777777" w:rsidR="00FC5A62" w:rsidRDefault="00C76273">
            <w:pPr>
              <w:widowControl/>
              <w:jc w:val="center"/>
              <w:rPr>
                <w:b/>
                <w:bCs/>
                <w:szCs w:val="21"/>
              </w:rPr>
            </w:pPr>
            <w:r>
              <w:rPr>
                <w:rFonts w:hint="eastAsia"/>
                <w:b/>
                <w:bCs/>
                <w:szCs w:val="21"/>
              </w:rPr>
              <w:t>占比</w:t>
            </w:r>
          </w:p>
        </w:tc>
        <w:tc>
          <w:tcPr>
            <w:tcW w:w="625" w:type="pct"/>
            <w:shd w:val="clear" w:color="auto" w:fill="auto"/>
            <w:vAlign w:val="center"/>
          </w:tcPr>
          <w:p w14:paraId="14940CE1" w14:textId="77777777" w:rsidR="00FC5A62" w:rsidRDefault="00C76273">
            <w:pPr>
              <w:widowControl/>
              <w:jc w:val="center"/>
              <w:rPr>
                <w:b/>
                <w:bCs/>
                <w:szCs w:val="21"/>
              </w:rPr>
            </w:pPr>
            <w:r>
              <w:rPr>
                <w:rFonts w:hint="eastAsia"/>
                <w:b/>
                <w:bCs/>
                <w:szCs w:val="21"/>
              </w:rPr>
              <w:t>金额</w:t>
            </w:r>
          </w:p>
        </w:tc>
        <w:tc>
          <w:tcPr>
            <w:tcW w:w="625" w:type="pct"/>
            <w:shd w:val="clear" w:color="auto" w:fill="auto"/>
            <w:vAlign w:val="center"/>
          </w:tcPr>
          <w:p w14:paraId="0EBEBF80" w14:textId="77777777" w:rsidR="00FC5A62" w:rsidRDefault="00C76273">
            <w:pPr>
              <w:widowControl/>
              <w:jc w:val="center"/>
              <w:rPr>
                <w:b/>
                <w:bCs/>
                <w:szCs w:val="21"/>
              </w:rPr>
            </w:pPr>
            <w:r>
              <w:rPr>
                <w:rFonts w:hint="eastAsia"/>
                <w:b/>
                <w:bCs/>
                <w:szCs w:val="21"/>
              </w:rPr>
              <w:t>占比</w:t>
            </w:r>
          </w:p>
        </w:tc>
        <w:tc>
          <w:tcPr>
            <w:tcW w:w="625" w:type="pct"/>
            <w:shd w:val="clear" w:color="auto" w:fill="auto"/>
            <w:vAlign w:val="center"/>
          </w:tcPr>
          <w:p w14:paraId="46C547F9" w14:textId="77777777" w:rsidR="00FC5A62" w:rsidRDefault="00C76273">
            <w:pPr>
              <w:widowControl/>
              <w:jc w:val="center"/>
              <w:rPr>
                <w:b/>
                <w:bCs/>
                <w:szCs w:val="21"/>
              </w:rPr>
            </w:pPr>
            <w:r>
              <w:rPr>
                <w:rFonts w:hint="eastAsia"/>
                <w:b/>
                <w:bCs/>
                <w:szCs w:val="21"/>
              </w:rPr>
              <w:t>金额</w:t>
            </w:r>
          </w:p>
        </w:tc>
        <w:tc>
          <w:tcPr>
            <w:tcW w:w="625" w:type="pct"/>
            <w:shd w:val="clear" w:color="auto" w:fill="auto"/>
            <w:vAlign w:val="center"/>
          </w:tcPr>
          <w:p w14:paraId="1966F752" w14:textId="77777777" w:rsidR="00FC5A62" w:rsidRDefault="00C76273">
            <w:pPr>
              <w:widowControl/>
              <w:jc w:val="center"/>
              <w:rPr>
                <w:b/>
                <w:bCs/>
                <w:szCs w:val="21"/>
              </w:rPr>
            </w:pPr>
            <w:r>
              <w:rPr>
                <w:rFonts w:hint="eastAsia"/>
                <w:b/>
                <w:bCs/>
                <w:szCs w:val="21"/>
              </w:rPr>
              <w:t>占比</w:t>
            </w:r>
          </w:p>
        </w:tc>
      </w:tr>
      <w:tr w:rsidR="00FC5A62" w14:paraId="2698BCF0" w14:textId="77777777">
        <w:trPr>
          <w:trHeight w:val="397"/>
          <w:jc w:val="center"/>
        </w:trPr>
        <w:tc>
          <w:tcPr>
            <w:tcW w:w="681" w:type="pct"/>
            <w:vMerge w:val="restart"/>
            <w:shd w:val="clear" w:color="auto" w:fill="auto"/>
            <w:noWrap/>
            <w:tcMar>
              <w:left w:w="0" w:type="dxa"/>
              <w:right w:w="0" w:type="dxa"/>
            </w:tcMar>
            <w:vAlign w:val="center"/>
          </w:tcPr>
          <w:p w14:paraId="6BE56C97" w14:textId="77777777" w:rsidR="00FC5A62" w:rsidRDefault="00C76273">
            <w:pPr>
              <w:widowControl/>
              <w:jc w:val="center"/>
              <w:rPr>
                <w:szCs w:val="21"/>
              </w:rPr>
            </w:pPr>
            <w:r>
              <w:rPr>
                <w:szCs w:val="21"/>
              </w:rPr>
              <w:t>组件业务</w:t>
            </w:r>
          </w:p>
        </w:tc>
        <w:tc>
          <w:tcPr>
            <w:tcW w:w="568" w:type="pct"/>
            <w:tcMar>
              <w:left w:w="0" w:type="dxa"/>
              <w:right w:w="0" w:type="dxa"/>
            </w:tcMar>
            <w:vAlign w:val="center"/>
          </w:tcPr>
          <w:p w14:paraId="5B83DB8F" w14:textId="77777777" w:rsidR="00FC5A62" w:rsidRDefault="00C76273">
            <w:pPr>
              <w:widowControl/>
              <w:jc w:val="center"/>
              <w:rPr>
                <w:szCs w:val="21"/>
              </w:rPr>
            </w:pPr>
            <w:r>
              <w:rPr>
                <w:szCs w:val="21"/>
              </w:rPr>
              <w:t>电站投资方</w:t>
            </w:r>
          </w:p>
        </w:tc>
        <w:tc>
          <w:tcPr>
            <w:tcW w:w="625" w:type="pct"/>
            <w:vAlign w:val="center"/>
          </w:tcPr>
          <w:p w14:paraId="6C8ADCC8" w14:textId="77777777" w:rsidR="00FC5A62" w:rsidRDefault="00C76273">
            <w:pPr>
              <w:widowControl/>
              <w:jc w:val="right"/>
              <w:rPr>
                <w:szCs w:val="21"/>
              </w:rPr>
            </w:pPr>
            <w:r>
              <w:rPr>
                <w:szCs w:val="21"/>
              </w:rPr>
              <w:t>99,664.72</w:t>
            </w:r>
          </w:p>
        </w:tc>
        <w:tc>
          <w:tcPr>
            <w:tcW w:w="625" w:type="pct"/>
            <w:vAlign w:val="center"/>
          </w:tcPr>
          <w:p w14:paraId="2644CAB6" w14:textId="77777777" w:rsidR="00FC5A62" w:rsidRDefault="00C76273">
            <w:pPr>
              <w:widowControl/>
              <w:jc w:val="right"/>
              <w:rPr>
                <w:szCs w:val="21"/>
              </w:rPr>
            </w:pPr>
            <w:r>
              <w:rPr>
                <w:szCs w:val="21"/>
              </w:rPr>
              <w:t>82.31%</w:t>
            </w:r>
          </w:p>
        </w:tc>
        <w:tc>
          <w:tcPr>
            <w:tcW w:w="625" w:type="pct"/>
            <w:vAlign w:val="center"/>
          </w:tcPr>
          <w:p w14:paraId="38216AE1" w14:textId="77777777" w:rsidR="00FC5A62" w:rsidRDefault="00C76273">
            <w:pPr>
              <w:widowControl/>
              <w:jc w:val="right"/>
              <w:rPr>
                <w:szCs w:val="21"/>
              </w:rPr>
            </w:pPr>
            <w:r>
              <w:rPr>
                <w:szCs w:val="21"/>
              </w:rPr>
              <w:t>154,154.87</w:t>
            </w:r>
          </w:p>
        </w:tc>
        <w:tc>
          <w:tcPr>
            <w:tcW w:w="625" w:type="pct"/>
            <w:vAlign w:val="center"/>
          </w:tcPr>
          <w:p w14:paraId="750E0D81" w14:textId="77777777" w:rsidR="00FC5A62" w:rsidRDefault="00C76273">
            <w:pPr>
              <w:widowControl/>
              <w:jc w:val="right"/>
              <w:rPr>
                <w:szCs w:val="21"/>
              </w:rPr>
            </w:pPr>
            <w:r>
              <w:rPr>
                <w:szCs w:val="21"/>
              </w:rPr>
              <w:t>54.24%</w:t>
            </w:r>
          </w:p>
        </w:tc>
        <w:tc>
          <w:tcPr>
            <w:tcW w:w="625" w:type="pct"/>
            <w:vAlign w:val="center"/>
          </w:tcPr>
          <w:p w14:paraId="372910EA" w14:textId="77777777" w:rsidR="00FC5A62" w:rsidRDefault="00C76273">
            <w:pPr>
              <w:widowControl/>
              <w:jc w:val="right"/>
              <w:rPr>
                <w:szCs w:val="21"/>
              </w:rPr>
            </w:pPr>
            <w:r>
              <w:rPr>
                <w:szCs w:val="21"/>
              </w:rPr>
              <w:t>50,185.30</w:t>
            </w:r>
          </w:p>
        </w:tc>
        <w:tc>
          <w:tcPr>
            <w:tcW w:w="625" w:type="pct"/>
            <w:vAlign w:val="center"/>
          </w:tcPr>
          <w:p w14:paraId="3D7AAF02" w14:textId="77777777" w:rsidR="00FC5A62" w:rsidRDefault="00C76273">
            <w:pPr>
              <w:widowControl/>
              <w:jc w:val="right"/>
              <w:rPr>
                <w:szCs w:val="21"/>
              </w:rPr>
            </w:pPr>
            <w:r>
              <w:rPr>
                <w:szCs w:val="21"/>
              </w:rPr>
              <w:t>55.95%</w:t>
            </w:r>
          </w:p>
        </w:tc>
      </w:tr>
      <w:tr w:rsidR="00FC5A62" w14:paraId="4E09CDA7" w14:textId="77777777">
        <w:trPr>
          <w:trHeight w:val="397"/>
          <w:jc w:val="center"/>
        </w:trPr>
        <w:tc>
          <w:tcPr>
            <w:tcW w:w="681" w:type="pct"/>
            <w:vMerge/>
            <w:shd w:val="clear" w:color="auto" w:fill="auto"/>
            <w:noWrap/>
            <w:tcMar>
              <w:left w:w="0" w:type="dxa"/>
              <w:right w:w="0" w:type="dxa"/>
            </w:tcMar>
            <w:vAlign w:val="center"/>
          </w:tcPr>
          <w:p w14:paraId="4C951B87" w14:textId="77777777" w:rsidR="00FC5A62" w:rsidRDefault="00FC5A62">
            <w:pPr>
              <w:widowControl/>
              <w:jc w:val="center"/>
              <w:rPr>
                <w:szCs w:val="21"/>
              </w:rPr>
            </w:pPr>
          </w:p>
        </w:tc>
        <w:tc>
          <w:tcPr>
            <w:tcW w:w="568" w:type="pct"/>
            <w:tcMar>
              <w:left w:w="0" w:type="dxa"/>
              <w:right w:w="0" w:type="dxa"/>
            </w:tcMar>
            <w:vAlign w:val="center"/>
          </w:tcPr>
          <w:p w14:paraId="0F4DE9CE" w14:textId="77777777" w:rsidR="00FC5A62" w:rsidRDefault="00C76273">
            <w:pPr>
              <w:widowControl/>
              <w:jc w:val="center"/>
              <w:rPr>
                <w:szCs w:val="21"/>
              </w:rPr>
            </w:pPr>
            <w:r>
              <w:rPr>
                <w:szCs w:val="21"/>
              </w:rPr>
              <w:t>电站建设方</w:t>
            </w:r>
          </w:p>
        </w:tc>
        <w:tc>
          <w:tcPr>
            <w:tcW w:w="625" w:type="pct"/>
            <w:vAlign w:val="center"/>
          </w:tcPr>
          <w:p w14:paraId="3B0F3C8F" w14:textId="77777777" w:rsidR="00FC5A62" w:rsidRDefault="00C76273">
            <w:pPr>
              <w:widowControl/>
              <w:jc w:val="right"/>
              <w:rPr>
                <w:szCs w:val="21"/>
              </w:rPr>
            </w:pPr>
            <w:r>
              <w:rPr>
                <w:szCs w:val="21"/>
              </w:rPr>
              <w:t>359.70</w:t>
            </w:r>
          </w:p>
        </w:tc>
        <w:tc>
          <w:tcPr>
            <w:tcW w:w="625" w:type="pct"/>
            <w:vAlign w:val="center"/>
          </w:tcPr>
          <w:p w14:paraId="529300AE" w14:textId="77777777" w:rsidR="00FC5A62" w:rsidRDefault="00C76273">
            <w:pPr>
              <w:widowControl/>
              <w:jc w:val="right"/>
              <w:rPr>
                <w:szCs w:val="21"/>
              </w:rPr>
            </w:pPr>
            <w:r>
              <w:rPr>
                <w:szCs w:val="21"/>
              </w:rPr>
              <w:t>0.30%</w:t>
            </w:r>
          </w:p>
        </w:tc>
        <w:tc>
          <w:tcPr>
            <w:tcW w:w="625" w:type="pct"/>
            <w:vAlign w:val="center"/>
          </w:tcPr>
          <w:p w14:paraId="6C8DFF08" w14:textId="77777777" w:rsidR="00FC5A62" w:rsidRDefault="00C76273">
            <w:pPr>
              <w:widowControl/>
              <w:jc w:val="right"/>
              <w:rPr>
                <w:szCs w:val="21"/>
              </w:rPr>
            </w:pPr>
            <w:r>
              <w:rPr>
                <w:szCs w:val="21"/>
              </w:rPr>
              <w:t>68,363.41</w:t>
            </w:r>
          </w:p>
        </w:tc>
        <w:tc>
          <w:tcPr>
            <w:tcW w:w="625" w:type="pct"/>
            <w:vAlign w:val="center"/>
          </w:tcPr>
          <w:p w14:paraId="1E7DBE5C" w14:textId="77777777" w:rsidR="00FC5A62" w:rsidRDefault="00C76273">
            <w:pPr>
              <w:widowControl/>
              <w:jc w:val="right"/>
              <w:rPr>
                <w:szCs w:val="21"/>
              </w:rPr>
            </w:pPr>
            <w:r>
              <w:rPr>
                <w:szCs w:val="21"/>
              </w:rPr>
              <w:t>24.06%</w:t>
            </w:r>
          </w:p>
        </w:tc>
        <w:tc>
          <w:tcPr>
            <w:tcW w:w="625" w:type="pct"/>
            <w:vAlign w:val="center"/>
          </w:tcPr>
          <w:p w14:paraId="58FC8AFD" w14:textId="77777777" w:rsidR="00FC5A62" w:rsidRDefault="00C76273">
            <w:pPr>
              <w:widowControl/>
              <w:jc w:val="right"/>
              <w:rPr>
                <w:szCs w:val="21"/>
              </w:rPr>
            </w:pPr>
            <w:r>
              <w:rPr>
                <w:szCs w:val="21"/>
              </w:rPr>
              <w:t>4,433.40</w:t>
            </w:r>
          </w:p>
        </w:tc>
        <w:tc>
          <w:tcPr>
            <w:tcW w:w="625" w:type="pct"/>
            <w:vAlign w:val="center"/>
          </w:tcPr>
          <w:p w14:paraId="6B6CF542" w14:textId="77777777" w:rsidR="00FC5A62" w:rsidRDefault="00C76273">
            <w:pPr>
              <w:widowControl/>
              <w:jc w:val="right"/>
              <w:rPr>
                <w:szCs w:val="21"/>
              </w:rPr>
            </w:pPr>
            <w:r>
              <w:rPr>
                <w:szCs w:val="21"/>
              </w:rPr>
              <w:t>4.94%</w:t>
            </w:r>
          </w:p>
        </w:tc>
      </w:tr>
      <w:tr w:rsidR="00FC5A62" w14:paraId="3F44A4A8" w14:textId="77777777">
        <w:trPr>
          <w:trHeight w:val="397"/>
          <w:jc w:val="center"/>
        </w:trPr>
        <w:tc>
          <w:tcPr>
            <w:tcW w:w="681" w:type="pct"/>
            <w:vMerge/>
            <w:shd w:val="clear" w:color="auto" w:fill="auto"/>
            <w:noWrap/>
            <w:tcMar>
              <w:left w:w="0" w:type="dxa"/>
              <w:right w:w="0" w:type="dxa"/>
            </w:tcMar>
            <w:vAlign w:val="center"/>
          </w:tcPr>
          <w:p w14:paraId="69235010" w14:textId="77777777" w:rsidR="00FC5A62" w:rsidRDefault="00FC5A62">
            <w:pPr>
              <w:widowControl/>
              <w:jc w:val="center"/>
              <w:rPr>
                <w:szCs w:val="21"/>
              </w:rPr>
            </w:pPr>
          </w:p>
        </w:tc>
        <w:tc>
          <w:tcPr>
            <w:tcW w:w="568" w:type="pct"/>
            <w:tcMar>
              <w:left w:w="0" w:type="dxa"/>
              <w:right w:w="0" w:type="dxa"/>
            </w:tcMar>
            <w:vAlign w:val="center"/>
          </w:tcPr>
          <w:p w14:paraId="0AC37232" w14:textId="77777777" w:rsidR="00FC5A62" w:rsidRDefault="00C76273">
            <w:pPr>
              <w:widowControl/>
              <w:jc w:val="center"/>
              <w:rPr>
                <w:szCs w:val="21"/>
              </w:rPr>
            </w:pPr>
            <w:r>
              <w:rPr>
                <w:szCs w:val="21"/>
              </w:rPr>
              <w:t>分销商</w:t>
            </w:r>
          </w:p>
        </w:tc>
        <w:tc>
          <w:tcPr>
            <w:tcW w:w="625" w:type="pct"/>
            <w:vAlign w:val="center"/>
          </w:tcPr>
          <w:p w14:paraId="0700AFB9" w14:textId="77777777" w:rsidR="00FC5A62" w:rsidRDefault="00C76273">
            <w:pPr>
              <w:widowControl/>
              <w:jc w:val="right"/>
              <w:rPr>
                <w:szCs w:val="21"/>
              </w:rPr>
            </w:pPr>
            <w:r>
              <w:rPr>
                <w:szCs w:val="21"/>
              </w:rPr>
              <w:t xml:space="preserve">-   </w:t>
            </w:r>
          </w:p>
        </w:tc>
        <w:tc>
          <w:tcPr>
            <w:tcW w:w="625" w:type="pct"/>
            <w:vAlign w:val="center"/>
          </w:tcPr>
          <w:p w14:paraId="40621197" w14:textId="77777777" w:rsidR="00FC5A62" w:rsidRDefault="00C76273">
            <w:pPr>
              <w:widowControl/>
              <w:jc w:val="right"/>
              <w:rPr>
                <w:szCs w:val="21"/>
              </w:rPr>
            </w:pPr>
            <w:r>
              <w:rPr>
                <w:szCs w:val="21"/>
              </w:rPr>
              <w:t>-</w:t>
            </w:r>
          </w:p>
        </w:tc>
        <w:tc>
          <w:tcPr>
            <w:tcW w:w="625" w:type="pct"/>
            <w:vAlign w:val="center"/>
          </w:tcPr>
          <w:p w14:paraId="0D49AF57" w14:textId="77777777" w:rsidR="00FC5A62" w:rsidRDefault="00C76273">
            <w:pPr>
              <w:widowControl/>
              <w:jc w:val="right"/>
              <w:rPr>
                <w:szCs w:val="21"/>
              </w:rPr>
            </w:pPr>
            <w:r>
              <w:rPr>
                <w:rFonts w:hint="eastAsia"/>
                <w:szCs w:val="21"/>
              </w:rPr>
              <w:t>1</w:t>
            </w:r>
            <w:r>
              <w:rPr>
                <w:szCs w:val="21"/>
              </w:rPr>
              <w:t>2,452.10</w:t>
            </w:r>
          </w:p>
        </w:tc>
        <w:tc>
          <w:tcPr>
            <w:tcW w:w="625" w:type="pct"/>
            <w:vAlign w:val="center"/>
          </w:tcPr>
          <w:p w14:paraId="5ED85C25" w14:textId="77777777" w:rsidR="00FC5A62" w:rsidRDefault="00C76273">
            <w:pPr>
              <w:widowControl/>
              <w:jc w:val="right"/>
              <w:rPr>
                <w:szCs w:val="21"/>
              </w:rPr>
            </w:pPr>
            <w:r>
              <w:rPr>
                <w:szCs w:val="21"/>
              </w:rPr>
              <w:t>4.38%</w:t>
            </w:r>
          </w:p>
        </w:tc>
        <w:tc>
          <w:tcPr>
            <w:tcW w:w="625" w:type="pct"/>
            <w:vAlign w:val="center"/>
          </w:tcPr>
          <w:p w14:paraId="2D53D27B" w14:textId="77777777" w:rsidR="00FC5A62" w:rsidRDefault="00C76273">
            <w:pPr>
              <w:widowControl/>
              <w:jc w:val="right"/>
              <w:rPr>
                <w:szCs w:val="21"/>
              </w:rPr>
            </w:pPr>
            <w:r>
              <w:rPr>
                <w:szCs w:val="21"/>
              </w:rPr>
              <w:t>6,401.97</w:t>
            </w:r>
          </w:p>
        </w:tc>
        <w:tc>
          <w:tcPr>
            <w:tcW w:w="625" w:type="pct"/>
            <w:vAlign w:val="center"/>
          </w:tcPr>
          <w:p w14:paraId="03BE86C3" w14:textId="77777777" w:rsidR="00FC5A62" w:rsidRDefault="00C76273">
            <w:pPr>
              <w:widowControl/>
              <w:jc w:val="right"/>
              <w:rPr>
                <w:szCs w:val="21"/>
              </w:rPr>
            </w:pPr>
            <w:r>
              <w:rPr>
                <w:szCs w:val="21"/>
              </w:rPr>
              <w:t>7.14%</w:t>
            </w:r>
          </w:p>
        </w:tc>
      </w:tr>
      <w:tr w:rsidR="00FC5A62" w14:paraId="13E22768" w14:textId="77777777">
        <w:trPr>
          <w:trHeight w:val="397"/>
          <w:jc w:val="center"/>
        </w:trPr>
        <w:tc>
          <w:tcPr>
            <w:tcW w:w="681" w:type="pct"/>
            <w:vMerge/>
            <w:shd w:val="clear" w:color="auto" w:fill="auto"/>
            <w:noWrap/>
            <w:tcMar>
              <w:left w:w="0" w:type="dxa"/>
              <w:right w:w="0" w:type="dxa"/>
            </w:tcMar>
            <w:vAlign w:val="center"/>
          </w:tcPr>
          <w:p w14:paraId="476D9540" w14:textId="77777777" w:rsidR="00FC5A62" w:rsidRDefault="00FC5A62">
            <w:pPr>
              <w:widowControl/>
              <w:jc w:val="center"/>
              <w:rPr>
                <w:szCs w:val="21"/>
              </w:rPr>
            </w:pPr>
          </w:p>
        </w:tc>
        <w:tc>
          <w:tcPr>
            <w:tcW w:w="568" w:type="pct"/>
            <w:tcMar>
              <w:left w:w="0" w:type="dxa"/>
              <w:right w:w="0" w:type="dxa"/>
            </w:tcMar>
            <w:vAlign w:val="center"/>
          </w:tcPr>
          <w:p w14:paraId="52039862" w14:textId="77777777" w:rsidR="00FC5A62" w:rsidRDefault="00C76273">
            <w:pPr>
              <w:widowControl/>
              <w:jc w:val="center"/>
              <w:rPr>
                <w:b/>
                <w:bCs/>
                <w:szCs w:val="21"/>
              </w:rPr>
            </w:pPr>
            <w:r>
              <w:rPr>
                <w:b/>
                <w:bCs/>
                <w:szCs w:val="21"/>
              </w:rPr>
              <w:t>小计</w:t>
            </w:r>
          </w:p>
        </w:tc>
        <w:tc>
          <w:tcPr>
            <w:tcW w:w="625" w:type="pct"/>
            <w:vAlign w:val="center"/>
          </w:tcPr>
          <w:p w14:paraId="6EF9C329" w14:textId="77777777" w:rsidR="00FC5A62" w:rsidRDefault="00C76273">
            <w:pPr>
              <w:widowControl/>
              <w:jc w:val="right"/>
              <w:rPr>
                <w:b/>
                <w:bCs/>
                <w:szCs w:val="21"/>
              </w:rPr>
            </w:pPr>
            <w:r>
              <w:rPr>
                <w:b/>
                <w:bCs/>
                <w:szCs w:val="21"/>
              </w:rPr>
              <w:t>100,024.42</w:t>
            </w:r>
          </w:p>
        </w:tc>
        <w:tc>
          <w:tcPr>
            <w:tcW w:w="625" w:type="pct"/>
            <w:vAlign w:val="center"/>
          </w:tcPr>
          <w:p w14:paraId="7EC0FABF" w14:textId="77777777" w:rsidR="00FC5A62" w:rsidRDefault="00C76273">
            <w:pPr>
              <w:widowControl/>
              <w:jc w:val="right"/>
              <w:rPr>
                <w:b/>
                <w:bCs/>
                <w:szCs w:val="21"/>
              </w:rPr>
            </w:pPr>
            <w:r>
              <w:rPr>
                <w:b/>
                <w:bCs/>
                <w:szCs w:val="21"/>
              </w:rPr>
              <w:t>82.61%</w:t>
            </w:r>
          </w:p>
        </w:tc>
        <w:tc>
          <w:tcPr>
            <w:tcW w:w="625" w:type="pct"/>
            <w:vAlign w:val="center"/>
          </w:tcPr>
          <w:p w14:paraId="4C605F28" w14:textId="77777777" w:rsidR="00FC5A62" w:rsidRDefault="00C76273">
            <w:pPr>
              <w:widowControl/>
              <w:jc w:val="right"/>
              <w:rPr>
                <w:b/>
                <w:bCs/>
                <w:szCs w:val="21"/>
              </w:rPr>
            </w:pPr>
            <w:r>
              <w:rPr>
                <w:b/>
                <w:bCs/>
                <w:szCs w:val="21"/>
              </w:rPr>
              <w:t>234,970.38</w:t>
            </w:r>
          </w:p>
        </w:tc>
        <w:tc>
          <w:tcPr>
            <w:tcW w:w="625" w:type="pct"/>
            <w:vAlign w:val="center"/>
          </w:tcPr>
          <w:p w14:paraId="282F5F6B" w14:textId="77777777" w:rsidR="00FC5A62" w:rsidRDefault="00C76273">
            <w:pPr>
              <w:widowControl/>
              <w:jc w:val="right"/>
              <w:rPr>
                <w:b/>
                <w:bCs/>
                <w:szCs w:val="21"/>
              </w:rPr>
            </w:pPr>
            <w:r>
              <w:rPr>
                <w:b/>
                <w:bCs/>
                <w:szCs w:val="21"/>
              </w:rPr>
              <w:t>82.68%</w:t>
            </w:r>
          </w:p>
        </w:tc>
        <w:tc>
          <w:tcPr>
            <w:tcW w:w="625" w:type="pct"/>
            <w:vAlign w:val="center"/>
          </w:tcPr>
          <w:p w14:paraId="3C6C5633" w14:textId="77777777" w:rsidR="00FC5A62" w:rsidRDefault="00C76273">
            <w:pPr>
              <w:widowControl/>
              <w:jc w:val="right"/>
              <w:rPr>
                <w:b/>
                <w:bCs/>
                <w:szCs w:val="21"/>
              </w:rPr>
            </w:pPr>
            <w:r>
              <w:rPr>
                <w:b/>
                <w:bCs/>
                <w:szCs w:val="21"/>
              </w:rPr>
              <w:t>61,020.67</w:t>
            </w:r>
          </w:p>
        </w:tc>
        <w:tc>
          <w:tcPr>
            <w:tcW w:w="625" w:type="pct"/>
            <w:vAlign w:val="center"/>
          </w:tcPr>
          <w:p w14:paraId="2333C390" w14:textId="77777777" w:rsidR="00FC5A62" w:rsidRDefault="00C76273">
            <w:pPr>
              <w:widowControl/>
              <w:jc w:val="right"/>
              <w:rPr>
                <w:b/>
                <w:bCs/>
                <w:szCs w:val="21"/>
              </w:rPr>
            </w:pPr>
            <w:r>
              <w:rPr>
                <w:b/>
                <w:bCs/>
                <w:szCs w:val="21"/>
              </w:rPr>
              <w:t>68.03%</w:t>
            </w:r>
          </w:p>
        </w:tc>
      </w:tr>
      <w:tr w:rsidR="00FC5A62" w14:paraId="2906782F" w14:textId="77777777">
        <w:trPr>
          <w:trHeight w:val="397"/>
          <w:jc w:val="center"/>
        </w:trPr>
        <w:tc>
          <w:tcPr>
            <w:tcW w:w="681" w:type="pct"/>
            <w:shd w:val="clear" w:color="auto" w:fill="auto"/>
            <w:noWrap/>
            <w:tcMar>
              <w:left w:w="0" w:type="dxa"/>
              <w:right w:w="0" w:type="dxa"/>
            </w:tcMar>
            <w:vAlign w:val="center"/>
          </w:tcPr>
          <w:p w14:paraId="660E8E2E" w14:textId="77777777" w:rsidR="00FC5A62" w:rsidRDefault="00C76273">
            <w:pPr>
              <w:widowControl/>
              <w:jc w:val="center"/>
              <w:rPr>
                <w:szCs w:val="21"/>
              </w:rPr>
            </w:pPr>
            <w:r>
              <w:rPr>
                <w:szCs w:val="21"/>
              </w:rPr>
              <w:t>电池</w:t>
            </w:r>
            <w:proofErr w:type="gramStart"/>
            <w:r>
              <w:rPr>
                <w:szCs w:val="21"/>
              </w:rPr>
              <w:t>片业务</w:t>
            </w:r>
            <w:proofErr w:type="gramEnd"/>
          </w:p>
        </w:tc>
        <w:tc>
          <w:tcPr>
            <w:tcW w:w="568" w:type="pct"/>
            <w:tcMar>
              <w:left w:w="0" w:type="dxa"/>
              <w:right w:w="0" w:type="dxa"/>
            </w:tcMar>
            <w:vAlign w:val="center"/>
          </w:tcPr>
          <w:p w14:paraId="57716CE7" w14:textId="77777777" w:rsidR="00FC5A62" w:rsidRDefault="00C76273">
            <w:pPr>
              <w:widowControl/>
              <w:jc w:val="center"/>
              <w:rPr>
                <w:szCs w:val="21"/>
              </w:rPr>
            </w:pPr>
            <w:r>
              <w:rPr>
                <w:rFonts w:hint="eastAsia"/>
                <w:szCs w:val="21"/>
              </w:rPr>
              <w:t>组件生产商</w:t>
            </w:r>
          </w:p>
        </w:tc>
        <w:tc>
          <w:tcPr>
            <w:tcW w:w="625" w:type="pct"/>
            <w:vAlign w:val="center"/>
          </w:tcPr>
          <w:p w14:paraId="356BACDD" w14:textId="77777777" w:rsidR="00FC5A62" w:rsidRDefault="00C76273">
            <w:pPr>
              <w:widowControl/>
              <w:jc w:val="right"/>
              <w:rPr>
                <w:szCs w:val="21"/>
              </w:rPr>
            </w:pPr>
            <w:r>
              <w:rPr>
                <w:szCs w:val="21"/>
              </w:rPr>
              <w:t>21,054.35</w:t>
            </w:r>
          </w:p>
        </w:tc>
        <w:tc>
          <w:tcPr>
            <w:tcW w:w="625" w:type="pct"/>
            <w:vAlign w:val="center"/>
          </w:tcPr>
          <w:p w14:paraId="7ED3770B" w14:textId="77777777" w:rsidR="00FC5A62" w:rsidRDefault="00C76273">
            <w:pPr>
              <w:widowControl/>
              <w:jc w:val="right"/>
              <w:rPr>
                <w:szCs w:val="21"/>
              </w:rPr>
            </w:pPr>
            <w:r>
              <w:rPr>
                <w:szCs w:val="21"/>
              </w:rPr>
              <w:t>17.39%</w:t>
            </w:r>
          </w:p>
        </w:tc>
        <w:tc>
          <w:tcPr>
            <w:tcW w:w="625" w:type="pct"/>
            <w:vAlign w:val="center"/>
          </w:tcPr>
          <w:p w14:paraId="118ADC42" w14:textId="77777777" w:rsidR="00FC5A62" w:rsidRDefault="00C76273">
            <w:pPr>
              <w:widowControl/>
              <w:jc w:val="right"/>
              <w:rPr>
                <w:szCs w:val="21"/>
              </w:rPr>
            </w:pPr>
            <w:r>
              <w:rPr>
                <w:szCs w:val="21"/>
              </w:rPr>
              <w:t>49,172.90</w:t>
            </w:r>
          </w:p>
        </w:tc>
        <w:tc>
          <w:tcPr>
            <w:tcW w:w="625" w:type="pct"/>
            <w:vAlign w:val="center"/>
          </w:tcPr>
          <w:p w14:paraId="17307BD0" w14:textId="77777777" w:rsidR="00FC5A62" w:rsidRDefault="00C76273">
            <w:pPr>
              <w:widowControl/>
              <w:jc w:val="right"/>
              <w:rPr>
                <w:szCs w:val="21"/>
              </w:rPr>
            </w:pPr>
            <w:r>
              <w:rPr>
                <w:szCs w:val="21"/>
              </w:rPr>
              <w:t>17.30%</w:t>
            </w:r>
          </w:p>
        </w:tc>
        <w:tc>
          <w:tcPr>
            <w:tcW w:w="625" w:type="pct"/>
            <w:vAlign w:val="center"/>
          </w:tcPr>
          <w:p w14:paraId="3A0A9801" w14:textId="77777777" w:rsidR="00FC5A62" w:rsidRDefault="00C76273">
            <w:pPr>
              <w:widowControl/>
              <w:jc w:val="right"/>
              <w:rPr>
                <w:szCs w:val="21"/>
              </w:rPr>
            </w:pPr>
            <w:r>
              <w:rPr>
                <w:szCs w:val="21"/>
              </w:rPr>
              <w:t>20,769.09</w:t>
            </w:r>
          </w:p>
        </w:tc>
        <w:tc>
          <w:tcPr>
            <w:tcW w:w="625" w:type="pct"/>
            <w:vAlign w:val="center"/>
          </w:tcPr>
          <w:p w14:paraId="4376361B" w14:textId="77777777" w:rsidR="00FC5A62" w:rsidRDefault="00C76273">
            <w:pPr>
              <w:widowControl/>
              <w:jc w:val="right"/>
              <w:rPr>
                <w:szCs w:val="21"/>
              </w:rPr>
            </w:pPr>
            <w:r>
              <w:rPr>
                <w:szCs w:val="21"/>
              </w:rPr>
              <w:t>23.15%</w:t>
            </w:r>
          </w:p>
        </w:tc>
      </w:tr>
      <w:tr w:rsidR="00FC5A62" w14:paraId="00BBF7FF" w14:textId="77777777">
        <w:trPr>
          <w:trHeight w:val="397"/>
          <w:jc w:val="center"/>
        </w:trPr>
        <w:tc>
          <w:tcPr>
            <w:tcW w:w="681" w:type="pct"/>
            <w:shd w:val="clear" w:color="auto" w:fill="auto"/>
            <w:noWrap/>
            <w:tcMar>
              <w:left w:w="0" w:type="dxa"/>
              <w:right w:w="0" w:type="dxa"/>
            </w:tcMar>
            <w:vAlign w:val="center"/>
          </w:tcPr>
          <w:p w14:paraId="783D7CC3" w14:textId="77777777" w:rsidR="00FC5A62" w:rsidRDefault="00C76273">
            <w:pPr>
              <w:widowControl/>
              <w:jc w:val="center"/>
              <w:rPr>
                <w:szCs w:val="21"/>
              </w:rPr>
            </w:pPr>
            <w:r>
              <w:rPr>
                <w:szCs w:val="21"/>
              </w:rPr>
              <w:t>其他业务</w:t>
            </w:r>
          </w:p>
        </w:tc>
        <w:tc>
          <w:tcPr>
            <w:tcW w:w="568" w:type="pct"/>
            <w:tcMar>
              <w:left w:w="0" w:type="dxa"/>
              <w:right w:w="0" w:type="dxa"/>
            </w:tcMar>
            <w:vAlign w:val="center"/>
          </w:tcPr>
          <w:p w14:paraId="69E82EF0" w14:textId="77777777" w:rsidR="00FC5A62" w:rsidRDefault="00C76273">
            <w:pPr>
              <w:widowControl/>
              <w:jc w:val="center"/>
              <w:rPr>
                <w:szCs w:val="21"/>
              </w:rPr>
            </w:pPr>
            <w:r>
              <w:rPr>
                <w:rFonts w:hint="eastAsia"/>
                <w:szCs w:val="21"/>
              </w:rPr>
              <w:t>其他</w:t>
            </w:r>
          </w:p>
        </w:tc>
        <w:tc>
          <w:tcPr>
            <w:tcW w:w="625" w:type="pct"/>
            <w:vAlign w:val="center"/>
          </w:tcPr>
          <w:p w14:paraId="0B5D8ED3" w14:textId="77777777" w:rsidR="00FC5A62" w:rsidRDefault="00C76273">
            <w:pPr>
              <w:widowControl/>
              <w:jc w:val="right"/>
              <w:rPr>
                <w:szCs w:val="21"/>
              </w:rPr>
            </w:pPr>
            <w:r>
              <w:rPr>
                <w:szCs w:val="21"/>
              </w:rPr>
              <w:t xml:space="preserve">4.13   </w:t>
            </w:r>
          </w:p>
        </w:tc>
        <w:tc>
          <w:tcPr>
            <w:tcW w:w="625" w:type="pct"/>
            <w:vAlign w:val="center"/>
          </w:tcPr>
          <w:p w14:paraId="1F3CDBC4" w14:textId="77777777" w:rsidR="00FC5A62" w:rsidRDefault="00C76273">
            <w:pPr>
              <w:widowControl/>
              <w:jc w:val="right"/>
              <w:rPr>
                <w:szCs w:val="21"/>
              </w:rPr>
            </w:pPr>
            <w:r>
              <w:rPr>
                <w:szCs w:val="21"/>
              </w:rPr>
              <w:t>0.00%</w:t>
            </w:r>
          </w:p>
        </w:tc>
        <w:tc>
          <w:tcPr>
            <w:tcW w:w="625" w:type="pct"/>
            <w:vAlign w:val="center"/>
          </w:tcPr>
          <w:p w14:paraId="7CC7C0FF" w14:textId="77777777" w:rsidR="00FC5A62" w:rsidRDefault="00C76273">
            <w:pPr>
              <w:widowControl/>
              <w:jc w:val="right"/>
              <w:rPr>
                <w:szCs w:val="21"/>
              </w:rPr>
            </w:pPr>
            <w:r>
              <w:rPr>
                <w:szCs w:val="21"/>
              </w:rPr>
              <w:t xml:space="preserve">43.33    </w:t>
            </w:r>
          </w:p>
        </w:tc>
        <w:tc>
          <w:tcPr>
            <w:tcW w:w="625" w:type="pct"/>
            <w:vAlign w:val="center"/>
          </w:tcPr>
          <w:p w14:paraId="1643EBD4" w14:textId="77777777" w:rsidR="00FC5A62" w:rsidRDefault="00C76273">
            <w:pPr>
              <w:widowControl/>
              <w:jc w:val="right"/>
              <w:rPr>
                <w:szCs w:val="21"/>
              </w:rPr>
            </w:pPr>
            <w:r>
              <w:rPr>
                <w:szCs w:val="21"/>
              </w:rPr>
              <w:t>0.02%</w:t>
            </w:r>
          </w:p>
        </w:tc>
        <w:tc>
          <w:tcPr>
            <w:tcW w:w="625" w:type="pct"/>
            <w:vAlign w:val="center"/>
          </w:tcPr>
          <w:p w14:paraId="46BADACA" w14:textId="77777777" w:rsidR="00FC5A62" w:rsidRDefault="00C76273">
            <w:pPr>
              <w:widowControl/>
              <w:jc w:val="right"/>
              <w:rPr>
                <w:szCs w:val="21"/>
              </w:rPr>
            </w:pPr>
            <w:r>
              <w:rPr>
                <w:szCs w:val="21"/>
              </w:rPr>
              <w:t>7,908.06</w:t>
            </w:r>
          </w:p>
        </w:tc>
        <w:tc>
          <w:tcPr>
            <w:tcW w:w="625" w:type="pct"/>
            <w:vAlign w:val="center"/>
          </w:tcPr>
          <w:p w14:paraId="096848C2" w14:textId="77777777" w:rsidR="00FC5A62" w:rsidRDefault="00C76273">
            <w:pPr>
              <w:widowControl/>
              <w:jc w:val="right"/>
              <w:rPr>
                <w:szCs w:val="21"/>
              </w:rPr>
            </w:pPr>
            <w:r>
              <w:rPr>
                <w:szCs w:val="21"/>
              </w:rPr>
              <w:t>8.82%</w:t>
            </w:r>
          </w:p>
        </w:tc>
      </w:tr>
      <w:tr w:rsidR="00FC5A62" w14:paraId="472C30E1" w14:textId="77777777">
        <w:trPr>
          <w:trHeight w:val="397"/>
          <w:jc w:val="center"/>
        </w:trPr>
        <w:tc>
          <w:tcPr>
            <w:tcW w:w="1249" w:type="pct"/>
            <w:gridSpan w:val="2"/>
            <w:shd w:val="clear" w:color="auto" w:fill="auto"/>
            <w:noWrap/>
            <w:tcMar>
              <w:left w:w="0" w:type="dxa"/>
              <w:right w:w="0" w:type="dxa"/>
            </w:tcMar>
            <w:vAlign w:val="center"/>
          </w:tcPr>
          <w:p w14:paraId="4625A9FC" w14:textId="77777777" w:rsidR="00FC5A62" w:rsidRDefault="00C76273">
            <w:pPr>
              <w:widowControl/>
              <w:jc w:val="center"/>
              <w:rPr>
                <w:b/>
                <w:bCs/>
                <w:szCs w:val="21"/>
              </w:rPr>
            </w:pPr>
            <w:r>
              <w:rPr>
                <w:b/>
                <w:bCs/>
                <w:szCs w:val="21"/>
              </w:rPr>
              <w:t>合计</w:t>
            </w:r>
          </w:p>
        </w:tc>
        <w:tc>
          <w:tcPr>
            <w:tcW w:w="625" w:type="pct"/>
            <w:vAlign w:val="center"/>
          </w:tcPr>
          <w:p w14:paraId="2DF6F2CE" w14:textId="77777777" w:rsidR="00FC5A62" w:rsidRDefault="00C76273">
            <w:pPr>
              <w:widowControl/>
              <w:jc w:val="right"/>
              <w:rPr>
                <w:b/>
                <w:bCs/>
                <w:szCs w:val="21"/>
              </w:rPr>
            </w:pPr>
            <w:r>
              <w:rPr>
                <w:b/>
                <w:bCs/>
                <w:szCs w:val="21"/>
              </w:rPr>
              <w:t>121,082.90</w:t>
            </w:r>
          </w:p>
        </w:tc>
        <w:tc>
          <w:tcPr>
            <w:tcW w:w="625" w:type="pct"/>
            <w:vAlign w:val="center"/>
          </w:tcPr>
          <w:p w14:paraId="75CD87FF" w14:textId="77777777" w:rsidR="00FC5A62" w:rsidRDefault="00C76273">
            <w:pPr>
              <w:widowControl/>
              <w:jc w:val="right"/>
              <w:rPr>
                <w:b/>
                <w:bCs/>
                <w:szCs w:val="21"/>
              </w:rPr>
            </w:pPr>
            <w:r>
              <w:rPr>
                <w:b/>
                <w:bCs/>
                <w:szCs w:val="21"/>
              </w:rPr>
              <w:t>100.00%</w:t>
            </w:r>
          </w:p>
        </w:tc>
        <w:tc>
          <w:tcPr>
            <w:tcW w:w="625" w:type="pct"/>
            <w:vAlign w:val="center"/>
          </w:tcPr>
          <w:p w14:paraId="68E7468F" w14:textId="77777777" w:rsidR="00FC5A62" w:rsidRDefault="00C76273">
            <w:pPr>
              <w:widowControl/>
              <w:jc w:val="right"/>
              <w:rPr>
                <w:b/>
                <w:bCs/>
                <w:szCs w:val="21"/>
              </w:rPr>
            </w:pPr>
            <w:r>
              <w:rPr>
                <w:b/>
                <w:bCs/>
                <w:szCs w:val="21"/>
              </w:rPr>
              <w:t>284,186.61</w:t>
            </w:r>
          </w:p>
        </w:tc>
        <w:tc>
          <w:tcPr>
            <w:tcW w:w="625" w:type="pct"/>
            <w:vAlign w:val="center"/>
          </w:tcPr>
          <w:p w14:paraId="0B8ABEC8" w14:textId="77777777" w:rsidR="00FC5A62" w:rsidRDefault="00C76273">
            <w:pPr>
              <w:widowControl/>
              <w:jc w:val="right"/>
              <w:rPr>
                <w:b/>
                <w:bCs/>
                <w:szCs w:val="21"/>
              </w:rPr>
            </w:pPr>
            <w:r>
              <w:rPr>
                <w:b/>
                <w:bCs/>
                <w:szCs w:val="21"/>
              </w:rPr>
              <w:t>100.00%</w:t>
            </w:r>
          </w:p>
        </w:tc>
        <w:tc>
          <w:tcPr>
            <w:tcW w:w="625" w:type="pct"/>
            <w:vAlign w:val="center"/>
          </w:tcPr>
          <w:p w14:paraId="64C5C889" w14:textId="77777777" w:rsidR="00FC5A62" w:rsidRDefault="00C76273">
            <w:pPr>
              <w:widowControl/>
              <w:jc w:val="right"/>
              <w:rPr>
                <w:b/>
                <w:bCs/>
                <w:szCs w:val="21"/>
              </w:rPr>
            </w:pPr>
            <w:r>
              <w:rPr>
                <w:b/>
                <w:bCs/>
                <w:szCs w:val="21"/>
              </w:rPr>
              <w:t>89,697.82</w:t>
            </w:r>
          </w:p>
        </w:tc>
        <w:tc>
          <w:tcPr>
            <w:tcW w:w="625" w:type="pct"/>
            <w:vAlign w:val="center"/>
          </w:tcPr>
          <w:p w14:paraId="12AB0D5C" w14:textId="77777777" w:rsidR="00FC5A62" w:rsidRDefault="00C76273">
            <w:pPr>
              <w:widowControl/>
              <w:jc w:val="right"/>
              <w:rPr>
                <w:b/>
                <w:bCs/>
                <w:szCs w:val="21"/>
              </w:rPr>
            </w:pPr>
            <w:r>
              <w:rPr>
                <w:b/>
                <w:bCs/>
                <w:szCs w:val="21"/>
              </w:rPr>
              <w:t>100.00%</w:t>
            </w:r>
          </w:p>
        </w:tc>
      </w:tr>
    </w:tbl>
    <w:p w14:paraId="055BF2E5" w14:textId="77777777" w:rsidR="00FC5A62" w:rsidRDefault="00C76273">
      <w:pPr>
        <w:pStyle w:val="af3"/>
      </w:pPr>
      <w:r>
        <w:rPr>
          <w:rFonts w:hint="eastAsia"/>
        </w:rPr>
        <w:t>注：以上财务数据未经审计</w:t>
      </w:r>
    </w:p>
    <w:p w14:paraId="3381F5C9" w14:textId="77777777" w:rsidR="00FC5A62" w:rsidRDefault="00C76273" w:rsidP="006E1C3D">
      <w:pPr>
        <w:spacing w:beforeLines="50" w:before="156" w:afterLines="50" w:after="156" w:line="360" w:lineRule="auto"/>
        <w:ind w:firstLineChars="200" w:firstLine="480"/>
        <w:rPr>
          <w:sz w:val="24"/>
        </w:rPr>
      </w:pPr>
      <w:r>
        <w:rPr>
          <w:rFonts w:hint="eastAsia"/>
          <w:sz w:val="24"/>
        </w:rPr>
        <w:t>2</w:t>
      </w:r>
      <w:r>
        <w:rPr>
          <w:sz w:val="24"/>
        </w:rPr>
        <w:t>021</w:t>
      </w:r>
      <w:r>
        <w:rPr>
          <w:rFonts w:hint="eastAsia"/>
          <w:sz w:val="24"/>
        </w:rPr>
        <w:t>年度、</w:t>
      </w:r>
      <w:r>
        <w:rPr>
          <w:rFonts w:hint="eastAsia"/>
          <w:sz w:val="24"/>
        </w:rPr>
        <w:t>2</w:t>
      </w:r>
      <w:r>
        <w:rPr>
          <w:sz w:val="24"/>
        </w:rPr>
        <w:t>022</w:t>
      </w:r>
      <w:r>
        <w:rPr>
          <w:rFonts w:hint="eastAsia"/>
          <w:sz w:val="24"/>
        </w:rPr>
        <w:t>年度及</w:t>
      </w:r>
      <w:r>
        <w:rPr>
          <w:rFonts w:hint="eastAsia"/>
          <w:sz w:val="24"/>
        </w:rPr>
        <w:t>2</w:t>
      </w:r>
      <w:r>
        <w:rPr>
          <w:sz w:val="24"/>
        </w:rPr>
        <w:t>023</w:t>
      </w:r>
      <w:r>
        <w:rPr>
          <w:rFonts w:hint="eastAsia"/>
          <w:sz w:val="24"/>
        </w:rPr>
        <w:t>年一季度，标的公司按照客户区域划分的客户具体构成情况如下：</w:t>
      </w:r>
    </w:p>
    <w:p w14:paraId="1BBEFB82" w14:textId="77777777" w:rsidR="00FC5A62" w:rsidRPr="008A1A3A" w:rsidRDefault="00C76273" w:rsidP="006E1C3D">
      <w:pPr>
        <w:ind w:firstLineChars="200" w:firstLine="420"/>
        <w:jc w:val="right"/>
        <w:rPr>
          <w:szCs w:val="21"/>
        </w:rPr>
      </w:pPr>
      <w:r w:rsidRPr="008A1A3A">
        <w:rPr>
          <w:rFonts w:hint="eastAsia"/>
          <w:szCs w:val="21"/>
        </w:rPr>
        <w:t>单位：万元</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404"/>
        <w:gridCol w:w="1198"/>
        <w:gridCol w:w="1198"/>
        <w:gridCol w:w="1198"/>
        <w:gridCol w:w="1198"/>
        <w:gridCol w:w="1198"/>
        <w:gridCol w:w="1200"/>
      </w:tblGrid>
      <w:tr w:rsidR="00FC5A62" w14:paraId="34F8959F" w14:textId="77777777">
        <w:trPr>
          <w:trHeight w:val="397"/>
          <w:jc w:val="center"/>
        </w:trPr>
        <w:tc>
          <w:tcPr>
            <w:tcW w:w="1267" w:type="pct"/>
            <w:gridSpan w:val="2"/>
            <w:vMerge w:val="restart"/>
            <w:shd w:val="clear" w:color="auto" w:fill="auto"/>
            <w:noWrap/>
            <w:tcMar>
              <w:left w:w="0" w:type="dxa"/>
              <w:right w:w="0" w:type="dxa"/>
            </w:tcMar>
            <w:vAlign w:val="center"/>
          </w:tcPr>
          <w:p w14:paraId="08C37BC1" w14:textId="77777777" w:rsidR="00FC5A62" w:rsidRDefault="00C76273">
            <w:pPr>
              <w:widowControl/>
              <w:jc w:val="center"/>
              <w:rPr>
                <w:b/>
                <w:bCs/>
                <w:szCs w:val="21"/>
              </w:rPr>
            </w:pPr>
            <w:r>
              <w:rPr>
                <w:b/>
                <w:bCs/>
                <w:szCs w:val="21"/>
              </w:rPr>
              <w:t>类型</w:t>
            </w:r>
          </w:p>
        </w:tc>
        <w:tc>
          <w:tcPr>
            <w:tcW w:w="1244" w:type="pct"/>
            <w:gridSpan w:val="2"/>
            <w:shd w:val="clear" w:color="auto" w:fill="auto"/>
            <w:vAlign w:val="center"/>
          </w:tcPr>
          <w:p w14:paraId="4E6F4034" w14:textId="77777777" w:rsidR="00FC5A62" w:rsidRDefault="00C76273">
            <w:pPr>
              <w:widowControl/>
              <w:jc w:val="center"/>
              <w:rPr>
                <w:b/>
                <w:bCs/>
                <w:szCs w:val="21"/>
              </w:rPr>
            </w:pPr>
            <w:r>
              <w:rPr>
                <w:rFonts w:hint="eastAsia"/>
                <w:b/>
                <w:bCs/>
                <w:szCs w:val="21"/>
              </w:rPr>
              <w:t>2</w:t>
            </w:r>
            <w:r>
              <w:rPr>
                <w:b/>
                <w:bCs/>
                <w:szCs w:val="21"/>
              </w:rPr>
              <w:t>023</w:t>
            </w:r>
            <w:r>
              <w:rPr>
                <w:rFonts w:hint="eastAsia"/>
                <w:b/>
                <w:bCs/>
                <w:szCs w:val="21"/>
              </w:rPr>
              <w:t>年</w:t>
            </w:r>
            <w:r>
              <w:rPr>
                <w:rFonts w:hint="eastAsia"/>
                <w:b/>
                <w:bCs/>
                <w:szCs w:val="21"/>
              </w:rPr>
              <w:t>1</w:t>
            </w:r>
            <w:r>
              <w:rPr>
                <w:b/>
                <w:bCs/>
                <w:szCs w:val="21"/>
              </w:rPr>
              <w:t>-3</w:t>
            </w:r>
            <w:r>
              <w:rPr>
                <w:rFonts w:hint="eastAsia"/>
                <w:b/>
                <w:bCs/>
                <w:szCs w:val="21"/>
              </w:rPr>
              <w:t>月</w:t>
            </w:r>
          </w:p>
        </w:tc>
        <w:tc>
          <w:tcPr>
            <w:tcW w:w="1244" w:type="pct"/>
            <w:gridSpan w:val="2"/>
            <w:shd w:val="clear" w:color="auto" w:fill="auto"/>
            <w:vAlign w:val="center"/>
          </w:tcPr>
          <w:p w14:paraId="1CFEE15C" w14:textId="77777777" w:rsidR="00FC5A62" w:rsidRDefault="00C76273">
            <w:pPr>
              <w:widowControl/>
              <w:jc w:val="center"/>
              <w:rPr>
                <w:b/>
                <w:bCs/>
                <w:szCs w:val="21"/>
              </w:rPr>
            </w:pPr>
            <w:r>
              <w:rPr>
                <w:rFonts w:hint="eastAsia"/>
                <w:b/>
                <w:bCs/>
                <w:szCs w:val="21"/>
              </w:rPr>
              <w:t>2</w:t>
            </w:r>
            <w:r>
              <w:rPr>
                <w:b/>
                <w:bCs/>
                <w:szCs w:val="21"/>
              </w:rPr>
              <w:t>022</w:t>
            </w:r>
            <w:r>
              <w:rPr>
                <w:rFonts w:hint="eastAsia"/>
                <w:b/>
                <w:bCs/>
                <w:szCs w:val="21"/>
              </w:rPr>
              <w:t>年度</w:t>
            </w:r>
          </w:p>
        </w:tc>
        <w:tc>
          <w:tcPr>
            <w:tcW w:w="1245" w:type="pct"/>
            <w:gridSpan w:val="2"/>
            <w:shd w:val="clear" w:color="auto" w:fill="auto"/>
            <w:vAlign w:val="center"/>
          </w:tcPr>
          <w:p w14:paraId="7918516C" w14:textId="77777777" w:rsidR="00FC5A62" w:rsidRDefault="00C76273">
            <w:pPr>
              <w:widowControl/>
              <w:jc w:val="center"/>
              <w:rPr>
                <w:b/>
                <w:bCs/>
                <w:szCs w:val="21"/>
              </w:rPr>
            </w:pPr>
            <w:r>
              <w:rPr>
                <w:rFonts w:hint="eastAsia"/>
                <w:b/>
                <w:bCs/>
                <w:szCs w:val="21"/>
              </w:rPr>
              <w:t>2</w:t>
            </w:r>
            <w:r>
              <w:rPr>
                <w:b/>
                <w:bCs/>
                <w:szCs w:val="21"/>
              </w:rPr>
              <w:t>021</w:t>
            </w:r>
            <w:r>
              <w:rPr>
                <w:rFonts w:hint="eastAsia"/>
                <w:b/>
                <w:bCs/>
                <w:szCs w:val="21"/>
              </w:rPr>
              <w:t>年度</w:t>
            </w:r>
          </w:p>
        </w:tc>
      </w:tr>
      <w:tr w:rsidR="00FC5A62" w14:paraId="4C4E0E43" w14:textId="77777777">
        <w:trPr>
          <w:trHeight w:val="397"/>
          <w:jc w:val="center"/>
        </w:trPr>
        <w:tc>
          <w:tcPr>
            <w:tcW w:w="1267" w:type="pct"/>
            <w:gridSpan w:val="2"/>
            <w:vMerge/>
            <w:shd w:val="clear" w:color="auto" w:fill="auto"/>
            <w:noWrap/>
            <w:tcMar>
              <w:left w:w="0" w:type="dxa"/>
              <w:right w:w="0" w:type="dxa"/>
            </w:tcMar>
            <w:vAlign w:val="center"/>
          </w:tcPr>
          <w:p w14:paraId="3F90B221" w14:textId="77777777" w:rsidR="00FC5A62" w:rsidRDefault="00FC5A62">
            <w:pPr>
              <w:widowControl/>
              <w:jc w:val="center"/>
              <w:rPr>
                <w:b/>
                <w:bCs/>
                <w:szCs w:val="21"/>
              </w:rPr>
            </w:pPr>
          </w:p>
        </w:tc>
        <w:tc>
          <w:tcPr>
            <w:tcW w:w="622" w:type="pct"/>
            <w:shd w:val="clear" w:color="auto" w:fill="auto"/>
            <w:vAlign w:val="center"/>
          </w:tcPr>
          <w:p w14:paraId="2D0E6CC3" w14:textId="77777777" w:rsidR="00FC5A62" w:rsidRDefault="00C76273">
            <w:pPr>
              <w:widowControl/>
              <w:jc w:val="center"/>
              <w:rPr>
                <w:b/>
                <w:bCs/>
                <w:szCs w:val="21"/>
              </w:rPr>
            </w:pPr>
            <w:r>
              <w:rPr>
                <w:rFonts w:hint="eastAsia"/>
                <w:b/>
                <w:bCs/>
                <w:szCs w:val="21"/>
              </w:rPr>
              <w:t>金额</w:t>
            </w:r>
          </w:p>
        </w:tc>
        <w:tc>
          <w:tcPr>
            <w:tcW w:w="622" w:type="pct"/>
            <w:shd w:val="clear" w:color="auto" w:fill="auto"/>
            <w:vAlign w:val="center"/>
          </w:tcPr>
          <w:p w14:paraId="1D6F4757" w14:textId="77777777" w:rsidR="00FC5A62" w:rsidRDefault="00C76273">
            <w:pPr>
              <w:widowControl/>
              <w:jc w:val="center"/>
              <w:rPr>
                <w:b/>
                <w:bCs/>
                <w:szCs w:val="21"/>
              </w:rPr>
            </w:pPr>
            <w:r>
              <w:rPr>
                <w:rFonts w:hint="eastAsia"/>
                <w:b/>
                <w:bCs/>
                <w:szCs w:val="21"/>
              </w:rPr>
              <w:t>占比</w:t>
            </w:r>
          </w:p>
        </w:tc>
        <w:tc>
          <w:tcPr>
            <w:tcW w:w="622" w:type="pct"/>
            <w:shd w:val="clear" w:color="auto" w:fill="auto"/>
            <w:vAlign w:val="center"/>
          </w:tcPr>
          <w:p w14:paraId="5110878E" w14:textId="77777777" w:rsidR="00FC5A62" w:rsidRDefault="00C76273">
            <w:pPr>
              <w:widowControl/>
              <w:jc w:val="center"/>
              <w:rPr>
                <w:b/>
                <w:bCs/>
                <w:szCs w:val="21"/>
              </w:rPr>
            </w:pPr>
            <w:r>
              <w:rPr>
                <w:rFonts w:hint="eastAsia"/>
                <w:b/>
                <w:bCs/>
                <w:szCs w:val="21"/>
              </w:rPr>
              <w:t>金额</w:t>
            </w:r>
          </w:p>
        </w:tc>
        <w:tc>
          <w:tcPr>
            <w:tcW w:w="622" w:type="pct"/>
            <w:shd w:val="clear" w:color="auto" w:fill="auto"/>
            <w:vAlign w:val="center"/>
          </w:tcPr>
          <w:p w14:paraId="022D4036" w14:textId="77777777" w:rsidR="00FC5A62" w:rsidRDefault="00C76273">
            <w:pPr>
              <w:widowControl/>
              <w:jc w:val="center"/>
              <w:rPr>
                <w:b/>
                <w:bCs/>
                <w:szCs w:val="21"/>
              </w:rPr>
            </w:pPr>
            <w:r>
              <w:rPr>
                <w:rFonts w:hint="eastAsia"/>
                <w:b/>
                <w:bCs/>
                <w:szCs w:val="21"/>
              </w:rPr>
              <w:t>占比</w:t>
            </w:r>
          </w:p>
        </w:tc>
        <w:tc>
          <w:tcPr>
            <w:tcW w:w="622" w:type="pct"/>
            <w:shd w:val="clear" w:color="auto" w:fill="auto"/>
            <w:vAlign w:val="center"/>
          </w:tcPr>
          <w:p w14:paraId="1D050121" w14:textId="77777777" w:rsidR="00FC5A62" w:rsidRDefault="00C76273">
            <w:pPr>
              <w:widowControl/>
              <w:jc w:val="center"/>
              <w:rPr>
                <w:b/>
                <w:bCs/>
                <w:szCs w:val="21"/>
              </w:rPr>
            </w:pPr>
            <w:r>
              <w:rPr>
                <w:rFonts w:hint="eastAsia"/>
                <w:b/>
                <w:bCs/>
                <w:szCs w:val="21"/>
              </w:rPr>
              <w:t>金额</w:t>
            </w:r>
          </w:p>
        </w:tc>
        <w:tc>
          <w:tcPr>
            <w:tcW w:w="623" w:type="pct"/>
            <w:shd w:val="clear" w:color="auto" w:fill="auto"/>
            <w:vAlign w:val="center"/>
          </w:tcPr>
          <w:p w14:paraId="64091A97" w14:textId="77777777" w:rsidR="00FC5A62" w:rsidRDefault="00C76273">
            <w:pPr>
              <w:widowControl/>
              <w:jc w:val="center"/>
              <w:rPr>
                <w:b/>
                <w:bCs/>
                <w:szCs w:val="21"/>
              </w:rPr>
            </w:pPr>
            <w:r>
              <w:rPr>
                <w:rFonts w:hint="eastAsia"/>
                <w:b/>
                <w:bCs/>
                <w:szCs w:val="21"/>
              </w:rPr>
              <w:t>占比</w:t>
            </w:r>
          </w:p>
        </w:tc>
      </w:tr>
      <w:tr w:rsidR="00FC5A62" w14:paraId="50D2492A" w14:textId="77777777">
        <w:trPr>
          <w:trHeight w:val="397"/>
          <w:jc w:val="center"/>
        </w:trPr>
        <w:tc>
          <w:tcPr>
            <w:tcW w:w="539" w:type="pct"/>
            <w:vMerge w:val="restart"/>
            <w:shd w:val="clear" w:color="auto" w:fill="auto"/>
            <w:noWrap/>
            <w:tcMar>
              <w:left w:w="0" w:type="dxa"/>
              <w:right w:w="0" w:type="dxa"/>
            </w:tcMar>
            <w:vAlign w:val="center"/>
          </w:tcPr>
          <w:p w14:paraId="69860065" w14:textId="77777777" w:rsidR="00FC5A62" w:rsidRDefault="00C76273">
            <w:pPr>
              <w:widowControl/>
              <w:jc w:val="center"/>
              <w:rPr>
                <w:szCs w:val="21"/>
              </w:rPr>
            </w:pPr>
            <w:r>
              <w:rPr>
                <w:szCs w:val="21"/>
              </w:rPr>
              <w:t>组件业务</w:t>
            </w:r>
          </w:p>
        </w:tc>
        <w:tc>
          <w:tcPr>
            <w:tcW w:w="728" w:type="pct"/>
            <w:tcMar>
              <w:left w:w="0" w:type="dxa"/>
              <w:right w:w="0" w:type="dxa"/>
            </w:tcMar>
            <w:vAlign w:val="center"/>
          </w:tcPr>
          <w:p w14:paraId="54CA1DA6" w14:textId="77777777" w:rsidR="00FC5A62" w:rsidRDefault="00C76273">
            <w:pPr>
              <w:widowControl/>
              <w:jc w:val="center"/>
              <w:rPr>
                <w:szCs w:val="21"/>
              </w:rPr>
            </w:pPr>
            <w:r>
              <w:rPr>
                <w:rFonts w:hint="eastAsia"/>
                <w:szCs w:val="21"/>
              </w:rPr>
              <w:t>美国地区</w:t>
            </w:r>
          </w:p>
        </w:tc>
        <w:tc>
          <w:tcPr>
            <w:tcW w:w="622" w:type="pct"/>
            <w:vAlign w:val="center"/>
          </w:tcPr>
          <w:p w14:paraId="68E045EA" w14:textId="77777777" w:rsidR="00FC5A62" w:rsidRDefault="00C76273">
            <w:pPr>
              <w:widowControl/>
              <w:jc w:val="right"/>
              <w:rPr>
                <w:szCs w:val="21"/>
              </w:rPr>
            </w:pPr>
            <w:r>
              <w:rPr>
                <w:szCs w:val="21"/>
              </w:rPr>
              <w:t>99,142.46</w:t>
            </w:r>
          </w:p>
        </w:tc>
        <w:tc>
          <w:tcPr>
            <w:tcW w:w="622" w:type="pct"/>
            <w:vAlign w:val="center"/>
          </w:tcPr>
          <w:p w14:paraId="7EE70F53" w14:textId="77777777" w:rsidR="00FC5A62" w:rsidRDefault="00C76273">
            <w:pPr>
              <w:widowControl/>
              <w:jc w:val="right"/>
              <w:rPr>
                <w:szCs w:val="21"/>
              </w:rPr>
            </w:pPr>
            <w:r>
              <w:rPr>
                <w:szCs w:val="21"/>
              </w:rPr>
              <w:t>81.88%</w:t>
            </w:r>
          </w:p>
        </w:tc>
        <w:tc>
          <w:tcPr>
            <w:tcW w:w="622" w:type="pct"/>
            <w:vAlign w:val="center"/>
          </w:tcPr>
          <w:p w14:paraId="0143E3E2" w14:textId="77777777" w:rsidR="00FC5A62" w:rsidRDefault="00C76273">
            <w:pPr>
              <w:widowControl/>
              <w:jc w:val="right"/>
              <w:rPr>
                <w:szCs w:val="21"/>
              </w:rPr>
            </w:pPr>
            <w:r>
              <w:rPr>
                <w:szCs w:val="21"/>
              </w:rPr>
              <w:t>230,880.74</w:t>
            </w:r>
          </w:p>
        </w:tc>
        <w:tc>
          <w:tcPr>
            <w:tcW w:w="622" w:type="pct"/>
            <w:vAlign w:val="center"/>
          </w:tcPr>
          <w:p w14:paraId="248A0AFA" w14:textId="77777777" w:rsidR="00FC5A62" w:rsidRDefault="00C76273">
            <w:pPr>
              <w:widowControl/>
              <w:jc w:val="right"/>
              <w:rPr>
                <w:szCs w:val="21"/>
              </w:rPr>
            </w:pPr>
            <w:r>
              <w:rPr>
                <w:szCs w:val="21"/>
              </w:rPr>
              <w:t>81.24%</w:t>
            </w:r>
          </w:p>
        </w:tc>
        <w:tc>
          <w:tcPr>
            <w:tcW w:w="622" w:type="pct"/>
            <w:vAlign w:val="center"/>
          </w:tcPr>
          <w:p w14:paraId="5ED3E34C" w14:textId="77777777" w:rsidR="00FC5A62" w:rsidRDefault="00C76273">
            <w:pPr>
              <w:widowControl/>
              <w:jc w:val="right"/>
              <w:rPr>
                <w:szCs w:val="21"/>
              </w:rPr>
            </w:pPr>
            <w:r>
              <w:rPr>
                <w:szCs w:val="21"/>
              </w:rPr>
              <w:t>57,360.91</w:t>
            </w:r>
          </w:p>
        </w:tc>
        <w:tc>
          <w:tcPr>
            <w:tcW w:w="623" w:type="pct"/>
            <w:vAlign w:val="center"/>
          </w:tcPr>
          <w:p w14:paraId="01C3D515" w14:textId="77777777" w:rsidR="00FC5A62" w:rsidRDefault="00C76273">
            <w:pPr>
              <w:widowControl/>
              <w:jc w:val="right"/>
              <w:rPr>
                <w:szCs w:val="21"/>
              </w:rPr>
            </w:pPr>
            <w:r>
              <w:rPr>
                <w:szCs w:val="21"/>
              </w:rPr>
              <w:t>63.95%</w:t>
            </w:r>
          </w:p>
        </w:tc>
      </w:tr>
      <w:tr w:rsidR="00FC5A62" w14:paraId="3FA6474A" w14:textId="77777777">
        <w:trPr>
          <w:trHeight w:val="397"/>
          <w:jc w:val="center"/>
        </w:trPr>
        <w:tc>
          <w:tcPr>
            <w:tcW w:w="539" w:type="pct"/>
            <w:vMerge/>
            <w:shd w:val="clear" w:color="auto" w:fill="auto"/>
            <w:noWrap/>
            <w:tcMar>
              <w:left w:w="0" w:type="dxa"/>
              <w:right w:w="0" w:type="dxa"/>
            </w:tcMar>
            <w:vAlign w:val="center"/>
          </w:tcPr>
          <w:p w14:paraId="2E4DB57D" w14:textId="77777777" w:rsidR="00FC5A62" w:rsidRDefault="00FC5A62">
            <w:pPr>
              <w:widowControl/>
              <w:jc w:val="center"/>
              <w:rPr>
                <w:szCs w:val="21"/>
              </w:rPr>
            </w:pPr>
          </w:p>
        </w:tc>
        <w:tc>
          <w:tcPr>
            <w:tcW w:w="728" w:type="pct"/>
            <w:tcMar>
              <w:left w:w="0" w:type="dxa"/>
              <w:right w:w="0" w:type="dxa"/>
            </w:tcMar>
            <w:vAlign w:val="center"/>
          </w:tcPr>
          <w:p w14:paraId="76385619" w14:textId="77777777" w:rsidR="00FC5A62" w:rsidRDefault="00C76273">
            <w:pPr>
              <w:widowControl/>
              <w:jc w:val="center"/>
              <w:rPr>
                <w:szCs w:val="21"/>
              </w:rPr>
            </w:pPr>
            <w:r>
              <w:rPr>
                <w:rFonts w:hint="eastAsia"/>
                <w:szCs w:val="21"/>
              </w:rPr>
              <w:t>其他地区</w:t>
            </w:r>
          </w:p>
        </w:tc>
        <w:tc>
          <w:tcPr>
            <w:tcW w:w="622" w:type="pct"/>
            <w:vAlign w:val="center"/>
          </w:tcPr>
          <w:p w14:paraId="6A4BE72E" w14:textId="77777777" w:rsidR="00FC5A62" w:rsidRDefault="00C76273">
            <w:pPr>
              <w:widowControl/>
              <w:jc w:val="right"/>
              <w:rPr>
                <w:szCs w:val="21"/>
              </w:rPr>
            </w:pPr>
            <w:r>
              <w:rPr>
                <w:szCs w:val="21"/>
              </w:rPr>
              <w:t>881.96</w:t>
            </w:r>
          </w:p>
        </w:tc>
        <w:tc>
          <w:tcPr>
            <w:tcW w:w="622" w:type="pct"/>
            <w:vAlign w:val="center"/>
          </w:tcPr>
          <w:p w14:paraId="7CF0B157" w14:textId="77777777" w:rsidR="00FC5A62" w:rsidRDefault="00C76273">
            <w:pPr>
              <w:widowControl/>
              <w:jc w:val="right"/>
              <w:rPr>
                <w:szCs w:val="21"/>
              </w:rPr>
            </w:pPr>
            <w:r>
              <w:rPr>
                <w:szCs w:val="21"/>
              </w:rPr>
              <w:t>0.73%</w:t>
            </w:r>
          </w:p>
        </w:tc>
        <w:tc>
          <w:tcPr>
            <w:tcW w:w="622" w:type="pct"/>
            <w:vAlign w:val="center"/>
          </w:tcPr>
          <w:p w14:paraId="38D04A72" w14:textId="77777777" w:rsidR="00FC5A62" w:rsidRDefault="00C76273">
            <w:pPr>
              <w:widowControl/>
              <w:jc w:val="right"/>
              <w:rPr>
                <w:szCs w:val="21"/>
              </w:rPr>
            </w:pPr>
            <w:r>
              <w:rPr>
                <w:szCs w:val="21"/>
              </w:rPr>
              <w:t>4,089.64</w:t>
            </w:r>
          </w:p>
        </w:tc>
        <w:tc>
          <w:tcPr>
            <w:tcW w:w="622" w:type="pct"/>
            <w:vAlign w:val="center"/>
          </w:tcPr>
          <w:p w14:paraId="29C4CA5D" w14:textId="77777777" w:rsidR="00FC5A62" w:rsidRDefault="00C76273">
            <w:pPr>
              <w:widowControl/>
              <w:jc w:val="right"/>
              <w:rPr>
                <w:szCs w:val="21"/>
              </w:rPr>
            </w:pPr>
            <w:r>
              <w:rPr>
                <w:szCs w:val="21"/>
              </w:rPr>
              <w:t>1.44%</w:t>
            </w:r>
          </w:p>
        </w:tc>
        <w:tc>
          <w:tcPr>
            <w:tcW w:w="622" w:type="pct"/>
            <w:vAlign w:val="center"/>
          </w:tcPr>
          <w:p w14:paraId="7D94082E" w14:textId="77777777" w:rsidR="00FC5A62" w:rsidRDefault="00C76273">
            <w:pPr>
              <w:widowControl/>
              <w:jc w:val="right"/>
              <w:rPr>
                <w:szCs w:val="21"/>
              </w:rPr>
            </w:pPr>
            <w:r>
              <w:rPr>
                <w:szCs w:val="21"/>
              </w:rPr>
              <w:t>3,659.76</w:t>
            </w:r>
          </w:p>
        </w:tc>
        <w:tc>
          <w:tcPr>
            <w:tcW w:w="623" w:type="pct"/>
            <w:vAlign w:val="center"/>
          </w:tcPr>
          <w:p w14:paraId="330AC7F8" w14:textId="77777777" w:rsidR="00FC5A62" w:rsidRDefault="00C76273">
            <w:pPr>
              <w:widowControl/>
              <w:jc w:val="right"/>
              <w:rPr>
                <w:szCs w:val="21"/>
              </w:rPr>
            </w:pPr>
            <w:r>
              <w:rPr>
                <w:szCs w:val="21"/>
              </w:rPr>
              <w:t>4.08%</w:t>
            </w:r>
          </w:p>
        </w:tc>
      </w:tr>
      <w:tr w:rsidR="00FC5A62" w14:paraId="0CC60620" w14:textId="77777777">
        <w:trPr>
          <w:trHeight w:val="397"/>
          <w:jc w:val="center"/>
        </w:trPr>
        <w:tc>
          <w:tcPr>
            <w:tcW w:w="539" w:type="pct"/>
            <w:vMerge/>
            <w:shd w:val="clear" w:color="auto" w:fill="auto"/>
            <w:noWrap/>
            <w:tcMar>
              <w:left w:w="0" w:type="dxa"/>
              <w:right w:w="0" w:type="dxa"/>
            </w:tcMar>
            <w:vAlign w:val="center"/>
          </w:tcPr>
          <w:p w14:paraId="6909C5AF" w14:textId="77777777" w:rsidR="00FC5A62" w:rsidRDefault="00FC5A62">
            <w:pPr>
              <w:widowControl/>
              <w:jc w:val="center"/>
              <w:rPr>
                <w:szCs w:val="21"/>
              </w:rPr>
            </w:pPr>
          </w:p>
        </w:tc>
        <w:tc>
          <w:tcPr>
            <w:tcW w:w="728" w:type="pct"/>
            <w:tcMar>
              <w:left w:w="0" w:type="dxa"/>
              <w:right w:w="0" w:type="dxa"/>
            </w:tcMar>
            <w:vAlign w:val="center"/>
          </w:tcPr>
          <w:p w14:paraId="36F1C8AE" w14:textId="77777777" w:rsidR="00FC5A62" w:rsidRDefault="00C76273">
            <w:pPr>
              <w:widowControl/>
              <w:jc w:val="center"/>
              <w:rPr>
                <w:b/>
                <w:bCs/>
                <w:szCs w:val="21"/>
              </w:rPr>
            </w:pPr>
            <w:r>
              <w:rPr>
                <w:b/>
                <w:bCs/>
                <w:szCs w:val="21"/>
              </w:rPr>
              <w:t>小计</w:t>
            </w:r>
          </w:p>
        </w:tc>
        <w:tc>
          <w:tcPr>
            <w:tcW w:w="622" w:type="pct"/>
            <w:vAlign w:val="center"/>
          </w:tcPr>
          <w:p w14:paraId="74AC8995" w14:textId="77777777" w:rsidR="00FC5A62" w:rsidRDefault="00C76273">
            <w:pPr>
              <w:widowControl/>
              <w:jc w:val="right"/>
              <w:rPr>
                <w:b/>
                <w:bCs/>
                <w:szCs w:val="21"/>
              </w:rPr>
            </w:pPr>
            <w:r>
              <w:rPr>
                <w:b/>
                <w:bCs/>
                <w:color w:val="000000"/>
                <w:szCs w:val="21"/>
              </w:rPr>
              <w:t>100,024.42</w:t>
            </w:r>
          </w:p>
        </w:tc>
        <w:tc>
          <w:tcPr>
            <w:tcW w:w="622" w:type="pct"/>
            <w:vAlign w:val="center"/>
          </w:tcPr>
          <w:p w14:paraId="1A27192F" w14:textId="77777777" w:rsidR="00FC5A62" w:rsidRDefault="00C76273">
            <w:pPr>
              <w:widowControl/>
              <w:jc w:val="right"/>
              <w:rPr>
                <w:b/>
                <w:bCs/>
                <w:szCs w:val="21"/>
              </w:rPr>
            </w:pPr>
            <w:r>
              <w:rPr>
                <w:rFonts w:hint="eastAsia"/>
                <w:b/>
                <w:bCs/>
                <w:color w:val="000000"/>
                <w:szCs w:val="21"/>
              </w:rPr>
              <w:t>82.61%</w:t>
            </w:r>
          </w:p>
        </w:tc>
        <w:tc>
          <w:tcPr>
            <w:tcW w:w="622" w:type="pct"/>
            <w:vAlign w:val="center"/>
          </w:tcPr>
          <w:p w14:paraId="68FDE3E2" w14:textId="77777777" w:rsidR="00FC5A62" w:rsidRDefault="00C76273">
            <w:pPr>
              <w:widowControl/>
              <w:jc w:val="right"/>
              <w:rPr>
                <w:b/>
                <w:bCs/>
                <w:szCs w:val="21"/>
              </w:rPr>
            </w:pPr>
            <w:r>
              <w:rPr>
                <w:b/>
                <w:bCs/>
                <w:color w:val="000000"/>
                <w:szCs w:val="21"/>
              </w:rPr>
              <w:t>234,970.38</w:t>
            </w:r>
          </w:p>
        </w:tc>
        <w:tc>
          <w:tcPr>
            <w:tcW w:w="622" w:type="pct"/>
            <w:vAlign w:val="center"/>
          </w:tcPr>
          <w:p w14:paraId="6F1C3DB3" w14:textId="77777777" w:rsidR="00FC5A62" w:rsidRDefault="00C76273">
            <w:pPr>
              <w:widowControl/>
              <w:jc w:val="right"/>
              <w:rPr>
                <w:b/>
                <w:bCs/>
                <w:szCs w:val="21"/>
              </w:rPr>
            </w:pPr>
            <w:r>
              <w:rPr>
                <w:b/>
                <w:bCs/>
                <w:color w:val="000000"/>
                <w:szCs w:val="21"/>
              </w:rPr>
              <w:t>82.68%</w:t>
            </w:r>
          </w:p>
        </w:tc>
        <w:tc>
          <w:tcPr>
            <w:tcW w:w="622" w:type="pct"/>
            <w:vAlign w:val="center"/>
          </w:tcPr>
          <w:p w14:paraId="2977EBBF" w14:textId="77777777" w:rsidR="00FC5A62" w:rsidRDefault="00C76273">
            <w:pPr>
              <w:widowControl/>
              <w:jc w:val="right"/>
              <w:rPr>
                <w:b/>
                <w:bCs/>
                <w:szCs w:val="21"/>
              </w:rPr>
            </w:pPr>
            <w:r>
              <w:rPr>
                <w:b/>
                <w:bCs/>
                <w:color w:val="000000"/>
                <w:szCs w:val="21"/>
              </w:rPr>
              <w:t>61,020.67</w:t>
            </w:r>
          </w:p>
        </w:tc>
        <w:tc>
          <w:tcPr>
            <w:tcW w:w="623" w:type="pct"/>
            <w:vAlign w:val="center"/>
          </w:tcPr>
          <w:p w14:paraId="789BD1A1" w14:textId="77777777" w:rsidR="00FC5A62" w:rsidRDefault="00C76273">
            <w:pPr>
              <w:widowControl/>
              <w:jc w:val="right"/>
              <w:rPr>
                <w:b/>
                <w:bCs/>
                <w:szCs w:val="21"/>
              </w:rPr>
            </w:pPr>
            <w:r>
              <w:rPr>
                <w:rFonts w:hint="eastAsia"/>
                <w:b/>
                <w:bCs/>
                <w:color w:val="000000"/>
                <w:szCs w:val="21"/>
              </w:rPr>
              <w:t>68.03%</w:t>
            </w:r>
          </w:p>
        </w:tc>
      </w:tr>
      <w:tr w:rsidR="00FC5A62" w14:paraId="5251472E" w14:textId="77777777">
        <w:trPr>
          <w:trHeight w:val="397"/>
          <w:jc w:val="center"/>
        </w:trPr>
        <w:tc>
          <w:tcPr>
            <w:tcW w:w="539" w:type="pct"/>
            <w:vMerge w:val="restart"/>
            <w:shd w:val="clear" w:color="auto" w:fill="auto"/>
            <w:noWrap/>
            <w:tcMar>
              <w:left w:w="0" w:type="dxa"/>
              <w:right w:w="0" w:type="dxa"/>
            </w:tcMar>
            <w:vAlign w:val="center"/>
          </w:tcPr>
          <w:p w14:paraId="23E5BE30" w14:textId="77777777" w:rsidR="00FC5A62" w:rsidRDefault="00C76273">
            <w:pPr>
              <w:widowControl/>
              <w:jc w:val="center"/>
              <w:rPr>
                <w:szCs w:val="21"/>
              </w:rPr>
            </w:pPr>
            <w:r>
              <w:rPr>
                <w:szCs w:val="21"/>
              </w:rPr>
              <w:t>电池</w:t>
            </w:r>
            <w:proofErr w:type="gramStart"/>
            <w:r>
              <w:rPr>
                <w:szCs w:val="21"/>
              </w:rPr>
              <w:t>片业务</w:t>
            </w:r>
            <w:proofErr w:type="gramEnd"/>
          </w:p>
        </w:tc>
        <w:tc>
          <w:tcPr>
            <w:tcW w:w="728" w:type="pct"/>
            <w:tcMar>
              <w:left w:w="0" w:type="dxa"/>
              <w:right w:w="0" w:type="dxa"/>
            </w:tcMar>
            <w:vAlign w:val="center"/>
          </w:tcPr>
          <w:p w14:paraId="3FBDF2A2" w14:textId="77777777" w:rsidR="00FC5A62" w:rsidRDefault="00C76273">
            <w:pPr>
              <w:widowControl/>
              <w:jc w:val="center"/>
              <w:rPr>
                <w:szCs w:val="21"/>
              </w:rPr>
            </w:pPr>
            <w:r>
              <w:rPr>
                <w:rFonts w:hint="eastAsia"/>
                <w:szCs w:val="21"/>
              </w:rPr>
              <w:t>东南亚地区</w:t>
            </w:r>
          </w:p>
        </w:tc>
        <w:tc>
          <w:tcPr>
            <w:tcW w:w="622" w:type="pct"/>
            <w:vAlign w:val="center"/>
          </w:tcPr>
          <w:p w14:paraId="7511F75B" w14:textId="77777777" w:rsidR="00FC5A62" w:rsidRDefault="00C76273">
            <w:pPr>
              <w:widowControl/>
              <w:jc w:val="right"/>
              <w:rPr>
                <w:szCs w:val="21"/>
              </w:rPr>
            </w:pPr>
            <w:r>
              <w:rPr>
                <w:color w:val="000000"/>
                <w:szCs w:val="21"/>
              </w:rPr>
              <w:t>19,856.87</w:t>
            </w:r>
          </w:p>
        </w:tc>
        <w:tc>
          <w:tcPr>
            <w:tcW w:w="622" w:type="pct"/>
            <w:vAlign w:val="center"/>
          </w:tcPr>
          <w:p w14:paraId="4D4B5B57" w14:textId="77777777" w:rsidR="00FC5A62" w:rsidRDefault="00C76273">
            <w:pPr>
              <w:widowControl/>
              <w:jc w:val="right"/>
              <w:rPr>
                <w:szCs w:val="21"/>
              </w:rPr>
            </w:pPr>
            <w:r>
              <w:rPr>
                <w:color w:val="000000"/>
                <w:szCs w:val="21"/>
              </w:rPr>
              <w:t>16.40%</w:t>
            </w:r>
          </w:p>
        </w:tc>
        <w:tc>
          <w:tcPr>
            <w:tcW w:w="622" w:type="pct"/>
            <w:vAlign w:val="center"/>
          </w:tcPr>
          <w:p w14:paraId="5EFBE70E" w14:textId="77777777" w:rsidR="00FC5A62" w:rsidRDefault="00C76273">
            <w:pPr>
              <w:widowControl/>
              <w:jc w:val="right"/>
              <w:rPr>
                <w:szCs w:val="21"/>
              </w:rPr>
            </w:pPr>
            <w:r>
              <w:rPr>
                <w:color w:val="000000"/>
                <w:szCs w:val="21"/>
              </w:rPr>
              <w:t xml:space="preserve">21,593.77 </w:t>
            </w:r>
          </w:p>
        </w:tc>
        <w:tc>
          <w:tcPr>
            <w:tcW w:w="622" w:type="pct"/>
            <w:vAlign w:val="center"/>
          </w:tcPr>
          <w:p w14:paraId="00DBE4BF" w14:textId="77777777" w:rsidR="00FC5A62" w:rsidRDefault="00C76273">
            <w:pPr>
              <w:widowControl/>
              <w:jc w:val="right"/>
              <w:rPr>
                <w:szCs w:val="21"/>
              </w:rPr>
            </w:pPr>
            <w:r>
              <w:rPr>
                <w:color w:val="000000"/>
                <w:szCs w:val="21"/>
              </w:rPr>
              <w:t>7.60%</w:t>
            </w:r>
          </w:p>
        </w:tc>
        <w:tc>
          <w:tcPr>
            <w:tcW w:w="622" w:type="pct"/>
            <w:vAlign w:val="center"/>
          </w:tcPr>
          <w:p w14:paraId="0EE33301" w14:textId="77777777" w:rsidR="00FC5A62" w:rsidRDefault="00C76273">
            <w:pPr>
              <w:widowControl/>
              <w:jc w:val="right"/>
              <w:rPr>
                <w:szCs w:val="21"/>
              </w:rPr>
            </w:pPr>
            <w:r>
              <w:rPr>
                <w:color w:val="000000"/>
                <w:szCs w:val="21"/>
              </w:rPr>
              <w:t xml:space="preserve">19,380.42 </w:t>
            </w:r>
          </w:p>
        </w:tc>
        <w:tc>
          <w:tcPr>
            <w:tcW w:w="623" w:type="pct"/>
            <w:vAlign w:val="center"/>
          </w:tcPr>
          <w:p w14:paraId="3D286902" w14:textId="77777777" w:rsidR="00FC5A62" w:rsidRDefault="00C76273">
            <w:pPr>
              <w:widowControl/>
              <w:jc w:val="right"/>
              <w:rPr>
                <w:szCs w:val="21"/>
              </w:rPr>
            </w:pPr>
            <w:r>
              <w:rPr>
                <w:color w:val="000000"/>
                <w:szCs w:val="21"/>
              </w:rPr>
              <w:t>21.61%</w:t>
            </w:r>
          </w:p>
        </w:tc>
      </w:tr>
      <w:tr w:rsidR="00FC5A62" w14:paraId="6263F574" w14:textId="77777777">
        <w:trPr>
          <w:trHeight w:val="397"/>
          <w:jc w:val="center"/>
        </w:trPr>
        <w:tc>
          <w:tcPr>
            <w:tcW w:w="539" w:type="pct"/>
            <w:vMerge/>
            <w:shd w:val="clear" w:color="auto" w:fill="auto"/>
            <w:noWrap/>
            <w:tcMar>
              <w:left w:w="0" w:type="dxa"/>
              <w:right w:w="0" w:type="dxa"/>
            </w:tcMar>
            <w:vAlign w:val="center"/>
          </w:tcPr>
          <w:p w14:paraId="1324A2F4" w14:textId="77777777" w:rsidR="00FC5A62" w:rsidRDefault="00FC5A62">
            <w:pPr>
              <w:widowControl/>
              <w:jc w:val="center"/>
              <w:rPr>
                <w:szCs w:val="21"/>
              </w:rPr>
            </w:pPr>
          </w:p>
        </w:tc>
        <w:tc>
          <w:tcPr>
            <w:tcW w:w="728" w:type="pct"/>
            <w:tcMar>
              <w:left w:w="0" w:type="dxa"/>
              <w:right w:w="0" w:type="dxa"/>
            </w:tcMar>
            <w:vAlign w:val="center"/>
          </w:tcPr>
          <w:p w14:paraId="7F8C2C0D" w14:textId="77777777" w:rsidR="00FC5A62" w:rsidRDefault="00C76273">
            <w:pPr>
              <w:widowControl/>
              <w:jc w:val="center"/>
              <w:rPr>
                <w:szCs w:val="21"/>
              </w:rPr>
            </w:pPr>
            <w:r>
              <w:rPr>
                <w:rFonts w:hint="eastAsia"/>
                <w:szCs w:val="21"/>
              </w:rPr>
              <w:t>其他地区</w:t>
            </w:r>
          </w:p>
        </w:tc>
        <w:tc>
          <w:tcPr>
            <w:tcW w:w="622" w:type="pct"/>
            <w:vAlign w:val="center"/>
          </w:tcPr>
          <w:p w14:paraId="3F82DE84" w14:textId="77777777" w:rsidR="00FC5A62" w:rsidRDefault="00C76273">
            <w:pPr>
              <w:widowControl/>
              <w:jc w:val="right"/>
              <w:rPr>
                <w:color w:val="000000"/>
                <w:szCs w:val="21"/>
              </w:rPr>
            </w:pPr>
            <w:r>
              <w:rPr>
                <w:color w:val="000000"/>
                <w:szCs w:val="21"/>
              </w:rPr>
              <w:t>1,197.48</w:t>
            </w:r>
          </w:p>
        </w:tc>
        <w:tc>
          <w:tcPr>
            <w:tcW w:w="622" w:type="pct"/>
            <w:vAlign w:val="center"/>
          </w:tcPr>
          <w:p w14:paraId="1A9F4818" w14:textId="77777777" w:rsidR="00FC5A62" w:rsidRDefault="00C76273">
            <w:pPr>
              <w:widowControl/>
              <w:jc w:val="right"/>
              <w:rPr>
                <w:color w:val="000000"/>
                <w:szCs w:val="21"/>
              </w:rPr>
            </w:pPr>
            <w:r>
              <w:rPr>
                <w:color w:val="000000"/>
                <w:szCs w:val="21"/>
              </w:rPr>
              <w:t>0.99%</w:t>
            </w:r>
          </w:p>
        </w:tc>
        <w:tc>
          <w:tcPr>
            <w:tcW w:w="622" w:type="pct"/>
            <w:vAlign w:val="center"/>
          </w:tcPr>
          <w:p w14:paraId="6B9D87E6" w14:textId="77777777" w:rsidR="00FC5A62" w:rsidRDefault="00C76273">
            <w:pPr>
              <w:widowControl/>
              <w:jc w:val="right"/>
              <w:rPr>
                <w:color w:val="000000"/>
                <w:szCs w:val="21"/>
              </w:rPr>
            </w:pPr>
            <w:r>
              <w:rPr>
                <w:color w:val="000000"/>
                <w:szCs w:val="21"/>
              </w:rPr>
              <w:t>27,579.13</w:t>
            </w:r>
          </w:p>
        </w:tc>
        <w:tc>
          <w:tcPr>
            <w:tcW w:w="622" w:type="pct"/>
            <w:vAlign w:val="center"/>
          </w:tcPr>
          <w:p w14:paraId="157371D3" w14:textId="77777777" w:rsidR="00FC5A62" w:rsidRDefault="00C76273">
            <w:pPr>
              <w:widowControl/>
              <w:jc w:val="right"/>
              <w:rPr>
                <w:color w:val="000000"/>
                <w:szCs w:val="21"/>
              </w:rPr>
            </w:pPr>
            <w:r>
              <w:rPr>
                <w:color w:val="000000"/>
                <w:szCs w:val="21"/>
              </w:rPr>
              <w:t>9.70%</w:t>
            </w:r>
          </w:p>
        </w:tc>
        <w:tc>
          <w:tcPr>
            <w:tcW w:w="622" w:type="pct"/>
            <w:vAlign w:val="center"/>
          </w:tcPr>
          <w:p w14:paraId="08E27B74" w14:textId="77777777" w:rsidR="00FC5A62" w:rsidRDefault="00C76273">
            <w:pPr>
              <w:widowControl/>
              <w:jc w:val="right"/>
              <w:rPr>
                <w:color w:val="000000"/>
                <w:szCs w:val="21"/>
              </w:rPr>
            </w:pPr>
            <w:r>
              <w:rPr>
                <w:color w:val="000000"/>
                <w:szCs w:val="21"/>
              </w:rPr>
              <w:t>1,388.67</w:t>
            </w:r>
          </w:p>
        </w:tc>
        <w:tc>
          <w:tcPr>
            <w:tcW w:w="623" w:type="pct"/>
            <w:vAlign w:val="center"/>
          </w:tcPr>
          <w:p w14:paraId="73A6D5C6" w14:textId="77777777" w:rsidR="00FC5A62" w:rsidRDefault="00C76273">
            <w:pPr>
              <w:widowControl/>
              <w:jc w:val="right"/>
              <w:rPr>
                <w:color w:val="000000"/>
                <w:szCs w:val="21"/>
              </w:rPr>
            </w:pPr>
            <w:r>
              <w:rPr>
                <w:color w:val="000000"/>
                <w:szCs w:val="21"/>
              </w:rPr>
              <w:t>1.55%</w:t>
            </w:r>
          </w:p>
        </w:tc>
      </w:tr>
      <w:tr w:rsidR="00FC5A62" w14:paraId="7513BE0C" w14:textId="77777777">
        <w:trPr>
          <w:trHeight w:val="397"/>
          <w:jc w:val="center"/>
        </w:trPr>
        <w:tc>
          <w:tcPr>
            <w:tcW w:w="539" w:type="pct"/>
            <w:vMerge/>
            <w:shd w:val="clear" w:color="auto" w:fill="auto"/>
            <w:noWrap/>
            <w:tcMar>
              <w:left w:w="0" w:type="dxa"/>
              <w:right w:w="0" w:type="dxa"/>
            </w:tcMar>
            <w:vAlign w:val="center"/>
          </w:tcPr>
          <w:p w14:paraId="2FCC4BF7" w14:textId="77777777" w:rsidR="00FC5A62" w:rsidRDefault="00FC5A62">
            <w:pPr>
              <w:widowControl/>
              <w:jc w:val="center"/>
              <w:rPr>
                <w:szCs w:val="21"/>
              </w:rPr>
            </w:pPr>
          </w:p>
        </w:tc>
        <w:tc>
          <w:tcPr>
            <w:tcW w:w="728" w:type="pct"/>
            <w:tcMar>
              <w:left w:w="0" w:type="dxa"/>
              <w:right w:w="0" w:type="dxa"/>
            </w:tcMar>
            <w:vAlign w:val="center"/>
          </w:tcPr>
          <w:p w14:paraId="4B8B20FD" w14:textId="77777777" w:rsidR="00FC5A62" w:rsidRDefault="00C76273">
            <w:pPr>
              <w:widowControl/>
              <w:jc w:val="center"/>
              <w:rPr>
                <w:b/>
                <w:bCs/>
                <w:szCs w:val="21"/>
              </w:rPr>
            </w:pPr>
            <w:r>
              <w:rPr>
                <w:rFonts w:hint="eastAsia"/>
                <w:b/>
                <w:bCs/>
                <w:szCs w:val="21"/>
              </w:rPr>
              <w:t>小计</w:t>
            </w:r>
          </w:p>
        </w:tc>
        <w:tc>
          <w:tcPr>
            <w:tcW w:w="622" w:type="pct"/>
            <w:vAlign w:val="center"/>
          </w:tcPr>
          <w:p w14:paraId="337D7715" w14:textId="77777777" w:rsidR="00FC5A62" w:rsidRDefault="00C76273">
            <w:pPr>
              <w:widowControl/>
              <w:jc w:val="right"/>
              <w:rPr>
                <w:b/>
                <w:bCs/>
                <w:color w:val="000000"/>
                <w:szCs w:val="21"/>
              </w:rPr>
            </w:pPr>
            <w:r>
              <w:rPr>
                <w:b/>
                <w:bCs/>
                <w:color w:val="000000"/>
                <w:szCs w:val="21"/>
              </w:rPr>
              <w:t>21,054.35</w:t>
            </w:r>
          </w:p>
        </w:tc>
        <w:tc>
          <w:tcPr>
            <w:tcW w:w="622" w:type="pct"/>
            <w:vAlign w:val="center"/>
          </w:tcPr>
          <w:p w14:paraId="6F4E2D0E" w14:textId="77777777" w:rsidR="00FC5A62" w:rsidRDefault="00C76273">
            <w:pPr>
              <w:widowControl/>
              <w:jc w:val="right"/>
              <w:rPr>
                <w:b/>
                <w:bCs/>
                <w:color w:val="000000"/>
                <w:szCs w:val="21"/>
              </w:rPr>
            </w:pPr>
            <w:r>
              <w:rPr>
                <w:rFonts w:hint="eastAsia"/>
                <w:b/>
                <w:bCs/>
                <w:color w:val="000000"/>
                <w:szCs w:val="21"/>
              </w:rPr>
              <w:t>17.39%</w:t>
            </w:r>
          </w:p>
        </w:tc>
        <w:tc>
          <w:tcPr>
            <w:tcW w:w="622" w:type="pct"/>
            <w:vAlign w:val="center"/>
          </w:tcPr>
          <w:p w14:paraId="2523566B" w14:textId="77777777" w:rsidR="00FC5A62" w:rsidRDefault="00C76273">
            <w:pPr>
              <w:widowControl/>
              <w:jc w:val="right"/>
              <w:rPr>
                <w:b/>
                <w:bCs/>
                <w:color w:val="000000"/>
                <w:szCs w:val="21"/>
              </w:rPr>
            </w:pPr>
            <w:r>
              <w:rPr>
                <w:b/>
                <w:bCs/>
                <w:color w:val="000000"/>
                <w:szCs w:val="21"/>
              </w:rPr>
              <w:t>49,172.90</w:t>
            </w:r>
          </w:p>
        </w:tc>
        <w:tc>
          <w:tcPr>
            <w:tcW w:w="622" w:type="pct"/>
            <w:vAlign w:val="center"/>
          </w:tcPr>
          <w:p w14:paraId="57B702BD" w14:textId="77777777" w:rsidR="00FC5A62" w:rsidRDefault="00C76273">
            <w:pPr>
              <w:widowControl/>
              <w:jc w:val="right"/>
              <w:rPr>
                <w:b/>
                <w:bCs/>
                <w:color w:val="000000"/>
                <w:szCs w:val="21"/>
              </w:rPr>
            </w:pPr>
            <w:r>
              <w:rPr>
                <w:b/>
                <w:bCs/>
                <w:color w:val="000000"/>
                <w:szCs w:val="21"/>
              </w:rPr>
              <w:t>17.30%</w:t>
            </w:r>
          </w:p>
        </w:tc>
        <w:tc>
          <w:tcPr>
            <w:tcW w:w="622" w:type="pct"/>
            <w:vAlign w:val="center"/>
          </w:tcPr>
          <w:p w14:paraId="22F0EB85" w14:textId="77777777" w:rsidR="00FC5A62" w:rsidRDefault="00C76273">
            <w:pPr>
              <w:widowControl/>
              <w:jc w:val="right"/>
              <w:rPr>
                <w:b/>
                <w:bCs/>
                <w:color w:val="000000"/>
                <w:szCs w:val="21"/>
              </w:rPr>
            </w:pPr>
            <w:r>
              <w:rPr>
                <w:b/>
                <w:bCs/>
                <w:color w:val="000000"/>
                <w:szCs w:val="21"/>
              </w:rPr>
              <w:t>20,769.09</w:t>
            </w:r>
          </w:p>
        </w:tc>
        <w:tc>
          <w:tcPr>
            <w:tcW w:w="623" w:type="pct"/>
            <w:vAlign w:val="center"/>
          </w:tcPr>
          <w:p w14:paraId="0F882583" w14:textId="77777777" w:rsidR="00FC5A62" w:rsidRDefault="00C76273">
            <w:pPr>
              <w:widowControl/>
              <w:jc w:val="right"/>
              <w:rPr>
                <w:b/>
                <w:bCs/>
                <w:color w:val="000000"/>
                <w:szCs w:val="21"/>
              </w:rPr>
            </w:pPr>
            <w:r>
              <w:rPr>
                <w:rFonts w:hint="eastAsia"/>
                <w:b/>
                <w:bCs/>
                <w:color w:val="000000"/>
                <w:szCs w:val="21"/>
              </w:rPr>
              <w:t>23.15%</w:t>
            </w:r>
          </w:p>
        </w:tc>
      </w:tr>
      <w:tr w:rsidR="00FC5A62" w14:paraId="2B52C2EC" w14:textId="77777777">
        <w:trPr>
          <w:trHeight w:val="397"/>
          <w:jc w:val="center"/>
        </w:trPr>
        <w:tc>
          <w:tcPr>
            <w:tcW w:w="539" w:type="pct"/>
            <w:shd w:val="clear" w:color="auto" w:fill="auto"/>
            <w:noWrap/>
            <w:tcMar>
              <w:left w:w="0" w:type="dxa"/>
              <w:right w:w="0" w:type="dxa"/>
            </w:tcMar>
            <w:vAlign w:val="center"/>
          </w:tcPr>
          <w:p w14:paraId="116EB9B0" w14:textId="77777777" w:rsidR="00FC5A62" w:rsidRDefault="00C76273">
            <w:pPr>
              <w:widowControl/>
              <w:jc w:val="center"/>
              <w:rPr>
                <w:szCs w:val="21"/>
              </w:rPr>
            </w:pPr>
            <w:r>
              <w:rPr>
                <w:szCs w:val="21"/>
              </w:rPr>
              <w:t>其他业务</w:t>
            </w:r>
          </w:p>
        </w:tc>
        <w:tc>
          <w:tcPr>
            <w:tcW w:w="728" w:type="pct"/>
            <w:tcMar>
              <w:left w:w="0" w:type="dxa"/>
              <w:right w:w="0" w:type="dxa"/>
            </w:tcMar>
            <w:vAlign w:val="center"/>
          </w:tcPr>
          <w:p w14:paraId="5FD65AFE" w14:textId="77777777" w:rsidR="00FC5A62" w:rsidRDefault="00C76273">
            <w:pPr>
              <w:widowControl/>
              <w:jc w:val="center"/>
              <w:rPr>
                <w:szCs w:val="21"/>
              </w:rPr>
            </w:pPr>
            <w:r>
              <w:rPr>
                <w:rFonts w:hint="eastAsia"/>
                <w:szCs w:val="21"/>
              </w:rPr>
              <w:t>其他</w:t>
            </w:r>
          </w:p>
        </w:tc>
        <w:tc>
          <w:tcPr>
            <w:tcW w:w="622" w:type="pct"/>
            <w:vAlign w:val="center"/>
          </w:tcPr>
          <w:p w14:paraId="3D6DBC1B" w14:textId="77777777" w:rsidR="00FC5A62" w:rsidRDefault="00C76273">
            <w:pPr>
              <w:widowControl/>
              <w:jc w:val="right"/>
              <w:rPr>
                <w:szCs w:val="21"/>
              </w:rPr>
            </w:pPr>
            <w:r>
              <w:rPr>
                <w:color w:val="000000"/>
                <w:szCs w:val="21"/>
              </w:rPr>
              <w:t>4.13</w:t>
            </w:r>
          </w:p>
        </w:tc>
        <w:tc>
          <w:tcPr>
            <w:tcW w:w="622" w:type="pct"/>
            <w:vAlign w:val="center"/>
          </w:tcPr>
          <w:p w14:paraId="35D63EFC" w14:textId="77777777" w:rsidR="00FC5A62" w:rsidRDefault="00C76273">
            <w:pPr>
              <w:widowControl/>
              <w:jc w:val="right"/>
              <w:rPr>
                <w:szCs w:val="21"/>
              </w:rPr>
            </w:pPr>
            <w:r>
              <w:rPr>
                <w:rFonts w:hint="eastAsia"/>
                <w:color w:val="000000"/>
                <w:szCs w:val="21"/>
              </w:rPr>
              <w:t>0.00%</w:t>
            </w:r>
          </w:p>
        </w:tc>
        <w:tc>
          <w:tcPr>
            <w:tcW w:w="622" w:type="pct"/>
            <w:vAlign w:val="center"/>
          </w:tcPr>
          <w:p w14:paraId="773B27F4" w14:textId="77777777" w:rsidR="00FC5A62" w:rsidRDefault="00C76273">
            <w:pPr>
              <w:widowControl/>
              <w:jc w:val="right"/>
              <w:rPr>
                <w:szCs w:val="21"/>
              </w:rPr>
            </w:pPr>
            <w:r>
              <w:rPr>
                <w:color w:val="000000"/>
                <w:szCs w:val="21"/>
              </w:rPr>
              <w:t>43.33</w:t>
            </w:r>
          </w:p>
        </w:tc>
        <w:tc>
          <w:tcPr>
            <w:tcW w:w="622" w:type="pct"/>
            <w:vAlign w:val="center"/>
          </w:tcPr>
          <w:p w14:paraId="3378B6C0" w14:textId="77777777" w:rsidR="00FC5A62" w:rsidRDefault="00C76273">
            <w:pPr>
              <w:widowControl/>
              <w:jc w:val="right"/>
              <w:rPr>
                <w:szCs w:val="21"/>
              </w:rPr>
            </w:pPr>
            <w:r>
              <w:rPr>
                <w:color w:val="000000"/>
                <w:szCs w:val="21"/>
              </w:rPr>
              <w:t>0.02%</w:t>
            </w:r>
          </w:p>
        </w:tc>
        <w:tc>
          <w:tcPr>
            <w:tcW w:w="622" w:type="pct"/>
            <w:vAlign w:val="center"/>
          </w:tcPr>
          <w:p w14:paraId="3907A803" w14:textId="77777777" w:rsidR="00FC5A62" w:rsidRDefault="00C76273">
            <w:pPr>
              <w:widowControl/>
              <w:jc w:val="right"/>
              <w:rPr>
                <w:szCs w:val="21"/>
              </w:rPr>
            </w:pPr>
            <w:r>
              <w:rPr>
                <w:color w:val="000000"/>
                <w:szCs w:val="21"/>
              </w:rPr>
              <w:t>7,908.06</w:t>
            </w:r>
          </w:p>
        </w:tc>
        <w:tc>
          <w:tcPr>
            <w:tcW w:w="623" w:type="pct"/>
            <w:vAlign w:val="center"/>
          </w:tcPr>
          <w:p w14:paraId="75C540C5" w14:textId="77777777" w:rsidR="00FC5A62" w:rsidRDefault="00C76273">
            <w:pPr>
              <w:widowControl/>
              <w:jc w:val="right"/>
              <w:rPr>
                <w:szCs w:val="21"/>
              </w:rPr>
            </w:pPr>
            <w:r>
              <w:rPr>
                <w:rFonts w:hint="eastAsia"/>
                <w:color w:val="000000"/>
                <w:szCs w:val="21"/>
              </w:rPr>
              <w:t>8.82%</w:t>
            </w:r>
          </w:p>
        </w:tc>
      </w:tr>
      <w:tr w:rsidR="00FC5A62" w14:paraId="545DA52A" w14:textId="77777777">
        <w:trPr>
          <w:trHeight w:val="397"/>
          <w:jc w:val="center"/>
        </w:trPr>
        <w:tc>
          <w:tcPr>
            <w:tcW w:w="1267" w:type="pct"/>
            <w:gridSpan w:val="2"/>
            <w:shd w:val="clear" w:color="auto" w:fill="auto"/>
            <w:noWrap/>
            <w:tcMar>
              <w:left w:w="0" w:type="dxa"/>
              <w:right w:w="0" w:type="dxa"/>
            </w:tcMar>
            <w:vAlign w:val="center"/>
          </w:tcPr>
          <w:p w14:paraId="210CAD3B" w14:textId="77777777" w:rsidR="00FC5A62" w:rsidRDefault="00C76273">
            <w:pPr>
              <w:widowControl/>
              <w:jc w:val="center"/>
              <w:rPr>
                <w:b/>
                <w:bCs/>
                <w:szCs w:val="21"/>
              </w:rPr>
            </w:pPr>
            <w:r>
              <w:rPr>
                <w:b/>
                <w:bCs/>
                <w:szCs w:val="21"/>
              </w:rPr>
              <w:t>合计</w:t>
            </w:r>
          </w:p>
        </w:tc>
        <w:tc>
          <w:tcPr>
            <w:tcW w:w="622" w:type="pct"/>
            <w:vAlign w:val="center"/>
          </w:tcPr>
          <w:p w14:paraId="7E5E6D92" w14:textId="77777777" w:rsidR="00FC5A62" w:rsidRDefault="00C76273">
            <w:pPr>
              <w:widowControl/>
              <w:jc w:val="right"/>
              <w:rPr>
                <w:b/>
                <w:bCs/>
                <w:szCs w:val="21"/>
              </w:rPr>
            </w:pPr>
            <w:r>
              <w:rPr>
                <w:b/>
                <w:bCs/>
                <w:color w:val="000000"/>
                <w:szCs w:val="21"/>
              </w:rPr>
              <w:t>121,082.90</w:t>
            </w:r>
          </w:p>
        </w:tc>
        <w:tc>
          <w:tcPr>
            <w:tcW w:w="622" w:type="pct"/>
            <w:vAlign w:val="center"/>
          </w:tcPr>
          <w:p w14:paraId="079E82A3" w14:textId="77777777" w:rsidR="00FC5A62" w:rsidRDefault="00C76273">
            <w:pPr>
              <w:widowControl/>
              <w:jc w:val="right"/>
              <w:rPr>
                <w:b/>
                <w:bCs/>
                <w:szCs w:val="21"/>
              </w:rPr>
            </w:pPr>
            <w:r>
              <w:rPr>
                <w:rFonts w:hint="eastAsia"/>
                <w:b/>
                <w:bCs/>
                <w:color w:val="000000"/>
                <w:szCs w:val="21"/>
              </w:rPr>
              <w:t>100.00%</w:t>
            </w:r>
          </w:p>
        </w:tc>
        <w:tc>
          <w:tcPr>
            <w:tcW w:w="622" w:type="pct"/>
            <w:vAlign w:val="center"/>
          </w:tcPr>
          <w:p w14:paraId="67065FC9" w14:textId="77777777" w:rsidR="00FC5A62" w:rsidRDefault="00C76273">
            <w:pPr>
              <w:widowControl/>
              <w:jc w:val="right"/>
              <w:rPr>
                <w:b/>
                <w:bCs/>
                <w:szCs w:val="21"/>
              </w:rPr>
            </w:pPr>
            <w:r>
              <w:rPr>
                <w:b/>
                <w:bCs/>
                <w:color w:val="000000"/>
                <w:szCs w:val="21"/>
              </w:rPr>
              <w:t>284,186.61</w:t>
            </w:r>
          </w:p>
        </w:tc>
        <w:tc>
          <w:tcPr>
            <w:tcW w:w="622" w:type="pct"/>
            <w:vAlign w:val="center"/>
          </w:tcPr>
          <w:p w14:paraId="7A95812D" w14:textId="77777777" w:rsidR="00FC5A62" w:rsidRDefault="00C76273">
            <w:pPr>
              <w:widowControl/>
              <w:jc w:val="right"/>
              <w:rPr>
                <w:b/>
                <w:bCs/>
                <w:szCs w:val="21"/>
              </w:rPr>
            </w:pPr>
            <w:r>
              <w:rPr>
                <w:b/>
                <w:bCs/>
                <w:color w:val="000000"/>
                <w:szCs w:val="21"/>
              </w:rPr>
              <w:t>100.00%</w:t>
            </w:r>
          </w:p>
        </w:tc>
        <w:tc>
          <w:tcPr>
            <w:tcW w:w="622" w:type="pct"/>
            <w:vAlign w:val="center"/>
          </w:tcPr>
          <w:p w14:paraId="54898F69" w14:textId="77777777" w:rsidR="00FC5A62" w:rsidRDefault="00C76273">
            <w:pPr>
              <w:widowControl/>
              <w:jc w:val="right"/>
              <w:rPr>
                <w:b/>
                <w:bCs/>
                <w:szCs w:val="21"/>
              </w:rPr>
            </w:pPr>
            <w:r>
              <w:rPr>
                <w:b/>
                <w:bCs/>
                <w:color w:val="000000"/>
                <w:szCs w:val="21"/>
              </w:rPr>
              <w:t>89,697.82</w:t>
            </w:r>
          </w:p>
        </w:tc>
        <w:tc>
          <w:tcPr>
            <w:tcW w:w="623" w:type="pct"/>
            <w:vAlign w:val="center"/>
          </w:tcPr>
          <w:p w14:paraId="3C4F96EC" w14:textId="77777777" w:rsidR="00FC5A62" w:rsidRDefault="00C76273">
            <w:pPr>
              <w:widowControl/>
              <w:jc w:val="right"/>
              <w:rPr>
                <w:b/>
                <w:bCs/>
                <w:szCs w:val="21"/>
              </w:rPr>
            </w:pPr>
            <w:r>
              <w:rPr>
                <w:rFonts w:hint="eastAsia"/>
                <w:b/>
                <w:bCs/>
                <w:color w:val="000000"/>
                <w:szCs w:val="21"/>
              </w:rPr>
              <w:t>100.00%</w:t>
            </w:r>
          </w:p>
        </w:tc>
      </w:tr>
    </w:tbl>
    <w:p w14:paraId="27961666" w14:textId="77777777" w:rsidR="00FC5A62" w:rsidRDefault="00C76273">
      <w:pPr>
        <w:pStyle w:val="af3"/>
      </w:pPr>
      <w:r>
        <w:rPr>
          <w:rFonts w:hint="eastAsia"/>
        </w:rPr>
        <w:t>注：以上财务数据未经审计</w:t>
      </w:r>
    </w:p>
    <w:p w14:paraId="43E60E3D" w14:textId="77777777" w:rsidR="00FC5A62" w:rsidRDefault="00C76273" w:rsidP="006E1C3D">
      <w:pPr>
        <w:spacing w:beforeLines="50" w:before="156" w:afterLines="50" w:after="156" w:line="360" w:lineRule="auto"/>
        <w:ind w:firstLineChars="200" w:firstLine="482"/>
        <w:outlineLvl w:val="4"/>
        <w:rPr>
          <w:b/>
          <w:bCs/>
          <w:sz w:val="24"/>
        </w:rPr>
      </w:pPr>
      <w:r>
        <w:rPr>
          <w:rFonts w:hint="eastAsia"/>
          <w:b/>
          <w:bCs/>
          <w:sz w:val="24"/>
        </w:rPr>
        <w:t>4</w:t>
      </w:r>
      <w:r>
        <w:rPr>
          <w:rFonts w:hint="eastAsia"/>
          <w:b/>
          <w:bCs/>
          <w:sz w:val="24"/>
        </w:rPr>
        <w:t>、行业地位</w:t>
      </w:r>
    </w:p>
    <w:p w14:paraId="6BBD0310" w14:textId="77777777" w:rsidR="00FC5A62" w:rsidRDefault="00C76273" w:rsidP="006E1C3D">
      <w:pPr>
        <w:spacing w:beforeLines="50" w:before="156" w:afterLines="50" w:after="156" w:line="360" w:lineRule="auto"/>
        <w:ind w:firstLineChars="200" w:firstLine="480"/>
        <w:rPr>
          <w:color w:val="000000"/>
          <w:sz w:val="24"/>
        </w:rPr>
      </w:pPr>
      <w:r>
        <w:rPr>
          <w:rFonts w:hint="eastAsia"/>
          <w:color w:val="000000"/>
          <w:sz w:val="24"/>
        </w:rPr>
        <w:t>标的公司多年深耕光伏组件及光伏电池片行业，建立了强大的品牌影响力，得到了业内的广泛认可。自</w:t>
      </w:r>
      <w:r>
        <w:rPr>
          <w:rFonts w:hint="eastAsia"/>
          <w:color w:val="000000"/>
          <w:sz w:val="24"/>
        </w:rPr>
        <w:t>2012</w:t>
      </w:r>
      <w:r>
        <w:rPr>
          <w:rFonts w:hint="eastAsia"/>
          <w:color w:val="000000"/>
          <w:sz w:val="24"/>
        </w:rPr>
        <w:t>年起，标的公司旗</w:t>
      </w:r>
      <w:proofErr w:type="gramStart"/>
      <w:r>
        <w:rPr>
          <w:rFonts w:hint="eastAsia"/>
          <w:color w:val="000000"/>
          <w:sz w:val="24"/>
        </w:rPr>
        <w:t>下品牌</w:t>
      </w:r>
      <w:proofErr w:type="gramEnd"/>
      <w:r>
        <w:rPr>
          <w:rFonts w:hint="eastAsia"/>
          <w:color w:val="000000"/>
          <w:sz w:val="24"/>
        </w:rPr>
        <w:t>ET Solar/</w:t>
      </w:r>
      <w:r>
        <w:rPr>
          <w:color w:val="000000"/>
          <w:sz w:val="24"/>
        </w:rPr>
        <w:t xml:space="preserve"> </w:t>
      </w:r>
      <w:proofErr w:type="spellStart"/>
      <w:r>
        <w:rPr>
          <w:rFonts w:hint="eastAsia"/>
          <w:color w:val="000000"/>
          <w:sz w:val="24"/>
        </w:rPr>
        <w:t>EliTe</w:t>
      </w:r>
      <w:proofErr w:type="spellEnd"/>
      <w:r>
        <w:rPr>
          <w:rFonts w:hint="eastAsia"/>
          <w:color w:val="000000"/>
          <w:sz w:val="24"/>
        </w:rPr>
        <w:t xml:space="preserve"> Solar</w:t>
      </w:r>
      <w:r>
        <w:rPr>
          <w:rFonts w:hint="eastAsia"/>
          <w:color w:val="000000"/>
          <w:sz w:val="24"/>
        </w:rPr>
        <w:t>连续十二年位列彭博新能源财经“全球一线组件制造商</w:t>
      </w:r>
      <w:r>
        <w:rPr>
          <w:rFonts w:hint="eastAsia"/>
          <w:color w:val="000000"/>
          <w:sz w:val="24"/>
        </w:rPr>
        <w:t>(BNEF Tier 1)</w:t>
      </w:r>
      <w:r>
        <w:rPr>
          <w:rFonts w:hint="eastAsia"/>
          <w:color w:val="000000"/>
          <w:sz w:val="24"/>
        </w:rPr>
        <w:t>”；</w:t>
      </w:r>
      <w:r>
        <w:rPr>
          <w:rFonts w:hint="eastAsia"/>
          <w:color w:val="000000"/>
          <w:sz w:val="24"/>
        </w:rPr>
        <w:t>2021-2023</w:t>
      </w:r>
      <w:r>
        <w:rPr>
          <w:rFonts w:hint="eastAsia"/>
          <w:color w:val="000000"/>
          <w:sz w:val="24"/>
        </w:rPr>
        <w:t>年，其核心产品连续三年荣获全球权威独立光伏组件性能测试实验室</w:t>
      </w:r>
      <w:r>
        <w:rPr>
          <w:rFonts w:hint="eastAsia"/>
          <w:color w:val="000000"/>
          <w:sz w:val="24"/>
        </w:rPr>
        <w:t>PVEL</w:t>
      </w:r>
      <w:r>
        <w:rPr>
          <w:rFonts w:hint="eastAsia"/>
          <w:color w:val="000000"/>
          <w:sz w:val="24"/>
        </w:rPr>
        <w:t>认证的“全球最佳表现”组件制造商；</w:t>
      </w:r>
      <w:r>
        <w:rPr>
          <w:rFonts w:hint="eastAsia"/>
          <w:color w:val="000000"/>
          <w:sz w:val="24"/>
        </w:rPr>
        <w:t>2022</w:t>
      </w:r>
      <w:r>
        <w:rPr>
          <w:rFonts w:hint="eastAsia"/>
          <w:color w:val="000000"/>
          <w:sz w:val="24"/>
        </w:rPr>
        <w:t>年荣获全球权威调研机构</w:t>
      </w:r>
      <w:r>
        <w:rPr>
          <w:rFonts w:hint="eastAsia"/>
          <w:color w:val="000000"/>
          <w:sz w:val="24"/>
        </w:rPr>
        <w:t>EUPD Research</w:t>
      </w:r>
      <w:r>
        <w:rPr>
          <w:rFonts w:hint="eastAsia"/>
          <w:color w:val="000000"/>
          <w:sz w:val="24"/>
        </w:rPr>
        <w:t>认证的“美国地区顶级光伏品牌”。</w:t>
      </w:r>
    </w:p>
    <w:p w14:paraId="4D2B72E6" w14:textId="077C089B" w:rsidR="00FC5A62" w:rsidRPr="00042396" w:rsidRDefault="00C76273" w:rsidP="006E1C3D">
      <w:pPr>
        <w:spacing w:beforeLines="50" w:before="156" w:afterLines="50" w:after="156" w:line="360" w:lineRule="auto"/>
        <w:ind w:firstLineChars="200" w:firstLine="480"/>
        <w:rPr>
          <w:color w:val="000000"/>
          <w:sz w:val="24"/>
        </w:rPr>
      </w:pPr>
      <w:r w:rsidRPr="00042396">
        <w:rPr>
          <w:rFonts w:hint="eastAsia"/>
          <w:color w:val="000000"/>
          <w:sz w:val="24"/>
        </w:rPr>
        <w:t>标的公司也通过在越南、柬埔寨等国家建立电池片生产基地，并不断扩大产能，建立产业链优势，提高了在组件终端市场的影响力。根据</w:t>
      </w:r>
      <w:proofErr w:type="spellStart"/>
      <w:r w:rsidRPr="00042396">
        <w:rPr>
          <w:rFonts w:hint="eastAsia"/>
          <w:sz w:val="24"/>
        </w:rPr>
        <w:t>InfoLink</w:t>
      </w:r>
      <w:proofErr w:type="spellEnd"/>
      <w:r w:rsidRPr="00042396">
        <w:rPr>
          <w:rFonts w:hint="eastAsia"/>
          <w:color w:val="000000"/>
          <w:sz w:val="24"/>
        </w:rPr>
        <w:t>公开数据披露，标的公司电池产能在东南亚地区进入前十排名。</w:t>
      </w:r>
    </w:p>
    <w:p w14:paraId="16E3C596" w14:textId="77777777" w:rsidR="00FC5A62" w:rsidRDefault="00C76273" w:rsidP="006E1C3D">
      <w:pPr>
        <w:spacing w:beforeLines="50" w:before="156" w:afterLines="50" w:after="156" w:line="360" w:lineRule="auto"/>
        <w:ind w:firstLineChars="200" w:firstLine="482"/>
        <w:outlineLvl w:val="4"/>
        <w:rPr>
          <w:b/>
          <w:bCs/>
          <w:kern w:val="0"/>
          <w:sz w:val="24"/>
        </w:rPr>
      </w:pPr>
      <w:r>
        <w:rPr>
          <w:rFonts w:hint="eastAsia"/>
          <w:b/>
          <w:bCs/>
          <w:kern w:val="0"/>
          <w:sz w:val="24"/>
        </w:rPr>
        <w:t>5</w:t>
      </w:r>
      <w:r>
        <w:rPr>
          <w:rFonts w:hint="eastAsia"/>
          <w:b/>
          <w:bCs/>
          <w:kern w:val="0"/>
          <w:sz w:val="24"/>
        </w:rPr>
        <w:t>、</w:t>
      </w:r>
      <w:r>
        <w:rPr>
          <w:b/>
          <w:bCs/>
          <w:kern w:val="0"/>
          <w:sz w:val="24"/>
        </w:rPr>
        <w:t>区分业务板块说明标的公司业绩自</w:t>
      </w:r>
      <w:r>
        <w:rPr>
          <w:b/>
          <w:bCs/>
          <w:kern w:val="0"/>
          <w:sz w:val="24"/>
        </w:rPr>
        <w:t>2022</w:t>
      </w:r>
      <w:r>
        <w:rPr>
          <w:b/>
          <w:bCs/>
          <w:kern w:val="0"/>
          <w:sz w:val="24"/>
        </w:rPr>
        <w:t>年以来大幅增长的主要原因及合理性</w:t>
      </w:r>
    </w:p>
    <w:p w14:paraId="3B1FD1C7" w14:textId="77777777" w:rsidR="00FC5A62" w:rsidRDefault="00C76273" w:rsidP="006E1C3D">
      <w:pPr>
        <w:spacing w:beforeLines="50" w:before="156" w:afterLines="50" w:after="156" w:line="360" w:lineRule="auto"/>
        <w:ind w:firstLineChars="200" w:firstLine="480"/>
        <w:rPr>
          <w:sz w:val="24"/>
        </w:rPr>
      </w:pPr>
      <w:r>
        <w:rPr>
          <w:rFonts w:hint="eastAsia"/>
          <w:sz w:val="24"/>
        </w:rPr>
        <w:t>标的公司的主营业务为光伏组件及电池片的生产及销售，同时存在少量的辅料、配件等销售业务。</w:t>
      </w:r>
    </w:p>
    <w:p w14:paraId="4EBF814E" w14:textId="77777777" w:rsidR="00FC5A62" w:rsidRDefault="00C76273" w:rsidP="006E1C3D">
      <w:pPr>
        <w:spacing w:beforeLines="50" w:before="156" w:afterLines="50" w:after="156" w:line="360" w:lineRule="auto"/>
        <w:ind w:firstLineChars="200" w:firstLine="480"/>
        <w:rPr>
          <w:sz w:val="24"/>
        </w:rPr>
      </w:pPr>
      <w:r>
        <w:rPr>
          <w:rFonts w:hint="eastAsia"/>
          <w:sz w:val="24"/>
        </w:rPr>
        <w:t>2021</w:t>
      </w:r>
      <w:r>
        <w:rPr>
          <w:rFonts w:hint="eastAsia"/>
          <w:sz w:val="24"/>
        </w:rPr>
        <w:t>年、</w:t>
      </w:r>
      <w:r>
        <w:rPr>
          <w:rFonts w:hint="eastAsia"/>
          <w:sz w:val="24"/>
        </w:rPr>
        <w:t>2022</w:t>
      </w:r>
      <w:r>
        <w:rPr>
          <w:rFonts w:hint="eastAsia"/>
          <w:sz w:val="24"/>
        </w:rPr>
        <w:t>年及</w:t>
      </w:r>
      <w:r>
        <w:rPr>
          <w:rFonts w:hint="eastAsia"/>
          <w:sz w:val="24"/>
        </w:rPr>
        <w:t>2023</w:t>
      </w:r>
      <w:r>
        <w:rPr>
          <w:rFonts w:hint="eastAsia"/>
          <w:sz w:val="24"/>
        </w:rPr>
        <w:t>年一季度，标的公司主营业务收入构成如下：</w:t>
      </w:r>
    </w:p>
    <w:p w14:paraId="23D06827" w14:textId="77777777" w:rsidR="00FC5A62" w:rsidRDefault="00C76273" w:rsidP="00B3219A">
      <w:pPr>
        <w:ind w:firstLineChars="200" w:firstLine="420"/>
        <w:jc w:val="right"/>
        <w:rPr>
          <w:rFonts w:ascii="宋体" w:hAnsiTheme="minorHAnsi" w:cs="宋体"/>
          <w:kern w:val="0"/>
          <w:szCs w:val="21"/>
        </w:rPr>
      </w:pPr>
      <w:r>
        <w:rPr>
          <w:rFonts w:ascii="宋体" w:hAnsiTheme="minorHAnsi" w:cs="宋体" w:hint="eastAsia"/>
          <w:kern w:val="0"/>
          <w:szCs w:val="21"/>
        </w:rPr>
        <w:t>单位：万元</w:t>
      </w:r>
    </w:p>
    <w:tbl>
      <w:tblPr>
        <w:tblStyle w:val="ae"/>
        <w:tblW w:w="5123" w:type="pct"/>
        <w:jc w:val="center"/>
        <w:tblLayout w:type="fixed"/>
        <w:tblLook w:val="04A0" w:firstRow="1" w:lastRow="0" w:firstColumn="1" w:lastColumn="0" w:noHBand="0" w:noVBand="1"/>
      </w:tblPr>
      <w:tblGrid>
        <w:gridCol w:w="1115"/>
        <w:gridCol w:w="1268"/>
        <w:gridCol w:w="1271"/>
        <w:gridCol w:w="1270"/>
        <w:gridCol w:w="1270"/>
        <w:gridCol w:w="1270"/>
        <w:gridCol w:w="1268"/>
      </w:tblGrid>
      <w:tr w:rsidR="00FC5A62" w14:paraId="4BD7EB73" w14:textId="77777777">
        <w:trPr>
          <w:trHeight w:val="397"/>
          <w:jc w:val="center"/>
        </w:trPr>
        <w:tc>
          <w:tcPr>
            <w:tcW w:w="639" w:type="pct"/>
            <w:vMerge w:val="restart"/>
            <w:shd w:val="clear" w:color="auto" w:fill="auto"/>
            <w:vAlign w:val="center"/>
          </w:tcPr>
          <w:p w14:paraId="0D385957" w14:textId="77777777" w:rsidR="00FC5A62" w:rsidRDefault="00C76273">
            <w:pPr>
              <w:widowControl/>
              <w:snapToGrid w:val="0"/>
              <w:jc w:val="center"/>
              <w:rPr>
                <w:b/>
                <w:szCs w:val="21"/>
              </w:rPr>
            </w:pPr>
            <w:bookmarkStart w:id="6" w:name="_Hlk147916795"/>
            <w:r>
              <w:rPr>
                <w:b/>
                <w:szCs w:val="21"/>
              </w:rPr>
              <w:t>项目</w:t>
            </w:r>
          </w:p>
        </w:tc>
        <w:tc>
          <w:tcPr>
            <w:tcW w:w="1454" w:type="pct"/>
            <w:gridSpan w:val="2"/>
            <w:shd w:val="clear" w:color="auto" w:fill="auto"/>
            <w:vAlign w:val="center"/>
          </w:tcPr>
          <w:p w14:paraId="45C828C9" w14:textId="77777777" w:rsidR="00FC5A62" w:rsidRDefault="00C76273">
            <w:pPr>
              <w:widowControl/>
              <w:snapToGrid w:val="0"/>
              <w:jc w:val="center"/>
              <w:rPr>
                <w:b/>
                <w:szCs w:val="21"/>
              </w:rPr>
            </w:pPr>
            <w:r>
              <w:rPr>
                <w:b/>
                <w:szCs w:val="21"/>
              </w:rPr>
              <w:t>2023</w:t>
            </w:r>
            <w:r>
              <w:rPr>
                <w:b/>
                <w:szCs w:val="21"/>
              </w:rPr>
              <w:t>年</w:t>
            </w:r>
            <w:r>
              <w:rPr>
                <w:b/>
                <w:szCs w:val="21"/>
              </w:rPr>
              <w:t>1-3</w:t>
            </w:r>
            <w:r>
              <w:rPr>
                <w:b/>
                <w:szCs w:val="21"/>
              </w:rPr>
              <w:t>月</w:t>
            </w:r>
          </w:p>
        </w:tc>
        <w:tc>
          <w:tcPr>
            <w:tcW w:w="1454" w:type="pct"/>
            <w:gridSpan w:val="2"/>
            <w:shd w:val="clear" w:color="auto" w:fill="auto"/>
            <w:vAlign w:val="center"/>
          </w:tcPr>
          <w:p w14:paraId="2AD17A1E" w14:textId="77777777" w:rsidR="00FC5A62" w:rsidRDefault="00C76273">
            <w:pPr>
              <w:widowControl/>
              <w:snapToGrid w:val="0"/>
              <w:jc w:val="center"/>
              <w:rPr>
                <w:b/>
                <w:szCs w:val="21"/>
              </w:rPr>
            </w:pPr>
            <w:r>
              <w:rPr>
                <w:b/>
                <w:szCs w:val="21"/>
              </w:rPr>
              <w:t>2022</w:t>
            </w:r>
            <w:r>
              <w:rPr>
                <w:b/>
                <w:szCs w:val="21"/>
              </w:rPr>
              <w:t>年度</w:t>
            </w:r>
          </w:p>
        </w:tc>
        <w:tc>
          <w:tcPr>
            <w:tcW w:w="1454" w:type="pct"/>
            <w:gridSpan w:val="2"/>
            <w:shd w:val="clear" w:color="auto" w:fill="auto"/>
            <w:vAlign w:val="center"/>
          </w:tcPr>
          <w:p w14:paraId="4146953C" w14:textId="77777777" w:rsidR="00FC5A62" w:rsidRDefault="00C76273">
            <w:pPr>
              <w:widowControl/>
              <w:snapToGrid w:val="0"/>
              <w:jc w:val="center"/>
              <w:rPr>
                <w:b/>
                <w:szCs w:val="21"/>
              </w:rPr>
            </w:pPr>
            <w:r>
              <w:rPr>
                <w:b/>
                <w:szCs w:val="21"/>
              </w:rPr>
              <w:t>2021</w:t>
            </w:r>
            <w:r>
              <w:rPr>
                <w:b/>
                <w:szCs w:val="21"/>
              </w:rPr>
              <w:t>年度</w:t>
            </w:r>
          </w:p>
        </w:tc>
      </w:tr>
      <w:tr w:rsidR="00FC5A62" w14:paraId="4874AE85" w14:textId="77777777">
        <w:trPr>
          <w:trHeight w:val="397"/>
          <w:jc w:val="center"/>
        </w:trPr>
        <w:tc>
          <w:tcPr>
            <w:tcW w:w="639" w:type="pct"/>
            <w:vMerge/>
            <w:shd w:val="clear" w:color="auto" w:fill="auto"/>
            <w:vAlign w:val="center"/>
          </w:tcPr>
          <w:p w14:paraId="35706DA6" w14:textId="77777777" w:rsidR="00FC5A62" w:rsidRDefault="00FC5A62">
            <w:pPr>
              <w:widowControl/>
              <w:snapToGrid w:val="0"/>
              <w:jc w:val="center"/>
              <w:rPr>
                <w:b/>
                <w:szCs w:val="21"/>
              </w:rPr>
            </w:pPr>
          </w:p>
        </w:tc>
        <w:tc>
          <w:tcPr>
            <w:tcW w:w="726" w:type="pct"/>
            <w:shd w:val="clear" w:color="auto" w:fill="auto"/>
            <w:vAlign w:val="center"/>
          </w:tcPr>
          <w:p w14:paraId="352B4F19" w14:textId="77777777" w:rsidR="00FC5A62" w:rsidRDefault="00C76273">
            <w:pPr>
              <w:widowControl/>
              <w:snapToGrid w:val="0"/>
              <w:jc w:val="center"/>
              <w:rPr>
                <w:b/>
                <w:szCs w:val="21"/>
              </w:rPr>
            </w:pPr>
            <w:r>
              <w:rPr>
                <w:b/>
                <w:szCs w:val="21"/>
              </w:rPr>
              <w:t>金额</w:t>
            </w:r>
          </w:p>
        </w:tc>
        <w:tc>
          <w:tcPr>
            <w:tcW w:w="728" w:type="pct"/>
            <w:shd w:val="clear" w:color="auto" w:fill="auto"/>
            <w:vAlign w:val="center"/>
          </w:tcPr>
          <w:p w14:paraId="59864B18" w14:textId="77777777" w:rsidR="00FC5A62" w:rsidRDefault="00C76273">
            <w:pPr>
              <w:widowControl/>
              <w:snapToGrid w:val="0"/>
              <w:jc w:val="center"/>
              <w:rPr>
                <w:b/>
                <w:szCs w:val="21"/>
              </w:rPr>
            </w:pPr>
            <w:r>
              <w:rPr>
                <w:b/>
                <w:szCs w:val="21"/>
              </w:rPr>
              <w:t>占比</w:t>
            </w:r>
          </w:p>
        </w:tc>
        <w:tc>
          <w:tcPr>
            <w:tcW w:w="727" w:type="pct"/>
            <w:shd w:val="clear" w:color="auto" w:fill="auto"/>
            <w:vAlign w:val="center"/>
          </w:tcPr>
          <w:p w14:paraId="0FFBCFD5" w14:textId="77777777" w:rsidR="00FC5A62" w:rsidRDefault="00C76273">
            <w:pPr>
              <w:widowControl/>
              <w:snapToGrid w:val="0"/>
              <w:jc w:val="center"/>
              <w:rPr>
                <w:b/>
                <w:szCs w:val="21"/>
              </w:rPr>
            </w:pPr>
            <w:r>
              <w:rPr>
                <w:b/>
                <w:szCs w:val="21"/>
              </w:rPr>
              <w:t>金额</w:t>
            </w:r>
          </w:p>
        </w:tc>
        <w:tc>
          <w:tcPr>
            <w:tcW w:w="727" w:type="pct"/>
            <w:shd w:val="clear" w:color="auto" w:fill="auto"/>
            <w:vAlign w:val="center"/>
          </w:tcPr>
          <w:p w14:paraId="4A60D860" w14:textId="77777777" w:rsidR="00FC5A62" w:rsidRDefault="00C76273">
            <w:pPr>
              <w:widowControl/>
              <w:snapToGrid w:val="0"/>
              <w:jc w:val="center"/>
              <w:rPr>
                <w:b/>
                <w:szCs w:val="21"/>
              </w:rPr>
            </w:pPr>
            <w:r>
              <w:rPr>
                <w:b/>
                <w:szCs w:val="21"/>
              </w:rPr>
              <w:t>占比</w:t>
            </w:r>
          </w:p>
        </w:tc>
        <w:tc>
          <w:tcPr>
            <w:tcW w:w="727" w:type="pct"/>
            <w:shd w:val="clear" w:color="auto" w:fill="auto"/>
            <w:vAlign w:val="center"/>
          </w:tcPr>
          <w:p w14:paraId="0059A4FC" w14:textId="77777777" w:rsidR="00FC5A62" w:rsidRDefault="00C76273">
            <w:pPr>
              <w:widowControl/>
              <w:snapToGrid w:val="0"/>
              <w:jc w:val="center"/>
              <w:rPr>
                <w:b/>
                <w:szCs w:val="21"/>
              </w:rPr>
            </w:pPr>
            <w:r>
              <w:rPr>
                <w:b/>
                <w:szCs w:val="21"/>
              </w:rPr>
              <w:t>金额</w:t>
            </w:r>
          </w:p>
        </w:tc>
        <w:tc>
          <w:tcPr>
            <w:tcW w:w="726" w:type="pct"/>
            <w:shd w:val="clear" w:color="auto" w:fill="auto"/>
            <w:vAlign w:val="center"/>
          </w:tcPr>
          <w:p w14:paraId="0A1AFD50" w14:textId="77777777" w:rsidR="00FC5A62" w:rsidRDefault="00C76273">
            <w:pPr>
              <w:widowControl/>
              <w:snapToGrid w:val="0"/>
              <w:jc w:val="center"/>
              <w:rPr>
                <w:b/>
                <w:szCs w:val="21"/>
              </w:rPr>
            </w:pPr>
            <w:r>
              <w:rPr>
                <w:b/>
                <w:szCs w:val="21"/>
              </w:rPr>
              <w:t>占比</w:t>
            </w:r>
          </w:p>
        </w:tc>
      </w:tr>
      <w:tr w:rsidR="00FC5A62" w14:paraId="01B90F2C" w14:textId="77777777">
        <w:trPr>
          <w:trHeight w:val="397"/>
          <w:jc w:val="center"/>
        </w:trPr>
        <w:tc>
          <w:tcPr>
            <w:tcW w:w="639" w:type="pct"/>
            <w:vAlign w:val="center"/>
          </w:tcPr>
          <w:p w14:paraId="3F57FEF8" w14:textId="77777777" w:rsidR="00FC5A62" w:rsidRDefault="00C76273">
            <w:pPr>
              <w:widowControl/>
              <w:snapToGrid w:val="0"/>
              <w:jc w:val="center"/>
              <w:rPr>
                <w:bCs/>
                <w:szCs w:val="21"/>
              </w:rPr>
            </w:pPr>
            <w:r>
              <w:rPr>
                <w:bCs/>
                <w:szCs w:val="21"/>
              </w:rPr>
              <w:t>组件</w:t>
            </w:r>
          </w:p>
        </w:tc>
        <w:tc>
          <w:tcPr>
            <w:tcW w:w="726" w:type="pct"/>
            <w:vAlign w:val="center"/>
          </w:tcPr>
          <w:p w14:paraId="2DDD58C5" w14:textId="77777777" w:rsidR="00FC5A62" w:rsidRDefault="00C76273">
            <w:pPr>
              <w:widowControl/>
              <w:snapToGrid w:val="0"/>
              <w:jc w:val="right"/>
              <w:rPr>
                <w:color w:val="000000"/>
                <w:szCs w:val="21"/>
              </w:rPr>
            </w:pPr>
            <w:r>
              <w:rPr>
                <w:color w:val="000000"/>
                <w:szCs w:val="21"/>
              </w:rPr>
              <w:t>100,024.42</w:t>
            </w:r>
          </w:p>
        </w:tc>
        <w:tc>
          <w:tcPr>
            <w:tcW w:w="728" w:type="pct"/>
            <w:vAlign w:val="center"/>
          </w:tcPr>
          <w:p w14:paraId="1FA34DE4" w14:textId="77777777" w:rsidR="00FC5A62" w:rsidRDefault="00C76273">
            <w:pPr>
              <w:widowControl/>
              <w:snapToGrid w:val="0"/>
              <w:jc w:val="right"/>
              <w:rPr>
                <w:color w:val="000000"/>
                <w:szCs w:val="21"/>
              </w:rPr>
            </w:pPr>
            <w:r>
              <w:rPr>
                <w:rFonts w:hint="eastAsia"/>
                <w:color w:val="000000"/>
                <w:szCs w:val="21"/>
              </w:rPr>
              <w:t>82.61%</w:t>
            </w:r>
          </w:p>
        </w:tc>
        <w:tc>
          <w:tcPr>
            <w:tcW w:w="727" w:type="pct"/>
            <w:vAlign w:val="center"/>
          </w:tcPr>
          <w:p w14:paraId="56EFF2E0" w14:textId="77777777" w:rsidR="00FC5A62" w:rsidRDefault="00C76273">
            <w:pPr>
              <w:widowControl/>
              <w:snapToGrid w:val="0"/>
              <w:jc w:val="right"/>
              <w:rPr>
                <w:color w:val="000000"/>
                <w:szCs w:val="21"/>
              </w:rPr>
            </w:pPr>
            <w:r>
              <w:rPr>
                <w:color w:val="000000"/>
                <w:szCs w:val="21"/>
              </w:rPr>
              <w:t>234,970.38</w:t>
            </w:r>
          </w:p>
        </w:tc>
        <w:tc>
          <w:tcPr>
            <w:tcW w:w="727" w:type="pct"/>
            <w:vAlign w:val="center"/>
          </w:tcPr>
          <w:p w14:paraId="4E456D6A" w14:textId="77777777" w:rsidR="00FC5A62" w:rsidRDefault="00C76273">
            <w:pPr>
              <w:widowControl/>
              <w:snapToGrid w:val="0"/>
              <w:jc w:val="right"/>
              <w:rPr>
                <w:color w:val="000000"/>
                <w:szCs w:val="21"/>
              </w:rPr>
            </w:pPr>
            <w:r>
              <w:rPr>
                <w:color w:val="000000"/>
                <w:szCs w:val="21"/>
              </w:rPr>
              <w:t>82.68%</w:t>
            </w:r>
          </w:p>
        </w:tc>
        <w:tc>
          <w:tcPr>
            <w:tcW w:w="727" w:type="pct"/>
            <w:vAlign w:val="center"/>
          </w:tcPr>
          <w:p w14:paraId="588366E1" w14:textId="77777777" w:rsidR="00FC5A62" w:rsidRDefault="00C76273">
            <w:pPr>
              <w:widowControl/>
              <w:snapToGrid w:val="0"/>
              <w:jc w:val="right"/>
              <w:rPr>
                <w:color w:val="000000"/>
                <w:szCs w:val="21"/>
              </w:rPr>
            </w:pPr>
            <w:r>
              <w:rPr>
                <w:color w:val="000000"/>
                <w:szCs w:val="21"/>
              </w:rPr>
              <w:t>61,020.67</w:t>
            </w:r>
          </w:p>
        </w:tc>
        <w:tc>
          <w:tcPr>
            <w:tcW w:w="726" w:type="pct"/>
            <w:vAlign w:val="center"/>
          </w:tcPr>
          <w:p w14:paraId="440EAABE" w14:textId="77777777" w:rsidR="00FC5A62" w:rsidRDefault="00C76273">
            <w:pPr>
              <w:widowControl/>
              <w:snapToGrid w:val="0"/>
              <w:jc w:val="right"/>
              <w:rPr>
                <w:color w:val="000000"/>
                <w:szCs w:val="21"/>
              </w:rPr>
            </w:pPr>
            <w:r>
              <w:rPr>
                <w:color w:val="000000"/>
                <w:szCs w:val="21"/>
              </w:rPr>
              <w:t>68.03%</w:t>
            </w:r>
          </w:p>
        </w:tc>
      </w:tr>
      <w:tr w:rsidR="00FC5A62" w14:paraId="4E92164C" w14:textId="77777777">
        <w:trPr>
          <w:trHeight w:val="397"/>
          <w:jc w:val="center"/>
        </w:trPr>
        <w:tc>
          <w:tcPr>
            <w:tcW w:w="639" w:type="pct"/>
            <w:vAlign w:val="center"/>
          </w:tcPr>
          <w:p w14:paraId="3387BDC9" w14:textId="77777777" w:rsidR="00FC5A62" w:rsidRDefault="00C76273">
            <w:pPr>
              <w:widowControl/>
              <w:snapToGrid w:val="0"/>
              <w:jc w:val="center"/>
              <w:rPr>
                <w:bCs/>
                <w:szCs w:val="21"/>
              </w:rPr>
            </w:pPr>
            <w:r>
              <w:rPr>
                <w:bCs/>
                <w:szCs w:val="21"/>
              </w:rPr>
              <w:lastRenderedPageBreak/>
              <w:t>电池片</w:t>
            </w:r>
          </w:p>
        </w:tc>
        <w:tc>
          <w:tcPr>
            <w:tcW w:w="726" w:type="pct"/>
            <w:vAlign w:val="center"/>
          </w:tcPr>
          <w:p w14:paraId="7988A7B4" w14:textId="77777777" w:rsidR="00FC5A62" w:rsidRDefault="00C76273">
            <w:pPr>
              <w:widowControl/>
              <w:snapToGrid w:val="0"/>
              <w:jc w:val="right"/>
              <w:rPr>
                <w:color w:val="000000"/>
                <w:szCs w:val="21"/>
              </w:rPr>
            </w:pPr>
            <w:r>
              <w:rPr>
                <w:color w:val="000000"/>
                <w:szCs w:val="21"/>
              </w:rPr>
              <w:t>21,054.35</w:t>
            </w:r>
          </w:p>
        </w:tc>
        <w:tc>
          <w:tcPr>
            <w:tcW w:w="728" w:type="pct"/>
            <w:vAlign w:val="center"/>
          </w:tcPr>
          <w:p w14:paraId="0A969383" w14:textId="77777777" w:rsidR="00FC5A62" w:rsidRDefault="00C76273">
            <w:pPr>
              <w:widowControl/>
              <w:snapToGrid w:val="0"/>
              <w:jc w:val="right"/>
              <w:rPr>
                <w:color w:val="000000"/>
                <w:szCs w:val="21"/>
              </w:rPr>
            </w:pPr>
            <w:r>
              <w:rPr>
                <w:rFonts w:hint="eastAsia"/>
                <w:color w:val="000000"/>
                <w:szCs w:val="21"/>
              </w:rPr>
              <w:t>17.39%</w:t>
            </w:r>
          </w:p>
        </w:tc>
        <w:tc>
          <w:tcPr>
            <w:tcW w:w="727" w:type="pct"/>
            <w:vAlign w:val="center"/>
          </w:tcPr>
          <w:p w14:paraId="4DA5CA74" w14:textId="77777777" w:rsidR="00FC5A62" w:rsidRDefault="00C76273">
            <w:pPr>
              <w:widowControl/>
              <w:snapToGrid w:val="0"/>
              <w:jc w:val="right"/>
              <w:rPr>
                <w:color w:val="000000"/>
                <w:szCs w:val="21"/>
              </w:rPr>
            </w:pPr>
            <w:r>
              <w:rPr>
                <w:color w:val="000000"/>
                <w:szCs w:val="21"/>
              </w:rPr>
              <w:t>49,172.90</w:t>
            </w:r>
          </w:p>
        </w:tc>
        <w:tc>
          <w:tcPr>
            <w:tcW w:w="727" w:type="pct"/>
            <w:vAlign w:val="center"/>
          </w:tcPr>
          <w:p w14:paraId="6C549104" w14:textId="77777777" w:rsidR="00FC5A62" w:rsidRDefault="00C76273">
            <w:pPr>
              <w:widowControl/>
              <w:snapToGrid w:val="0"/>
              <w:jc w:val="right"/>
              <w:rPr>
                <w:color w:val="000000"/>
                <w:szCs w:val="21"/>
              </w:rPr>
            </w:pPr>
            <w:r>
              <w:rPr>
                <w:color w:val="000000"/>
                <w:szCs w:val="21"/>
              </w:rPr>
              <w:t>17.30%</w:t>
            </w:r>
          </w:p>
        </w:tc>
        <w:tc>
          <w:tcPr>
            <w:tcW w:w="727" w:type="pct"/>
            <w:vAlign w:val="center"/>
          </w:tcPr>
          <w:p w14:paraId="034C2E3C" w14:textId="77777777" w:rsidR="00FC5A62" w:rsidRDefault="00C76273">
            <w:pPr>
              <w:widowControl/>
              <w:snapToGrid w:val="0"/>
              <w:jc w:val="right"/>
              <w:rPr>
                <w:color w:val="000000"/>
                <w:szCs w:val="21"/>
              </w:rPr>
            </w:pPr>
            <w:r>
              <w:rPr>
                <w:color w:val="000000"/>
                <w:szCs w:val="21"/>
              </w:rPr>
              <w:t>20,769.09</w:t>
            </w:r>
          </w:p>
        </w:tc>
        <w:tc>
          <w:tcPr>
            <w:tcW w:w="726" w:type="pct"/>
            <w:vAlign w:val="center"/>
          </w:tcPr>
          <w:p w14:paraId="1C9656F1" w14:textId="77777777" w:rsidR="00FC5A62" w:rsidRDefault="00C76273">
            <w:pPr>
              <w:widowControl/>
              <w:snapToGrid w:val="0"/>
              <w:jc w:val="right"/>
              <w:rPr>
                <w:color w:val="000000"/>
                <w:szCs w:val="21"/>
              </w:rPr>
            </w:pPr>
            <w:r>
              <w:rPr>
                <w:color w:val="000000"/>
                <w:szCs w:val="21"/>
              </w:rPr>
              <w:t>23.15%</w:t>
            </w:r>
          </w:p>
        </w:tc>
      </w:tr>
      <w:tr w:rsidR="00FC5A62" w14:paraId="204618AC" w14:textId="77777777">
        <w:trPr>
          <w:trHeight w:val="397"/>
          <w:jc w:val="center"/>
        </w:trPr>
        <w:tc>
          <w:tcPr>
            <w:tcW w:w="639" w:type="pct"/>
            <w:vAlign w:val="center"/>
          </w:tcPr>
          <w:p w14:paraId="556E3BAC" w14:textId="77777777" w:rsidR="00FC5A62" w:rsidRDefault="00C76273">
            <w:pPr>
              <w:widowControl/>
              <w:snapToGrid w:val="0"/>
              <w:jc w:val="center"/>
              <w:rPr>
                <w:bCs/>
                <w:szCs w:val="21"/>
              </w:rPr>
            </w:pPr>
            <w:r>
              <w:rPr>
                <w:bCs/>
                <w:szCs w:val="21"/>
              </w:rPr>
              <w:t>其他产品</w:t>
            </w:r>
          </w:p>
        </w:tc>
        <w:tc>
          <w:tcPr>
            <w:tcW w:w="726" w:type="pct"/>
            <w:vAlign w:val="center"/>
          </w:tcPr>
          <w:p w14:paraId="00F41C11" w14:textId="77777777" w:rsidR="00FC5A62" w:rsidRDefault="00C76273">
            <w:pPr>
              <w:widowControl/>
              <w:snapToGrid w:val="0"/>
              <w:jc w:val="right"/>
              <w:rPr>
                <w:color w:val="000000"/>
                <w:szCs w:val="21"/>
              </w:rPr>
            </w:pPr>
            <w:r>
              <w:rPr>
                <w:color w:val="000000"/>
                <w:szCs w:val="21"/>
              </w:rPr>
              <w:t>4.13</w:t>
            </w:r>
          </w:p>
        </w:tc>
        <w:tc>
          <w:tcPr>
            <w:tcW w:w="728" w:type="pct"/>
            <w:vAlign w:val="center"/>
          </w:tcPr>
          <w:p w14:paraId="2FE55ED7" w14:textId="77777777" w:rsidR="00FC5A62" w:rsidRDefault="00C76273">
            <w:pPr>
              <w:widowControl/>
              <w:snapToGrid w:val="0"/>
              <w:jc w:val="right"/>
              <w:rPr>
                <w:color w:val="000000"/>
                <w:szCs w:val="21"/>
              </w:rPr>
            </w:pPr>
            <w:r>
              <w:rPr>
                <w:rFonts w:hint="eastAsia"/>
                <w:color w:val="000000"/>
                <w:szCs w:val="21"/>
              </w:rPr>
              <w:t>0.00%</w:t>
            </w:r>
          </w:p>
        </w:tc>
        <w:tc>
          <w:tcPr>
            <w:tcW w:w="727" w:type="pct"/>
            <w:vAlign w:val="center"/>
          </w:tcPr>
          <w:p w14:paraId="0D742D76" w14:textId="77777777" w:rsidR="00FC5A62" w:rsidRDefault="00C76273">
            <w:pPr>
              <w:widowControl/>
              <w:snapToGrid w:val="0"/>
              <w:jc w:val="right"/>
              <w:rPr>
                <w:color w:val="000000"/>
                <w:szCs w:val="21"/>
              </w:rPr>
            </w:pPr>
            <w:r>
              <w:rPr>
                <w:color w:val="000000"/>
                <w:szCs w:val="21"/>
              </w:rPr>
              <w:t>43.33</w:t>
            </w:r>
          </w:p>
        </w:tc>
        <w:tc>
          <w:tcPr>
            <w:tcW w:w="727" w:type="pct"/>
            <w:vAlign w:val="center"/>
          </w:tcPr>
          <w:p w14:paraId="3D00AE32" w14:textId="77777777" w:rsidR="00FC5A62" w:rsidRDefault="00C76273">
            <w:pPr>
              <w:widowControl/>
              <w:snapToGrid w:val="0"/>
              <w:jc w:val="right"/>
              <w:rPr>
                <w:color w:val="000000"/>
                <w:szCs w:val="21"/>
              </w:rPr>
            </w:pPr>
            <w:r>
              <w:rPr>
                <w:color w:val="000000"/>
                <w:szCs w:val="21"/>
              </w:rPr>
              <w:t>0.02%</w:t>
            </w:r>
          </w:p>
        </w:tc>
        <w:tc>
          <w:tcPr>
            <w:tcW w:w="727" w:type="pct"/>
            <w:vAlign w:val="center"/>
          </w:tcPr>
          <w:p w14:paraId="5E277756" w14:textId="77777777" w:rsidR="00FC5A62" w:rsidRDefault="00C76273">
            <w:pPr>
              <w:widowControl/>
              <w:snapToGrid w:val="0"/>
              <w:jc w:val="right"/>
              <w:rPr>
                <w:color w:val="000000"/>
                <w:szCs w:val="21"/>
              </w:rPr>
            </w:pPr>
            <w:r>
              <w:rPr>
                <w:color w:val="000000"/>
                <w:szCs w:val="21"/>
              </w:rPr>
              <w:t>7,908.06</w:t>
            </w:r>
          </w:p>
        </w:tc>
        <w:tc>
          <w:tcPr>
            <w:tcW w:w="726" w:type="pct"/>
            <w:vAlign w:val="center"/>
          </w:tcPr>
          <w:p w14:paraId="2B1A0532" w14:textId="77777777" w:rsidR="00FC5A62" w:rsidRDefault="00C76273">
            <w:pPr>
              <w:widowControl/>
              <w:snapToGrid w:val="0"/>
              <w:jc w:val="right"/>
              <w:rPr>
                <w:color w:val="000000"/>
                <w:szCs w:val="21"/>
              </w:rPr>
            </w:pPr>
            <w:r>
              <w:rPr>
                <w:color w:val="000000"/>
                <w:szCs w:val="21"/>
              </w:rPr>
              <w:t>8.82%</w:t>
            </w:r>
          </w:p>
        </w:tc>
      </w:tr>
      <w:tr w:rsidR="00FC5A62" w14:paraId="0E00B621" w14:textId="77777777">
        <w:trPr>
          <w:trHeight w:val="397"/>
          <w:jc w:val="center"/>
        </w:trPr>
        <w:tc>
          <w:tcPr>
            <w:tcW w:w="639" w:type="pct"/>
            <w:vAlign w:val="center"/>
          </w:tcPr>
          <w:p w14:paraId="3C2D393B" w14:textId="77777777" w:rsidR="00FC5A62" w:rsidRDefault="00C76273">
            <w:pPr>
              <w:widowControl/>
              <w:snapToGrid w:val="0"/>
              <w:jc w:val="center"/>
              <w:rPr>
                <w:b/>
                <w:szCs w:val="21"/>
              </w:rPr>
            </w:pPr>
            <w:r>
              <w:rPr>
                <w:b/>
                <w:szCs w:val="21"/>
              </w:rPr>
              <w:t>合计</w:t>
            </w:r>
          </w:p>
        </w:tc>
        <w:tc>
          <w:tcPr>
            <w:tcW w:w="726" w:type="pct"/>
            <w:vAlign w:val="center"/>
          </w:tcPr>
          <w:p w14:paraId="2DF94F7F" w14:textId="77777777" w:rsidR="00FC5A62" w:rsidRDefault="00C76273">
            <w:pPr>
              <w:widowControl/>
              <w:snapToGrid w:val="0"/>
              <w:jc w:val="right"/>
              <w:rPr>
                <w:b/>
                <w:color w:val="000000"/>
                <w:szCs w:val="21"/>
              </w:rPr>
            </w:pPr>
            <w:r>
              <w:rPr>
                <w:b/>
                <w:color w:val="000000"/>
                <w:szCs w:val="21"/>
              </w:rPr>
              <w:t>121,082.90</w:t>
            </w:r>
          </w:p>
        </w:tc>
        <w:tc>
          <w:tcPr>
            <w:tcW w:w="728" w:type="pct"/>
            <w:vAlign w:val="center"/>
          </w:tcPr>
          <w:p w14:paraId="506B846A" w14:textId="77777777" w:rsidR="00FC5A62" w:rsidRDefault="00C76273">
            <w:pPr>
              <w:widowControl/>
              <w:snapToGrid w:val="0"/>
              <w:jc w:val="right"/>
              <w:rPr>
                <w:b/>
                <w:color w:val="000000"/>
                <w:szCs w:val="21"/>
              </w:rPr>
            </w:pPr>
            <w:r>
              <w:rPr>
                <w:rFonts w:hint="eastAsia"/>
                <w:b/>
                <w:color w:val="000000"/>
                <w:szCs w:val="21"/>
              </w:rPr>
              <w:t>100.00%</w:t>
            </w:r>
          </w:p>
        </w:tc>
        <w:tc>
          <w:tcPr>
            <w:tcW w:w="727" w:type="pct"/>
            <w:vAlign w:val="center"/>
          </w:tcPr>
          <w:p w14:paraId="47C3C913" w14:textId="77777777" w:rsidR="00FC5A62" w:rsidRDefault="00C76273">
            <w:pPr>
              <w:widowControl/>
              <w:snapToGrid w:val="0"/>
              <w:jc w:val="right"/>
              <w:rPr>
                <w:b/>
                <w:color w:val="000000"/>
                <w:szCs w:val="21"/>
              </w:rPr>
            </w:pPr>
            <w:r>
              <w:rPr>
                <w:b/>
                <w:color w:val="000000"/>
                <w:szCs w:val="21"/>
              </w:rPr>
              <w:t>284,186.61</w:t>
            </w:r>
          </w:p>
        </w:tc>
        <w:tc>
          <w:tcPr>
            <w:tcW w:w="727" w:type="pct"/>
            <w:vAlign w:val="center"/>
          </w:tcPr>
          <w:p w14:paraId="3D05AD54" w14:textId="77777777" w:rsidR="00FC5A62" w:rsidRDefault="00C76273">
            <w:pPr>
              <w:widowControl/>
              <w:snapToGrid w:val="0"/>
              <w:jc w:val="right"/>
              <w:rPr>
                <w:b/>
                <w:color w:val="000000"/>
                <w:szCs w:val="21"/>
              </w:rPr>
            </w:pPr>
            <w:r>
              <w:rPr>
                <w:b/>
                <w:color w:val="000000"/>
                <w:szCs w:val="21"/>
              </w:rPr>
              <w:t>100.00%</w:t>
            </w:r>
          </w:p>
        </w:tc>
        <w:tc>
          <w:tcPr>
            <w:tcW w:w="727" w:type="pct"/>
            <w:vAlign w:val="center"/>
          </w:tcPr>
          <w:p w14:paraId="1DD737AD" w14:textId="77777777" w:rsidR="00FC5A62" w:rsidRDefault="00C76273">
            <w:pPr>
              <w:widowControl/>
              <w:snapToGrid w:val="0"/>
              <w:jc w:val="right"/>
              <w:rPr>
                <w:b/>
                <w:color w:val="000000"/>
                <w:szCs w:val="21"/>
              </w:rPr>
            </w:pPr>
            <w:r>
              <w:rPr>
                <w:b/>
                <w:color w:val="000000"/>
                <w:szCs w:val="21"/>
              </w:rPr>
              <w:t>89,697.82</w:t>
            </w:r>
          </w:p>
        </w:tc>
        <w:tc>
          <w:tcPr>
            <w:tcW w:w="726" w:type="pct"/>
            <w:vAlign w:val="center"/>
          </w:tcPr>
          <w:p w14:paraId="647F9840" w14:textId="77777777" w:rsidR="00FC5A62" w:rsidRDefault="00C76273">
            <w:pPr>
              <w:widowControl/>
              <w:snapToGrid w:val="0"/>
              <w:jc w:val="right"/>
              <w:rPr>
                <w:b/>
                <w:color w:val="000000"/>
                <w:szCs w:val="21"/>
              </w:rPr>
            </w:pPr>
            <w:r>
              <w:rPr>
                <w:b/>
                <w:color w:val="000000"/>
                <w:szCs w:val="21"/>
              </w:rPr>
              <w:t>100.00%</w:t>
            </w:r>
          </w:p>
        </w:tc>
      </w:tr>
    </w:tbl>
    <w:bookmarkEnd w:id="6"/>
    <w:p w14:paraId="4C57D286" w14:textId="77777777" w:rsidR="00FC5A62" w:rsidRDefault="00C76273">
      <w:pPr>
        <w:pStyle w:val="af3"/>
      </w:pPr>
      <w:r>
        <w:rPr>
          <w:rFonts w:hint="eastAsia"/>
        </w:rPr>
        <w:t>注：以上财务数据未经审计</w:t>
      </w:r>
    </w:p>
    <w:p w14:paraId="603443E8" w14:textId="77777777" w:rsidR="00FC5A62" w:rsidRDefault="00C76273" w:rsidP="001D1A63">
      <w:pPr>
        <w:spacing w:beforeLines="50" w:before="156" w:afterLines="50" w:after="156" w:line="360" w:lineRule="auto"/>
        <w:ind w:firstLineChars="200" w:firstLine="480"/>
        <w:rPr>
          <w:sz w:val="24"/>
        </w:rPr>
      </w:pPr>
      <w:r>
        <w:rPr>
          <w:rFonts w:hint="eastAsia"/>
          <w:sz w:val="24"/>
        </w:rPr>
        <w:t>2021</w:t>
      </w:r>
      <w:r>
        <w:rPr>
          <w:rFonts w:hint="eastAsia"/>
          <w:sz w:val="24"/>
        </w:rPr>
        <w:t>年、</w:t>
      </w:r>
      <w:r>
        <w:rPr>
          <w:rFonts w:hint="eastAsia"/>
          <w:sz w:val="24"/>
        </w:rPr>
        <w:t>2022</w:t>
      </w:r>
      <w:r>
        <w:rPr>
          <w:rFonts w:hint="eastAsia"/>
          <w:sz w:val="24"/>
        </w:rPr>
        <w:t>年及</w:t>
      </w:r>
      <w:r>
        <w:rPr>
          <w:rFonts w:hint="eastAsia"/>
          <w:sz w:val="24"/>
        </w:rPr>
        <w:t>2023</w:t>
      </w:r>
      <w:r>
        <w:rPr>
          <w:rFonts w:hint="eastAsia"/>
          <w:sz w:val="24"/>
        </w:rPr>
        <w:t>年一季度，标的公司各业务板块的毛利及毛利率情况如下：</w:t>
      </w:r>
    </w:p>
    <w:p w14:paraId="501E0454" w14:textId="77777777" w:rsidR="00FC5A62" w:rsidRDefault="00C76273" w:rsidP="001D1A63">
      <w:pPr>
        <w:ind w:firstLineChars="200" w:firstLine="420"/>
        <w:jc w:val="right"/>
        <w:rPr>
          <w:szCs w:val="21"/>
        </w:rPr>
      </w:pPr>
      <w:r>
        <w:rPr>
          <w:rFonts w:hint="eastAsia"/>
          <w:szCs w:val="21"/>
        </w:rPr>
        <w:t>单位：万元</w:t>
      </w:r>
    </w:p>
    <w:tbl>
      <w:tblPr>
        <w:tblStyle w:val="ae"/>
        <w:tblW w:w="5089" w:type="pct"/>
        <w:jc w:val="center"/>
        <w:tblLook w:val="04A0" w:firstRow="1" w:lastRow="0" w:firstColumn="1" w:lastColumn="0" w:noHBand="0" w:noVBand="1"/>
      </w:tblPr>
      <w:tblGrid>
        <w:gridCol w:w="1161"/>
        <w:gridCol w:w="1252"/>
        <w:gridCol w:w="1253"/>
        <w:gridCol w:w="1253"/>
        <w:gridCol w:w="1253"/>
        <w:gridCol w:w="1253"/>
        <w:gridCol w:w="1249"/>
      </w:tblGrid>
      <w:tr w:rsidR="00FC5A62" w14:paraId="6C43B4B5" w14:textId="77777777">
        <w:trPr>
          <w:trHeight w:val="397"/>
          <w:jc w:val="center"/>
        </w:trPr>
        <w:tc>
          <w:tcPr>
            <w:tcW w:w="670" w:type="pct"/>
            <w:vMerge w:val="restart"/>
            <w:shd w:val="clear" w:color="auto" w:fill="auto"/>
            <w:vAlign w:val="center"/>
          </w:tcPr>
          <w:p w14:paraId="2A98FDAF" w14:textId="77777777" w:rsidR="00FC5A62" w:rsidRDefault="00C76273">
            <w:pPr>
              <w:widowControl/>
              <w:snapToGrid w:val="0"/>
              <w:jc w:val="center"/>
              <w:rPr>
                <w:b/>
                <w:szCs w:val="21"/>
              </w:rPr>
            </w:pPr>
            <w:r>
              <w:rPr>
                <w:b/>
                <w:szCs w:val="21"/>
              </w:rPr>
              <w:t>项目</w:t>
            </w:r>
          </w:p>
        </w:tc>
        <w:tc>
          <w:tcPr>
            <w:tcW w:w="1443" w:type="pct"/>
            <w:gridSpan w:val="2"/>
            <w:shd w:val="clear" w:color="auto" w:fill="auto"/>
            <w:vAlign w:val="center"/>
          </w:tcPr>
          <w:p w14:paraId="4A48DD05" w14:textId="77777777" w:rsidR="00FC5A62" w:rsidRDefault="00C76273">
            <w:pPr>
              <w:widowControl/>
              <w:snapToGrid w:val="0"/>
              <w:jc w:val="center"/>
              <w:rPr>
                <w:b/>
                <w:szCs w:val="21"/>
              </w:rPr>
            </w:pPr>
            <w:r>
              <w:rPr>
                <w:b/>
                <w:szCs w:val="21"/>
              </w:rPr>
              <w:t>2023</w:t>
            </w:r>
            <w:r>
              <w:rPr>
                <w:b/>
                <w:szCs w:val="21"/>
              </w:rPr>
              <w:t>年</w:t>
            </w:r>
            <w:r>
              <w:rPr>
                <w:b/>
                <w:szCs w:val="21"/>
              </w:rPr>
              <w:t>1-3</w:t>
            </w:r>
            <w:r>
              <w:rPr>
                <w:b/>
                <w:szCs w:val="21"/>
              </w:rPr>
              <w:t>月</w:t>
            </w:r>
          </w:p>
        </w:tc>
        <w:tc>
          <w:tcPr>
            <w:tcW w:w="1444" w:type="pct"/>
            <w:gridSpan w:val="2"/>
            <w:shd w:val="clear" w:color="auto" w:fill="auto"/>
            <w:vAlign w:val="center"/>
          </w:tcPr>
          <w:p w14:paraId="6853D65D" w14:textId="77777777" w:rsidR="00FC5A62" w:rsidRDefault="00C76273">
            <w:pPr>
              <w:widowControl/>
              <w:snapToGrid w:val="0"/>
              <w:jc w:val="center"/>
              <w:rPr>
                <w:b/>
                <w:szCs w:val="21"/>
              </w:rPr>
            </w:pPr>
            <w:r>
              <w:rPr>
                <w:b/>
                <w:szCs w:val="21"/>
              </w:rPr>
              <w:t>2022</w:t>
            </w:r>
            <w:r>
              <w:rPr>
                <w:b/>
                <w:szCs w:val="21"/>
              </w:rPr>
              <w:t>年度</w:t>
            </w:r>
          </w:p>
        </w:tc>
        <w:tc>
          <w:tcPr>
            <w:tcW w:w="1444" w:type="pct"/>
            <w:gridSpan w:val="2"/>
            <w:shd w:val="clear" w:color="auto" w:fill="auto"/>
            <w:vAlign w:val="center"/>
          </w:tcPr>
          <w:p w14:paraId="7353ADE9" w14:textId="77777777" w:rsidR="00FC5A62" w:rsidRDefault="00C76273">
            <w:pPr>
              <w:widowControl/>
              <w:snapToGrid w:val="0"/>
              <w:jc w:val="center"/>
              <w:rPr>
                <w:b/>
                <w:szCs w:val="21"/>
              </w:rPr>
            </w:pPr>
            <w:r>
              <w:rPr>
                <w:b/>
                <w:szCs w:val="21"/>
              </w:rPr>
              <w:t>2021</w:t>
            </w:r>
            <w:r>
              <w:rPr>
                <w:b/>
                <w:szCs w:val="21"/>
              </w:rPr>
              <w:t>年度</w:t>
            </w:r>
          </w:p>
        </w:tc>
      </w:tr>
      <w:tr w:rsidR="00FC5A62" w14:paraId="649664B8" w14:textId="77777777">
        <w:trPr>
          <w:trHeight w:val="397"/>
          <w:jc w:val="center"/>
        </w:trPr>
        <w:tc>
          <w:tcPr>
            <w:tcW w:w="670" w:type="pct"/>
            <w:vMerge/>
            <w:shd w:val="clear" w:color="auto" w:fill="auto"/>
            <w:vAlign w:val="center"/>
          </w:tcPr>
          <w:p w14:paraId="7C7887B3" w14:textId="77777777" w:rsidR="00FC5A62" w:rsidRDefault="00FC5A62">
            <w:pPr>
              <w:widowControl/>
              <w:snapToGrid w:val="0"/>
              <w:jc w:val="center"/>
              <w:rPr>
                <w:b/>
                <w:szCs w:val="21"/>
              </w:rPr>
            </w:pPr>
          </w:p>
        </w:tc>
        <w:tc>
          <w:tcPr>
            <w:tcW w:w="722" w:type="pct"/>
            <w:shd w:val="clear" w:color="auto" w:fill="auto"/>
            <w:vAlign w:val="center"/>
          </w:tcPr>
          <w:p w14:paraId="36FAD949" w14:textId="77777777" w:rsidR="00FC5A62" w:rsidRDefault="00C76273">
            <w:pPr>
              <w:widowControl/>
              <w:snapToGrid w:val="0"/>
              <w:jc w:val="center"/>
              <w:rPr>
                <w:b/>
                <w:szCs w:val="21"/>
              </w:rPr>
            </w:pPr>
            <w:r>
              <w:rPr>
                <w:b/>
                <w:szCs w:val="21"/>
              </w:rPr>
              <w:t>毛利</w:t>
            </w:r>
          </w:p>
        </w:tc>
        <w:tc>
          <w:tcPr>
            <w:tcW w:w="722" w:type="pct"/>
            <w:shd w:val="clear" w:color="auto" w:fill="auto"/>
            <w:vAlign w:val="center"/>
          </w:tcPr>
          <w:p w14:paraId="506E97B7" w14:textId="77777777" w:rsidR="00FC5A62" w:rsidRDefault="00C76273">
            <w:pPr>
              <w:widowControl/>
              <w:snapToGrid w:val="0"/>
              <w:jc w:val="center"/>
              <w:rPr>
                <w:b/>
                <w:szCs w:val="21"/>
              </w:rPr>
            </w:pPr>
            <w:r>
              <w:rPr>
                <w:b/>
                <w:szCs w:val="21"/>
              </w:rPr>
              <w:t>毛利率</w:t>
            </w:r>
          </w:p>
        </w:tc>
        <w:tc>
          <w:tcPr>
            <w:tcW w:w="722" w:type="pct"/>
            <w:shd w:val="clear" w:color="auto" w:fill="auto"/>
            <w:vAlign w:val="center"/>
          </w:tcPr>
          <w:p w14:paraId="3DBF2B49" w14:textId="77777777" w:rsidR="00FC5A62" w:rsidRDefault="00C76273">
            <w:pPr>
              <w:widowControl/>
              <w:snapToGrid w:val="0"/>
              <w:jc w:val="center"/>
              <w:rPr>
                <w:b/>
                <w:szCs w:val="21"/>
              </w:rPr>
            </w:pPr>
            <w:r>
              <w:rPr>
                <w:b/>
                <w:szCs w:val="21"/>
              </w:rPr>
              <w:t>毛利</w:t>
            </w:r>
          </w:p>
        </w:tc>
        <w:tc>
          <w:tcPr>
            <w:tcW w:w="722" w:type="pct"/>
            <w:shd w:val="clear" w:color="auto" w:fill="auto"/>
            <w:vAlign w:val="center"/>
          </w:tcPr>
          <w:p w14:paraId="69EC6742" w14:textId="77777777" w:rsidR="00FC5A62" w:rsidRDefault="00C76273">
            <w:pPr>
              <w:widowControl/>
              <w:snapToGrid w:val="0"/>
              <w:jc w:val="center"/>
              <w:rPr>
                <w:b/>
                <w:szCs w:val="21"/>
              </w:rPr>
            </w:pPr>
            <w:r>
              <w:rPr>
                <w:b/>
                <w:szCs w:val="21"/>
              </w:rPr>
              <w:t>毛利率</w:t>
            </w:r>
          </w:p>
        </w:tc>
        <w:tc>
          <w:tcPr>
            <w:tcW w:w="722" w:type="pct"/>
            <w:shd w:val="clear" w:color="auto" w:fill="auto"/>
            <w:vAlign w:val="center"/>
          </w:tcPr>
          <w:p w14:paraId="2D4243B7" w14:textId="77777777" w:rsidR="00FC5A62" w:rsidRDefault="00C76273">
            <w:pPr>
              <w:widowControl/>
              <w:snapToGrid w:val="0"/>
              <w:jc w:val="center"/>
              <w:rPr>
                <w:b/>
                <w:szCs w:val="21"/>
              </w:rPr>
            </w:pPr>
            <w:r>
              <w:rPr>
                <w:b/>
                <w:szCs w:val="21"/>
              </w:rPr>
              <w:t>毛利</w:t>
            </w:r>
          </w:p>
        </w:tc>
        <w:tc>
          <w:tcPr>
            <w:tcW w:w="721" w:type="pct"/>
            <w:shd w:val="clear" w:color="auto" w:fill="auto"/>
            <w:vAlign w:val="center"/>
          </w:tcPr>
          <w:p w14:paraId="622C9D2B" w14:textId="77777777" w:rsidR="00FC5A62" w:rsidRDefault="00C76273">
            <w:pPr>
              <w:widowControl/>
              <w:snapToGrid w:val="0"/>
              <w:jc w:val="center"/>
              <w:rPr>
                <w:b/>
                <w:szCs w:val="21"/>
              </w:rPr>
            </w:pPr>
            <w:r>
              <w:rPr>
                <w:b/>
                <w:szCs w:val="21"/>
              </w:rPr>
              <w:t>毛利率</w:t>
            </w:r>
          </w:p>
        </w:tc>
      </w:tr>
      <w:tr w:rsidR="00FC5A62" w14:paraId="666AC293" w14:textId="77777777">
        <w:trPr>
          <w:trHeight w:val="397"/>
          <w:jc w:val="center"/>
        </w:trPr>
        <w:tc>
          <w:tcPr>
            <w:tcW w:w="670" w:type="pct"/>
            <w:vAlign w:val="center"/>
          </w:tcPr>
          <w:p w14:paraId="78A2C879" w14:textId="77777777" w:rsidR="00FC5A62" w:rsidRDefault="00C76273">
            <w:pPr>
              <w:widowControl/>
              <w:snapToGrid w:val="0"/>
              <w:jc w:val="center"/>
              <w:rPr>
                <w:bCs/>
                <w:szCs w:val="21"/>
              </w:rPr>
            </w:pPr>
            <w:r>
              <w:rPr>
                <w:bCs/>
                <w:szCs w:val="21"/>
              </w:rPr>
              <w:t>组件</w:t>
            </w:r>
          </w:p>
        </w:tc>
        <w:tc>
          <w:tcPr>
            <w:tcW w:w="722" w:type="pct"/>
            <w:vAlign w:val="center"/>
          </w:tcPr>
          <w:p w14:paraId="17F1BDCD" w14:textId="77777777" w:rsidR="00FC5A62" w:rsidRDefault="00C76273">
            <w:pPr>
              <w:widowControl/>
              <w:snapToGrid w:val="0"/>
              <w:jc w:val="right"/>
              <w:rPr>
                <w:color w:val="000000"/>
                <w:szCs w:val="21"/>
              </w:rPr>
            </w:pPr>
            <w:r>
              <w:t xml:space="preserve"> 22,020.13 </w:t>
            </w:r>
          </w:p>
        </w:tc>
        <w:tc>
          <w:tcPr>
            <w:tcW w:w="722" w:type="pct"/>
            <w:vAlign w:val="center"/>
          </w:tcPr>
          <w:p w14:paraId="300B0E0E" w14:textId="77777777" w:rsidR="00FC5A62" w:rsidRDefault="00C76273">
            <w:pPr>
              <w:widowControl/>
              <w:snapToGrid w:val="0"/>
              <w:jc w:val="right"/>
              <w:rPr>
                <w:color w:val="000000"/>
                <w:szCs w:val="21"/>
              </w:rPr>
            </w:pPr>
            <w:r>
              <w:t>22.01%</w:t>
            </w:r>
          </w:p>
        </w:tc>
        <w:tc>
          <w:tcPr>
            <w:tcW w:w="722" w:type="pct"/>
            <w:vAlign w:val="center"/>
          </w:tcPr>
          <w:p w14:paraId="33270BD9" w14:textId="77777777" w:rsidR="00FC5A62" w:rsidRDefault="00C76273">
            <w:pPr>
              <w:widowControl/>
              <w:snapToGrid w:val="0"/>
              <w:jc w:val="right"/>
              <w:rPr>
                <w:color w:val="000000"/>
                <w:szCs w:val="21"/>
              </w:rPr>
            </w:pPr>
            <w:r>
              <w:t xml:space="preserve"> 32,766.20 </w:t>
            </w:r>
          </w:p>
        </w:tc>
        <w:tc>
          <w:tcPr>
            <w:tcW w:w="722" w:type="pct"/>
            <w:vAlign w:val="center"/>
          </w:tcPr>
          <w:p w14:paraId="7BFE58B9" w14:textId="77777777" w:rsidR="00FC5A62" w:rsidRDefault="00C76273">
            <w:pPr>
              <w:widowControl/>
              <w:snapToGrid w:val="0"/>
              <w:jc w:val="right"/>
              <w:rPr>
                <w:color w:val="000000"/>
                <w:szCs w:val="21"/>
              </w:rPr>
            </w:pPr>
            <w:r>
              <w:t>13.94%</w:t>
            </w:r>
          </w:p>
        </w:tc>
        <w:tc>
          <w:tcPr>
            <w:tcW w:w="722" w:type="pct"/>
            <w:vAlign w:val="center"/>
          </w:tcPr>
          <w:p w14:paraId="679EA9B1" w14:textId="77777777" w:rsidR="00FC5A62" w:rsidRDefault="00C76273">
            <w:pPr>
              <w:widowControl/>
              <w:snapToGrid w:val="0"/>
              <w:jc w:val="right"/>
              <w:rPr>
                <w:color w:val="000000"/>
                <w:szCs w:val="21"/>
              </w:rPr>
            </w:pPr>
            <w:r>
              <w:t xml:space="preserve"> -1,504.15 </w:t>
            </w:r>
          </w:p>
        </w:tc>
        <w:tc>
          <w:tcPr>
            <w:tcW w:w="721" w:type="pct"/>
            <w:vAlign w:val="center"/>
          </w:tcPr>
          <w:p w14:paraId="4CE0C823" w14:textId="77777777" w:rsidR="00FC5A62" w:rsidRDefault="00C76273">
            <w:pPr>
              <w:widowControl/>
              <w:snapToGrid w:val="0"/>
              <w:jc w:val="right"/>
              <w:rPr>
                <w:color w:val="000000"/>
                <w:szCs w:val="21"/>
              </w:rPr>
            </w:pPr>
            <w:r>
              <w:t>-2.46%</w:t>
            </w:r>
          </w:p>
        </w:tc>
      </w:tr>
      <w:tr w:rsidR="00FC5A62" w14:paraId="25688AAE" w14:textId="77777777">
        <w:trPr>
          <w:trHeight w:val="397"/>
          <w:jc w:val="center"/>
        </w:trPr>
        <w:tc>
          <w:tcPr>
            <w:tcW w:w="670" w:type="pct"/>
            <w:vAlign w:val="center"/>
          </w:tcPr>
          <w:p w14:paraId="28B775C5" w14:textId="77777777" w:rsidR="00FC5A62" w:rsidRDefault="00C76273">
            <w:pPr>
              <w:widowControl/>
              <w:snapToGrid w:val="0"/>
              <w:jc w:val="center"/>
              <w:rPr>
                <w:bCs/>
                <w:szCs w:val="21"/>
              </w:rPr>
            </w:pPr>
            <w:r>
              <w:rPr>
                <w:bCs/>
                <w:szCs w:val="21"/>
              </w:rPr>
              <w:t>电池片</w:t>
            </w:r>
          </w:p>
        </w:tc>
        <w:tc>
          <w:tcPr>
            <w:tcW w:w="722" w:type="pct"/>
            <w:vAlign w:val="center"/>
          </w:tcPr>
          <w:p w14:paraId="212DBD6B" w14:textId="77777777" w:rsidR="00FC5A62" w:rsidRDefault="00C76273">
            <w:pPr>
              <w:widowControl/>
              <w:snapToGrid w:val="0"/>
              <w:jc w:val="right"/>
              <w:rPr>
                <w:color w:val="000000"/>
                <w:szCs w:val="21"/>
              </w:rPr>
            </w:pPr>
            <w:r>
              <w:t xml:space="preserve"> 3,337.18 </w:t>
            </w:r>
          </w:p>
        </w:tc>
        <w:tc>
          <w:tcPr>
            <w:tcW w:w="722" w:type="pct"/>
            <w:vAlign w:val="center"/>
          </w:tcPr>
          <w:p w14:paraId="72C863D8" w14:textId="77777777" w:rsidR="00FC5A62" w:rsidRDefault="00C76273">
            <w:pPr>
              <w:widowControl/>
              <w:snapToGrid w:val="0"/>
              <w:jc w:val="right"/>
              <w:rPr>
                <w:color w:val="000000"/>
                <w:szCs w:val="21"/>
              </w:rPr>
            </w:pPr>
            <w:r>
              <w:t>15.85%</w:t>
            </w:r>
          </w:p>
        </w:tc>
        <w:tc>
          <w:tcPr>
            <w:tcW w:w="722" w:type="pct"/>
            <w:vAlign w:val="center"/>
          </w:tcPr>
          <w:p w14:paraId="0CAB5B98" w14:textId="77777777" w:rsidR="00FC5A62" w:rsidRDefault="00C76273">
            <w:pPr>
              <w:widowControl/>
              <w:snapToGrid w:val="0"/>
              <w:jc w:val="right"/>
              <w:rPr>
                <w:color w:val="000000"/>
                <w:szCs w:val="21"/>
              </w:rPr>
            </w:pPr>
            <w:r>
              <w:t xml:space="preserve"> 4,678.41 </w:t>
            </w:r>
          </w:p>
        </w:tc>
        <w:tc>
          <w:tcPr>
            <w:tcW w:w="722" w:type="pct"/>
            <w:vAlign w:val="center"/>
          </w:tcPr>
          <w:p w14:paraId="24E58F17" w14:textId="77777777" w:rsidR="00FC5A62" w:rsidRDefault="00C76273">
            <w:pPr>
              <w:widowControl/>
              <w:snapToGrid w:val="0"/>
              <w:jc w:val="right"/>
              <w:rPr>
                <w:color w:val="000000"/>
                <w:szCs w:val="21"/>
              </w:rPr>
            </w:pPr>
            <w:r>
              <w:t>9.51%</w:t>
            </w:r>
          </w:p>
        </w:tc>
        <w:tc>
          <w:tcPr>
            <w:tcW w:w="722" w:type="pct"/>
            <w:vAlign w:val="center"/>
          </w:tcPr>
          <w:p w14:paraId="15AF3A07" w14:textId="77777777" w:rsidR="00FC5A62" w:rsidRDefault="00C76273">
            <w:pPr>
              <w:widowControl/>
              <w:snapToGrid w:val="0"/>
              <w:jc w:val="right"/>
              <w:rPr>
                <w:color w:val="000000"/>
                <w:szCs w:val="21"/>
              </w:rPr>
            </w:pPr>
            <w:r>
              <w:t xml:space="preserve"> 1,128.21 </w:t>
            </w:r>
          </w:p>
        </w:tc>
        <w:tc>
          <w:tcPr>
            <w:tcW w:w="721" w:type="pct"/>
            <w:vAlign w:val="center"/>
          </w:tcPr>
          <w:p w14:paraId="7E51DBC2" w14:textId="77777777" w:rsidR="00FC5A62" w:rsidRDefault="00C76273">
            <w:pPr>
              <w:widowControl/>
              <w:snapToGrid w:val="0"/>
              <w:jc w:val="right"/>
              <w:rPr>
                <w:color w:val="000000"/>
                <w:szCs w:val="21"/>
              </w:rPr>
            </w:pPr>
            <w:r>
              <w:t>5.43%</w:t>
            </w:r>
          </w:p>
        </w:tc>
      </w:tr>
      <w:tr w:rsidR="00FC5A62" w14:paraId="4D59AEEC" w14:textId="77777777">
        <w:trPr>
          <w:trHeight w:val="397"/>
          <w:jc w:val="center"/>
        </w:trPr>
        <w:tc>
          <w:tcPr>
            <w:tcW w:w="670" w:type="pct"/>
            <w:vAlign w:val="center"/>
          </w:tcPr>
          <w:p w14:paraId="369CE996" w14:textId="77777777" w:rsidR="00FC5A62" w:rsidRDefault="00C76273">
            <w:pPr>
              <w:widowControl/>
              <w:snapToGrid w:val="0"/>
              <w:jc w:val="center"/>
              <w:rPr>
                <w:bCs/>
                <w:szCs w:val="21"/>
              </w:rPr>
            </w:pPr>
            <w:r>
              <w:rPr>
                <w:bCs/>
                <w:szCs w:val="21"/>
              </w:rPr>
              <w:t>其他产品</w:t>
            </w:r>
          </w:p>
        </w:tc>
        <w:tc>
          <w:tcPr>
            <w:tcW w:w="722" w:type="pct"/>
            <w:vAlign w:val="center"/>
          </w:tcPr>
          <w:p w14:paraId="3CB9F80F" w14:textId="77777777" w:rsidR="00FC5A62" w:rsidRDefault="00C76273">
            <w:pPr>
              <w:widowControl/>
              <w:snapToGrid w:val="0"/>
              <w:jc w:val="right"/>
              <w:rPr>
                <w:color w:val="000000"/>
                <w:szCs w:val="21"/>
              </w:rPr>
            </w:pPr>
            <w:r>
              <w:t xml:space="preserve"> 2.24 </w:t>
            </w:r>
          </w:p>
        </w:tc>
        <w:tc>
          <w:tcPr>
            <w:tcW w:w="722" w:type="pct"/>
            <w:vAlign w:val="center"/>
          </w:tcPr>
          <w:p w14:paraId="456E25C0" w14:textId="77777777" w:rsidR="00FC5A62" w:rsidRDefault="00C76273">
            <w:pPr>
              <w:widowControl/>
              <w:snapToGrid w:val="0"/>
              <w:jc w:val="right"/>
              <w:rPr>
                <w:color w:val="000000"/>
                <w:szCs w:val="21"/>
              </w:rPr>
            </w:pPr>
            <w:r>
              <w:t>54.10%</w:t>
            </w:r>
          </w:p>
        </w:tc>
        <w:tc>
          <w:tcPr>
            <w:tcW w:w="722" w:type="pct"/>
            <w:vAlign w:val="center"/>
          </w:tcPr>
          <w:p w14:paraId="2DAB0979" w14:textId="77777777" w:rsidR="00FC5A62" w:rsidRDefault="00C76273">
            <w:pPr>
              <w:widowControl/>
              <w:snapToGrid w:val="0"/>
              <w:jc w:val="right"/>
              <w:rPr>
                <w:color w:val="000000"/>
                <w:szCs w:val="21"/>
              </w:rPr>
            </w:pPr>
            <w:r>
              <w:t xml:space="preserve"> 0.04 </w:t>
            </w:r>
          </w:p>
        </w:tc>
        <w:tc>
          <w:tcPr>
            <w:tcW w:w="722" w:type="pct"/>
            <w:vAlign w:val="center"/>
          </w:tcPr>
          <w:p w14:paraId="15972ED1" w14:textId="77777777" w:rsidR="00FC5A62" w:rsidRDefault="00C76273">
            <w:pPr>
              <w:widowControl/>
              <w:snapToGrid w:val="0"/>
              <w:jc w:val="right"/>
              <w:rPr>
                <w:color w:val="000000"/>
                <w:szCs w:val="21"/>
              </w:rPr>
            </w:pPr>
            <w:r>
              <w:t>0.10%</w:t>
            </w:r>
          </w:p>
        </w:tc>
        <w:tc>
          <w:tcPr>
            <w:tcW w:w="722" w:type="pct"/>
            <w:vAlign w:val="center"/>
          </w:tcPr>
          <w:p w14:paraId="63EBC2D1" w14:textId="77777777" w:rsidR="00FC5A62" w:rsidRDefault="00C76273">
            <w:pPr>
              <w:widowControl/>
              <w:snapToGrid w:val="0"/>
              <w:jc w:val="right"/>
              <w:rPr>
                <w:color w:val="000000"/>
                <w:szCs w:val="21"/>
              </w:rPr>
            </w:pPr>
            <w:r>
              <w:t xml:space="preserve"> 735.08 </w:t>
            </w:r>
          </w:p>
        </w:tc>
        <w:tc>
          <w:tcPr>
            <w:tcW w:w="721" w:type="pct"/>
            <w:vAlign w:val="center"/>
          </w:tcPr>
          <w:p w14:paraId="669DC349" w14:textId="77777777" w:rsidR="00FC5A62" w:rsidRDefault="00C76273">
            <w:pPr>
              <w:widowControl/>
              <w:snapToGrid w:val="0"/>
              <w:jc w:val="right"/>
              <w:rPr>
                <w:color w:val="000000"/>
                <w:szCs w:val="21"/>
              </w:rPr>
            </w:pPr>
            <w:r>
              <w:t>9.30%</w:t>
            </w:r>
          </w:p>
        </w:tc>
      </w:tr>
      <w:tr w:rsidR="00FC5A62" w14:paraId="68AA551F" w14:textId="77777777">
        <w:trPr>
          <w:trHeight w:val="397"/>
          <w:jc w:val="center"/>
        </w:trPr>
        <w:tc>
          <w:tcPr>
            <w:tcW w:w="670" w:type="pct"/>
            <w:vAlign w:val="center"/>
          </w:tcPr>
          <w:p w14:paraId="049860B1" w14:textId="77777777" w:rsidR="00FC5A62" w:rsidRDefault="00C76273">
            <w:pPr>
              <w:widowControl/>
              <w:snapToGrid w:val="0"/>
              <w:jc w:val="center"/>
              <w:rPr>
                <w:b/>
                <w:szCs w:val="21"/>
              </w:rPr>
            </w:pPr>
            <w:r>
              <w:rPr>
                <w:b/>
                <w:szCs w:val="21"/>
              </w:rPr>
              <w:t>合计</w:t>
            </w:r>
          </w:p>
        </w:tc>
        <w:tc>
          <w:tcPr>
            <w:tcW w:w="722" w:type="pct"/>
            <w:vAlign w:val="center"/>
          </w:tcPr>
          <w:p w14:paraId="64C20851" w14:textId="77777777" w:rsidR="00FC5A62" w:rsidRDefault="00C76273">
            <w:pPr>
              <w:widowControl/>
              <w:snapToGrid w:val="0"/>
              <w:jc w:val="right"/>
              <w:rPr>
                <w:b/>
                <w:color w:val="000000"/>
                <w:szCs w:val="21"/>
              </w:rPr>
            </w:pPr>
            <w:r>
              <w:rPr>
                <w:b/>
              </w:rPr>
              <w:t xml:space="preserve"> 25,359.55 </w:t>
            </w:r>
          </w:p>
        </w:tc>
        <w:tc>
          <w:tcPr>
            <w:tcW w:w="722" w:type="pct"/>
            <w:vAlign w:val="center"/>
          </w:tcPr>
          <w:p w14:paraId="02C5F71A" w14:textId="77777777" w:rsidR="00FC5A62" w:rsidRDefault="00C76273">
            <w:pPr>
              <w:widowControl/>
              <w:snapToGrid w:val="0"/>
              <w:jc w:val="right"/>
              <w:rPr>
                <w:b/>
                <w:color w:val="000000"/>
                <w:szCs w:val="21"/>
              </w:rPr>
            </w:pPr>
            <w:r>
              <w:rPr>
                <w:b/>
              </w:rPr>
              <w:t>20.94%</w:t>
            </w:r>
          </w:p>
        </w:tc>
        <w:tc>
          <w:tcPr>
            <w:tcW w:w="722" w:type="pct"/>
            <w:vAlign w:val="center"/>
          </w:tcPr>
          <w:p w14:paraId="7FA55498" w14:textId="77777777" w:rsidR="00FC5A62" w:rsidRDefault="00C76273">
            <w:pPr>
              <w:widowControl/>
              <w:snapToGrid w:val="0"/>
              <w:jc w:val="right"/>
              <w:rPr>
                <w:b/>
                <w:color w:val="000000"/>
                <w:szCs w:val="21"/>
              </w:rPr>
            </w:pPr>
            <w:r>
              <w:rPr>
                <w:b/>
              </w:rPr>
              <w:t xml:space="preserve"> 37,444.65 </w:t>
            </w:r>
          </w:p>
        </w:tc>
        <w:tc>
          <w:tcPr>
            <w:tcW w:w="722" w:type="pct"/>
            <w:vAlign w:val="center"/>
          </w:tcPr>
          <w:p w14:paraId="04AB3540" w14:textId="77777777" w:rsidR="00FC5A62" w:rsidRDefault="00C76273">
            <w:pPr>
              <w:widowControl/>
              <w:snapToGrid w:val="0"/>
              <w:jc w:val="right"/>
              <w:rPr>
                <w:b/>
                <w:color w:val="000000"/>
                <w:szCs w:val="21"/>
              </w:rPr>
            </w:pPr>
            <w:r>
              <w:rPr>
                <w:b/>
              </w:rPr>
              <w:t>13.18%</w:t>
            </w:r>
          </w:p>
        </w:tc>
        <w:tc>
          <w:tcPr>
            <w:tcW w:w="722" w:type="pct"/>
            <w:vAlign w:val="center"/>
          </w:tcPr>
          <w:p w14:paraId="37267D31" w14:textId="77777777" w:rsidR="00FC5A62" w:rsidRDefault="00C76273">
            <w:pPr>
              <w:widowControl/>
              <w:snapToGrid w:val="0"/>
              <w:jc w:val="right"/>
              <w:rPr>
                <w:b/>
                <w:color w:val="000000"/>
                <w:szCs w:val="21"/>
              </w:rPr>
            </w:pPr>
            <w:r>
              <w:rPr>
                <w:b/>
              </w:rPr>
              <w:t xml:space="preserve"> 359.14 </w:t>
            </w:r>
          </w:p>
        </w:tc>
        <w:tc>
          <w:tcPr>
            <w:tcW w:w="721" w:type="pct"/>
            <w:vAlign w:val="center"/>
          </w:tcPr>
          <w:p w14:paraId="5A9D8954" w14:textId="77777777" w:rsidR="00FC5A62" w:rsidRDefault="00C76273">
            <w:pPr>
              <w:widowControl/>
              <w:snapToGrid w:val="0"/>
              <w:jc w:val="right"/>
              <w:rPr>
                <w:b/>
                <w:color w:val="000000"/>
                <w:szCs w:val="21"/>
              </w:rPr>
            </w:pPr>
            <w:r>
              <w:rPr>
                <w:b/>
              </w:rPr>
              <w:t>0.40%</w:t>
            </w:r>
          </w:p>
        </w:tc>
      </w:tr>
    </w:tbl>
    <w:p w14:paraId="69907EE5" w14:textId="77777777" w:rsidR="00FC5A62" w:rsidRDefault="00C76273">
      <w:pPr>
        <w:pStyle w:val="af3"/>
      </w:pPr>
      <w:r>
        <w:rPr>
          <w:rFonts w:hint="eastAsia"/>
        </w:rPr>
        <w:t>注：以上财务数据未经审计</w:t>
      </w:r>
    </w:p>
    <w:p w14:paraId="676101F6" w14:textId="77777777" w:rsidR="00FC5A62" w:rsidRDefault="00C76273" w:rsidP="00AB017D">
      <w:pPr>
        <w:spacing w:beforeLines="50" w:before="156" w:afterLines="50" w:after="156" w:line="360" w:lineRule="auto"/>
        <w:ind w:firstLineChars="200" w:firstLine="482"/>
        <w:rPr>
          <w:b/>
          <w:bCs/>
          <w:sz w:val="24"/>
        </w:rPr>
      </w:pPr>
      <w:r>
        <w:rPr>
          <w:rFonts w:hint="eastAsia"/>
          <w:b/>
          <w:bCs/>
          <w:sz w:val="24"/>
        </w:rPr>
        <w:t>（</w:t>
      </w:r>
      <w:r>
        <w:rPr>
          <w:rFonts w:hint="eastAsia"/>
          <w:b/>
          <w:bCs/>
          <w:sz w:val="24"/>
        </w:rPr>
        <w:t>1</w:t>
      </w:r>
      <w:r>
        <w:rPr>
          <w:rFonts w:hint="eastAsia"/>
          <w:b/>
          <w:bCs/>
          <w:sz w:val="24"/>
        </w:rPr>
        <w:t>）</w:t>
      </w:r>
      <w:r>
        <w:rPr>
          <w:b/>
          <w:bCs/>
          <w:sz w:val="24"/>
        </w:rPr>
        <w:t>光伏组件业务业绩自</w:t>
      </w:r>
      <w:r>
        <w:rPr>
          <w:b/>
          <w:bCs/>
          <w:sz w:val="24"/>
        </w:rPr>
        <w:t>2022</w:t>
      </w:r>
      <w:r>
        <w:rPr>
          <w:b/>
          <w:bCs/>
          <w:sz w:val="24"/>
        </w:rPr>
        <w:t>年以来大幅增长的主要原因及合理性</w:t>
      </w:r>
    </w:p>
    <w:p w14:paraId="0F95345B" w14:textId="77777777" w:rsidR="00FC5A62" w:rsidRDefault="00C76273" w:rsidP="00AB017D">
      <w:pPr>
        <w:spacing w:beforeLines="50" w:before="156" w:afterLines="50" w:after="156" w:line="360" w:lineRule="auto"/>
        <w:ind w:firstLineChars="200" w:firstLine="480"/>
        <w:rPr>
          <w:sz w:val="24"/>
        </w:rPr>
      </w:pPr>
      <w:r>
        <w:rPr>
          <w:rFonts w:hint="eastAsia"/>
          <w:sz w:val="24"/>
        </w:rPr>
        <w:t>2021</w:t>
      </w:r>
      <w:r>
        <w:rPr>
          <w:rFonts w:hint="eastAsia"/>
          <w:sz w:val="24"/>
        </w:rPr>
        <w:t>年、</w:t>
      </w:r>
      <w:r>
        <w:rPr>
          <w:rFonts w:hint="eastAsia"/>
          <w:sz w:val="24"/>
        </w:rPr>
        <w:t>2022</w:t>
      </w:r>
      <w:r>
        <w:rPr>
          <w:rFonts w:hint="eastAsia"/>
          <w:sz w:val="24"/>
        </w:rPr>
        <w:t>年及</w:t>
      </w:r>
      <w:r>
        <w:rPr>
          <w:rFonts w:hint="eastAsia"/>
          <w:sz w:val="24"/>
        </w:rPr>
        <w:t>2023</w:t>
      </w:r>
      <w:r>
        <w:rPr>
          <w:rFonts w:hint="eastAsia"/>
          <w:sz w:val="24"/>
        </w:rPr>
        <w:t>年一季度，标的公司组件产品销售收入分别为</w:t>
      </w:r>
      <w:r>
        <w:rPr>
          <w:sz w:val="24"/>
        </w:rPr>
        <w:t>61,020.67</w:t>
      </w:r>
      <w:r>
        <w:rPr>
          <w:rFonts w:hint="eastAsia"/>
          <w:sz w:val="24"/>
        </w:rPr>
        <w:t>万元</w:t>
      </w:r>
      <w:r>
        <w:rPr>
          <w:sz w:val="24"/>
        </w:rPr>
        <w:t xml:space="preserve"> </w:t>
      </w:r>
      <w:r>
        <w:rPr>
          <w:rFonts w:hint="eastAsia"/>
          <w:sz w:val="24"/>
        </w:rPr>
        <w:t>、</w:t>
      </w:r>
      <w:r>
        <w:rPr>
          <w:sz w:val="24"/>
        </w:rPr>
        <w:t>234,970.38</w:t>
      </w:r>
      <w:r>
        <w:rPr>
          <w:rFonts w:hint="eastAsia"/>
          <w:sz w:val="24"/>
        </w:rPr>
        <w:t>万元和</w:t>
      </w:r>
      <w:r>
        <w:rPr>
          <w:sz w:val="24"/>
        </w:rPr>
        <w:t>100,024.42</w:t>
      </w:r>
      <w:r>
        <w:rPr>
          <w:rFonts w:hint="eastAsia"/>
          <w:sz w:val="24"/>
        </w:rPr>
        <w:t>万元，毛利率分别为</w:t>
      </w:r>
      <w:r>
        <w:rPr>
          <w:sz w:val="24"/>
        </w:rPr>
        <w:t>-2.46%</w:t>
      </w:r>
      <w:r>
        <w:rPr>
          <w:rFonts w:hint="eastAsia"/>
          <w:sz w:val="24"/>
        </w:rPr>
        <w:t>、</w:t>
      </w:r>
      <w:r>
        <w:rPr>
          <w:sz w:val="24"/>
        </w:rPr>
        <w:t>13.94%</w:t>
      </w:r>
      <w:r>
        <w:rPr>
          <w:rFonts w:hint="eastAsia"/>
          <w:sz w:val="24"/>
        </w:rPr>
        <w:t>和</w:t>
      </w:r>
      <w:r>
        <w:rPr>
          <w:sz w:val="24"/>
        </w:rPr>
        <w:t>22.01%</w:t>
      </w:r>
      <w:r>
        <w:rPr>
          <w:rFonts w:hint="eastAsia"/>
          <w:sz w:val="24"/>
        </w:rPr>
        <w:t>，业绩增长幅度较大，主要增长原因如下：</w:t>
      </w:r>
    </w:p>
    <w:p w14:paraId="435ACECE" w14:textId="0B36DEB3" w:rsidR="007519FA" w:rsidRPr="008A1A3A" w:rsidRDefault="007519FA" w:rsidP="007519FA">
      <w:pPr>
        <w:spacing w:beforeLines="50" w:before="156" w:afterLines="50" w:after="156" w:line="360" w:lineRule="auto"/>
        <w:ind w:firstLineChars="200" w:firstLine="482"/>
        <w:rPr>
          <w:b/>
          <w:bCs/>
          <w:sz w:val="24"/>
        </w:rPr>
      </w:pPr>
      <w:r>
        <w:rPr>
          <w:b/>
          <w:bCs/>
          <w:sz w:val="24"/>
        </w:rPr>
        <w:t>1</w:t>
      </w:r>
      <w:r w:rsidRPr="008A1A3A">
        <w:rPr>
          <w:rFonts w:hint="eastAsia"/>
          <w:b/>
          <w:bCs/>
          <w:sz w:val="24"/>
        </w:rPr>
        <w:t>）标的公司电池片产能持续释放，提供了稳定的供应基础</w:t>
      </w:r>
    </w:p>
    <w:p w14:paraId="0DBC9AAB" w14:textId="77777777" w:rsidR="007519FA" w:rsidRDefault="007519FA" w:rsidP="007519FA">
      <w:pPr>
        <w:spacing w:beforeLines="50" w:before="156" w:afterLines="50" w:after="156" w:line="360" w:lineRule="auto"/>
        <w:ind w:firstLineChars="200" w:firstLine="480"/>
        <w:rPr>
          <w:sz w:val="24"/>
        </w:rPr>
      </w:pPr>
      <w:r>
        <w:rPr>
          <w:rFonts w:hint="eastAsia"/>
          <w:sz w:val="24"/>
        </w:rPr>
        <w:t>2022</w:t>
      </w:r>
      <w:r>
        <w:rPr>
          <w:rFonts w:hint="eastAsia"/>
          <w:sz w:val="24"/>
        </w:rPr>
        <w:t>年度，标的公司柬埔寨电池片工厂正式投产，越南电池片工厂产能也不断释放，标的公司销售的光伏组件中采用自行生产的电池片数量逐步增大，扩大了标的公司在光</w:t>
      </w:r>
      <w:proofErr w:type="gramStart"/>
      <w:r>
        <w:rPr>
          <w:rFonts w:hint="eastAsia"/>
          <w:sz w:val="24"/>
        </w:rPr>
        <w:t>伏产业</w:t>
      </w:r>
      <w:proofErr w:type="gramEnd"/>
      <w:r>
        <w:rPr>
          <w:rFonts w:hint="eastAsia"/>
          <w:sz w:val="24"/>
        </w:rPr>
        <w:t>链中摄取的利润区间。</w:t>
      </w:r>
    </w:p>
    <w:p w14:paraId="70936413" w14:textId="216621A5" w:rsidR="007519FA" w:rsidRPr="008A1A3A" w:rsidRDefault="007519FA" w:rsidP="00AB017D">
      <w:pPr>
        <w:spacing w:beforeLines="50" w:before="156" w:afterLines="50" w:after="156" w:line="360" w:lineRule="auto"/>
        <w:ind w:firstLineChars="200" w:firstLine="480"/>
        <w:rPr>
          <w:rFonts w:eastAsiaTheme="majorEastAsia"/>
          <w:b/>
          <w:bCs/>
          <w:sz w:val="24"/>
        </w:rPr>
      </w:pPr>
      <w:r>
        <w:rPr>
          <w:rFonts w:hint="eastAsia"/>
          <w:sz w:val="24"/>
        </w:rPr>
        <w:t>标的公司</w:t>
      </w:r>
      <w:r>
        <w:rPr>
          <w:rFonts w:hint="eastAsia"/>
          <w:sz w:val="24"/>
        </w:rPr>
        <w:t>2</w:t>
      </w:r>
      <w:r>
        <w:rPr>
          <w:sz w:val="24"/>
        </w:rPr>
        <w:t>021</w:t>
      </w:r>
      <w:r>
        <w:rPr>
          <w:rFonts w:hint="eastAsia"/>
          <w:sz w:val="24"/>
        </w:rPr>
        <w:t>年度、</w:t>
      </w:r>
      <w:r>
        <w:rPr>
          <w:rFonts w:hint="eastAsia"/>
          <w:sz w:val="24"/>
        </w:rPr>
        <w:t>2</w:t>
      </w:r>
      <w:r>
        <w:rPr>
          <w:sz w:val="24"/>
        </w:rPr>
        <w:t>022</w:t>
      </w:r>
      <w:r>
        <w:rPr>
          <w:rFonts w:hint="eastAsia"/>
          <w:sz w:val="24"/>
        </w:rPr>
        <w:t>年度及</w:t>
      </w:r>
      <w:r>
        <w:rPr>
          <w:rFonts w:hint="eastAsia"/>
          <w:sz w:val="24"/>
        </w:rPr>
        <w:t>2</w:t>
      </w:r>
      <w:r>
        <w:rPr>
          <w:sz w:val="24"/>
        </w:rPr>
        <w:t>023</w:t>
      </w:r>
      <w:r>
        <w:rPr>
          <w:rFonts w:hint="eastAsia"/>
          <w:sz w:val="24"/>
        </w:rPr>
        <w:t>年一季度电池片产量约为</w:t>
      </w:r>
      <w:r>
        <w:rPr>
          <w:sz w:val="24"/>
        </w:rPr>
        <w:t>240</w:t>
      </w:r>
      <w:r>
        <w:rPr>
          <w:rFonts w:hint="eastAsia"/>
          <w:sz w:val="24"/>
        </w:rPr>
        <w:t>M</w:t>
      </w:r>
      <w:r>
        <w:rPr>
          <w:sz w:val="24"/>
        </w:rPr>
        <w:t>W</w:t>
      </w:r>
      <w:r>
        <w:rPr>
          <w:rFonts w:hint="eastAsia"/>
          <w:sz w:val="24"/>
        </w:rPr>
        <w:t>、</w:t>
      </w:r>
      <w:r>
        <w:rPr>
          <w:sz w:val="24"/>
        </w:rPr>
        <w:t>961</w:t>
      </w:r>
      <w:r>
        <w:rPr>
          <w:rFonts w:hint="eastAsia"/>
          <w:sz w:val="24"/>
        </w:rPr>
        <w:t>M</w:t>
      </w:r>
      <w:r>
        <w:rPr>
          <w:sz w:val="24"/>
        </w:rPr>
        <w:t>W</w:t>
      </w:r>
      <w:r>
        <w:rPr>
          <w:rFonts w:hint="eastAsia"/>
          <w:sz w:val="24"/>
        </w:rPr>
        <w:t>和</w:t>
      </w:r>
      <w:r>
        <w:rPr>
          <w:sz w:val="24"/>
        </w:rPr>
        <w:t>390</w:t>
      </w:r>
      <w:r>
        <w:rPr>
          <w:rFonts w:hint="eastAsia"/>
          <w:sz w:val="24"/>
        </w:rPr>
        <w:t>M</w:t>
      </w:r>
      <w:r>
        <w:rPr>
          <w:sz w:val="24"/>
        </w:rPr>
        <w:t>W</w:t>
      </w:r>
      <w:r>
        <w:rPr>
          <w:rFonts w:hint="eastAsia"/>
          <w:sz w:val="24"/>
        </w:rPr>
        <w:t>，产能的持续释放为公司销售业绩的增长提供了稳定的供应基础，同时也提高了标的公司于组件终端市场获取订单的竞争力。</w:t>
      </w:r>
    </w:p>
    <w:p w14:paraId="032BF8C5" w14:textId="77777777" w:rsidR="00FC5A62" w:rsidRPr="008A1A3A" w:rsidRDefault="00C76273" w:rsidP="00AB017D">
      <w:pPr>
        <w:spacing w:beforeLines="50" w:before="156" w:afterLines="50" w:after="156" w:line="360" w:lineRule="auto"/>
        <w:ind w:firstLineChars="200" w:firstLine="482"/>
        <w:rPr>
          <w:b/>
          <w:bCs/>
          <w:sz w:val="24"/>
        </w:rPr>
      </w:pPr>
      <w:r w:rsidRPr="008A1A3A">
        <w:rPr>
          <w:b/>
          <w:bCs/>
          <w:sz w:val="24"/>
        </w:rPr>
        <w:t>2</w:t>
      </w:r>
      <w:r w:rsidRPr="008A1A3A">
        <w:rPr>
          <w:rFonts w:hint="eastAsia"/>
          <w:b/>
          <w:bCs/>
          <w:sz w:val="24"/>
        </w:rPr>
        <w:t>）美国市场组件价格维持高位，利润空间扩大</w:t>
      </w:r>
    </w:p>
    <w:p w14:paraId="38455282" w14:textId="7C28150B" w:rsidR="00FC5A62" w:rsidRDefault="00C76273" w:rsidP="00AB017D">
      <w:pPr>
        <w:spacing w:beforeLines="50" w:before="156" w:afterLines="50" w:after="156" w:line="360" w:lineRule="auto"/>
        <w:ind w:firstLineChars="200" w:firstLine="480"/>
        <w:rPr>
          <w:sz w:val="24"/>
        </w:rPr>
      </w:pPr>
      <w:r>
        <w:rPr>
          <w:rFonts w:hint="eastAsia"/>
          <w:sz w:val="24"/>
        </w:rPr>
        <w:t>标的公司</w:t>
      </w:r>
      <w:r>
        <w:rPr>
          <w:sz w:val="24"/>
        </w:rPr>
        <w:t>在美国最重要的市场是大型地面电站，地面电站的</w:t>
      </w:r>
      <w:r>
        <w:rPr>
          <w:rFonts w:hint="eastAsia"/>
          <w:sz w:val="24"/>
        </w:rPr>
        <w:t>建设</w:t>
      </w:r>
      <w:r>
        <w:rPr>
          <w:sz w:val="24"/>
        </w:rPr>
        <w:t>周期较长，属于期货市场</w:t>
      </w:r>
      <w:r>
        <w:rPr>
          <w:rFonts w:hint="eastAsia"/>
          <w:sz w:val="24"/>
        </w:rPr>
        <w:t>，客户与标的公司签订的合同约定的交付周期一般也较长。标的公司</w:t>
      </w:r>
      <w:r>
        <w:rPr>
          <w:sz w:val="24"/>
        </w:rPr>
        <w:t>2021</w:t>
      </w:r>
      <w:r>
        <w:rPr>
          <w:rFonts w:hint="eastAsia"/>
          <w:sz w:val="24"/>
        </w:rPr>
        <w:t>年度主要执行订单为</w:t>
      </w:r>
      <w:r>
        <w:rPr>
          <w:sz w:val="24"/>
        </w:rPr>
        <w:t>2020</w:t>
      </w:r>
      <w:r>
        <w:rPr>
          <w:rFonts w:hint="eastAsia"/>
          <w:sz w:val="24"/>
        </w:rPr>
        <w:t>年下半年及</w:t>
      </w:r>
      <w:r>
        <w:rPr>
          <w:sz w:val="24"/>
        </w:rPr>
        <w:t>2021</w:t>
      </w:r>
      <w:r>
        <w:rPr>
          <w:rFonts w:hint="eastAsia"/>
          <w:sz w:val="24"/>
        </w:rPr>
        <w:t>年上半年签订的低价订单，</w:t>
      </w:r>
      <w:r>
        <w:rPr>
          <w:rFonts w:hint="eastAsia"/>
          <w:sz w:val="24"/>
        </w:rPr>
        <w:lastRenderedPageBreak/>
        <w:t>订单均价约为</w:t>
      </w:r>
      <w:r>
        <w:rPr>
          <w:sz w:val="24"/>
        </w:rPr>
        <w:t>0.31-0.34</w:t>
      </w:r>
      <w:r>
        <w:rPr>
          <w:rFonts w:hint="eastAsia"/>
          <w:sz w:val="24"/>
        </w:rPr>
        <w:t>美元</w:t>
      </w:r>
      <w:r>
        <w:rPr>
          <w:sz w:val="24"/>
        </w:rPr>
        <w:t>/</w:t>
      </w:r>
      <w:r>
        <w:rPr>
          <w:rFonts w:hint="eastAsia"/>
          <w:sz w:val="24"/>
        </w:rPr>
        <w:t>瓦，</w:t>
      </w:r>
      <w:r>
        <w:rPr>
          <w:sz w:val="24"/>
        </w:rPr>
        <w:t>2021</w:t>
      </w:r>
      <w:r>
        <w:rPr>
          <w:rFonts w:hint="eastAsia"/>
          <w:sz w:val="24"/>
        </w:rPr>
        <w:t>年下半年后，受原料市场波动影响，组件价格大幅提升，签单价格较之前提升幅度约</w:t>
      </w:r>
      <w:r>
        <w:rPr>
          <w:rFonts w:hint="eastAsia"/>
          <w:sz w:val="24"/>
        </w:rPr>
        <w:t>2</w:t>
      </w:r>
      <w:r>
        <w:rPr>
          <w:sz w:val="24"/>
        </w:rPr>
        <w:t>0%</w:t>
      </w:r>
      <w:r>
        <w:rPr>
          <w:rFonts w:hint="eastAsia"/>
          <w:sz w:val="24"/>
        </w:rPr>
        <w:t>以上。标的公司</w:t>
      </w:r>
      <w:r>
        <w:rPr>
          <w:rFonts w:hint="eastAsia"/>
          <w:sz w:val="24"/>
        </w:rPr>
        <w:t>2</w:t>
      </w:r>
      <w:r>
        <w:rPr>
          <w:sz w:val="24"/>
        </w:rPr>
        <w:t>022</w:t>
      </w:r>
      <w:r>
        <w:rPr>
          <w:rFonts w:hint="eastAsia"/>
          <w:sz w:val="24"/>
        </w:rPr>
        <w:t>年度及</w:t>
      </w:r>
      <w:r>
        <w:rPr>
          <w:rFonts w:hint="eastAsia"/>
          <w:sz w:val="24"/>
        </w:rPr>
        <w:t>2</w:t>
      </w:r>
      <w:r>
        <w:rPr>
          <w:sz w:val="24"/>
        </w:rPr>
        <w:t>023</w:t>
      </w:r>
      <w:r>
        <w:rPr>
          <w:rFonts w:hint="eastAsia"/>
          <w:sz w:val="24"/>
        </w:rPr>
        <w:t>年一季度执行的订单主要系在该价格区间内签署的订单。同时，伴随该期间运费及硅料价格的整体回落，标的公司利润空间逐步扩大。</w:t>
      </w:r>
    </w:p>
    <w:p w14:paraId="567B2236" w14:textId="77777777" w:rsidR="00FC5A62" w:rsidRDefault="00C76273" w:rsidP="00AB017D">
      <w:pPr>
        <w:spacing w:beforeLines="50" w:before="156" w:afterLines="50" w:after="156" w:line="360" w:lineRule="auto"/>
        <w:ind w:firstLineChars="200" w:firstLine="480"/>
        <w:rPr>
          <w:sz w:val="24"/>
        </w:rPr>
      </w:pPr>
      <w:r>
        <w:rPr>
          <w:rFonts w:hint="eastAsia"/>
          <w:sz w:val="24"/>
        </w:rPr>
        <w:t>同时，标的公司在手订单储备充足，截至</w:t>
      </w:r>
      <w:r>
        <w:rPr>
          <w:rFonts w:hint="eastAsia"/>
          <w:sz w:val="24"/>
        </w:rPr>
        <w:t>2</w:t>
      </w:r>
      <w:r>
        <w:rPr>
          <w:sz w:val="24"/>
        </w:rPr>
        <w:t>023</w:t>
      </w:r>
      <w:r>
        <w:rPr>
          <w:rFonts w:hint="eastAsia"/>
          <w:sz w:val="24"/>
        </w:rPr>
        <w:t>年</w:t>
      </w:r>
      <w:r>
        <w:rPr>
          <w:rFonts w:hint="eastAsia"/>
          <w:sz w:val="24"/>
        </w:rPr>
        <w:t>8</w:t>
      </w:r>
      <w:r>
        <w:rPr>
          <w:rFonts w:hint="eastAsia"/>
          <w:sz w:val="24"/>
        </w:rPr>
        <w:t>月末已签署的在手订单量达到约</w:t>
      </w:r>
      <w:r>
        <w:rPr>
          <w:sz w:val="24"/>
        </w:rPr>
        <w:t>2,053MW</w:t>
      </w:r>
      <w:r>
        <w:rPr>
          <w:rFonts w:hint="eastAsia"/>
          <w:sz w:val="24"/>
        </w:rPr>
        <w:t>，该部分交付产品的订单价格不会出现大幅下滑的情况。</w:t>
      </w:r>
    </w:p>
    <w:p w14:paraId="08536766" w14:textId="14A2F23E" w:rsidR="00FC5A62" w:rsidRPr="008A1A3A" w:rsidRDefault="007519FA" w:rsidP="00AB017D">
      <w:pPr>
        <w:spacing w:beforeLines="50" w:before="156" w:afterLines="50" w:after="156" w:line="360" w:lineRule="auto"/>
        <w:ind w:firstLineChars="200" w:firstLine="482"/>
        <w:rPr>
          <w:b/>
          <w:bCs/>
          <w:sz w:val="24"/>
        </w:rPr>
      </w:pPr>
      <w:r>
        <w:rPr>
          <w:b/>
          <w:bCs/>
          <w:sz w:val="24"/>
        </w:rPr>
        <w:t>3</w:t>
      </w:r>
      <w:r w:rsidR="00C76273" w:rsidRPr="008A1A3A">
        <w:rPr>
          <w:rFonts w:hint="eastAsia"/>
          <w:b/>
          <w:bCs/>
          <w:sz w:val="24"/>
        </w:rPr>
        <w:t>）硅料成本下滑，下游利润空间得到释放</w:t>
      </w:r>
    </w:p>
    <w:p w14:paraId="02B25793" w14:textId="77777777" w:rsidR="00FC5A62" w:rsidRDefault="00C76273" w:rsidP="00AB017D">
      <w:pPr>
        <w:spacing w:beforeLines="50" w:before="156" w:afterLines="50" w:after="156" w:line="360" w:lineRule="auto"/>
        <w:ind w:firstLineChars="200" w:firstLine="480"/>
        <w:rPr>
          <w:sz w:val="24"/>
        </w:rPr>
      </w:pPr>
      <w:r>
        <w:rPr>
          <w:rFonts w:hint="eastAsia"/>
          <w:sz w:val="24"/>
        </w:rPr>
        <w:t>2021</w:t>
      </w:r>
      <w:r>
        <w:rPr>
          <w:rFonts w:hint="eastAsia"/>
          <w:sz w:val="24"/>
        </w:rPr>
        <w:t>年度及</w:t>
      </w:r>
      <w:r>
        <w:rPr>
          <w:rFonts w:hint="eastAsia"/>
          <w:sz w:val="24"/>
        </w:rPr>
        <w:t>2022</w:t>
      </w:r>
      <w:r>
        <w:rPr>
          <w:rFonts w:hint="eastAsia"/>
          <w:sz w:val="24"/>
        </w:rPr>
        <w:t>年度，多晶硅料市场价格总体呈现大幅上涨趋势，由</w:t>
      </w:r>
      <w:r>
        <w:rPr>
          <w:rFonts w:hint="eastAsia"/>
          <w:sz w:val="24"/>
        </w:rPr>
        <w:t>2021</w:t>
      </w:r>
      <w:r>
        <w:rPr>
          <w:rFonts w:hint="eastAsia"/>
          <w:sz w:val="24"/>
        </w:rPr>
        <w:t>年</w:t>
      </w:r>
      <w:r>
        <w:rPr>
          <w:rFonts w:hint="eastAsia"/>
          <w:sz w:val="24"/>
        </w:rPr>
        <w:t>1</w:t>
      </w:r>
      <w:r>
        <w:rPr>
          <w:rFonts w:hint="eastAsia"/>
          <w:sz w:val="24"/>
        </w:rPr>
        <w:t>月的约</w:t>
      </w:r>
      <w:r>
        <w:rPr>
          <w:sz w:val="24"/>
        </w:rPr>
        <w:t>11</w:t>
      </w:r>
      <w:r>
        <w:rPr>
          <w:rFonts w:hint="eastAsia"/>
          <w:sz w:val="24"/>
        </w:rPr>
        <w:t>美元</w:t>
      </w:r>
      <w:r>
        <w:rPr>
          <w:rFonts w:hint="eastAsia"/>
          <w:sz w:val="24"/>
        </w:rPr>
        <w:t>/</w:t>
      </w:r>
      <w:r>
        <w:rPr>
          <w:rFonts w:hint="eastAsia"/>
          <w:sz w:val="24"/>
        </w:rPr>
        <w:t>千克大幅上升至</w:t>
      </w:r>
      <w:r>
        <w:rPr>
          <w:rFonts w:hint="eastAsia"/>
          <w:sz w:val="24"/>
        </w:rPr>
        <w:t>2021</w:t>
      </w:r>
      <w:r>
        <w:rPr>
          <w:rFonts w:hint="eastAsia"/>
          <w:sz w:val="24"/>
        </w:rPr>
        <w:t>年</w:t>
      </w:r>
      <w:r>
        <w:rPr>
          <w:rFonts w:hint="eastAsia"/>
          <w:sz w:val="24"/>
        </w:rPr>
        <w:t>1</w:t>
      </w:r>
      <w:r>
        <w:rPr>
          <w:sz w:val="24"/>
        </w:rPr>
        <w:t>1</w:t>
      </w:r>
      <w:r>
        <w:rPr>
          <w:rFonts w:hint="eastAsia"/>
          <w:sz w:val="24"/>
        </w:rPr>
        <w:t>月的约</w:t>
      </w:r>
      <w:r>
        <w:rPr>
          <w:sz w:val="24"/>
        </w:rPr>
        <w:t>36</w:t>
      </w:r>
      <w:r>
        <w:rPr>
          <w:rFonts w:hint="eastAsia"/>
          <w:sz w:val="24"/>
        </w:rPr>
        <w:t>美元</w:t>
      </w:r>
      <w:r>
        <w:rPr>
          <w:rFonts w:hint="eastAsia"/>
          <w:sz w:val="24"/>
        </w:rPr>
        <w:t>/</w:t>
      </w:r>
      <w:r>
        <w:rPr>
          <w:rFonts w:hint="eastAsia"/>
          <w:sz w:val="24"/>
        </w:rPr>
        <w:t>千克，</w:t>
      </w:r>
      <w:r>
        <w:rPr>
          <w:rFonts w:hint="eastAsia"/>
          <w:sz w:val="24"/>
        </w:rPr>
        <w:t>2022</w:t>
      </w:r>
      <w:r>
        <w:rPr>
          <w:rFonts w:hint="eastAsia"/>
          <w:sz w:val="24"/>
        </w:rPr>
        <w:t>年</w:t>
      </w:r>
      <w:r>
        <w:rPr>
          <w:rFonts w:hint="eastAsia"/>
          <w:sz w:val="24"/>
        </w:rPr>
        <w:t>1</w:t>
      </w:r>
      <w:r>
        <w:rPr>
          <w:rFonts w:hint="eastAsia"/>
          <w:sz w:val="24"/>
        </w:rPr>
        <w:t>月短暂回落至约</w:t>
      </w:r>
      <w:r>
        <w:rPr>
          <w:sz w:val="24"/>
        </w:rPr>
        <w:t>30</w:t>
      </w:r>
      <w:r>
        <w:rPr>
          <w:rFonts w:hint="eastAsia"/>
          <w:sz w:val="24"/>
        </w:rPr>
        <w:t>美元</w:t>
      </w:r>
      <w:r>
        <w:rPr>
          <w:rFonts w:hint="eastAsia"/>
          <w:sz w:val="24"/>
        </w:rPr>
        <w:t>/</w:t>
      </w:r>
      <w:r>
        <w:rPr>
          <w:rFonts w:hint="eastAsia"/>
          <w:sz w:val="24"/>
        </w:rPr>
        <w:t>千克后，持续上涨至</w:t>
      </w:r>
      <w:r>
        <w:rPr>
          <w:rFonts w:hint="eastAsia"/>
          <w:sz w:val="24"/>
        </w:rPr>
        <w:t>2022</w:t>
      </w:r>
      <w:r>
        <w:rPr>
          <w:rFonts w:hint="eastAsia"/>
          <w:sz w:val="24"/>
        </w:rPr>
        <w:t>年</w:t>
      </w:r>
      <w:r>
        <w:rPr>
          <w:rFonts w:hint="eastAsia"/>
          <w:sz w:val="24"/>
        </w:rPr>
        <w:t>1</w:t>
      </w:r>
      <w:r>
        <w:rPr>
          <w:sz w:val="24"/>
        </w:rPr>
        <w:t>0</w:t>
      </w:r>
      <w:r>
        <w:rPr>
          <w:rFonts w:hint="eastAsia"/>
          <w:sz w:val="24"/>
        </w:rPr>
        <w:t>月的约</w:t>
      </w:r>
      <w:r>
        <w:rPr>
          <w:sz w:val="24"/>
        </w:rPr>
        <w:t>36</w:t>
      </w:r>
      <w:r>
        <w:rPr>
          <w:rFonts w:hint="eastAsia"/>
          <w:sz w:val="24"/>
        </w:rPr>
        <w:t>美元</w:t>
      </w:r>
      <w:r>
        <w:rPr>
          <w:rFonts w:hint="eastAsia"/>
          <w:sz w:val="24"/>
        </w:rPr>
        <w:t>/</w:t>
      </w:r>
      <w:r>
        <w:rPr>
          <w:rFonts w:hint="eastAsia"/>
          <w:sz w:val="24"/>
        </w:rPr>
        <w:t>千克。</w:t>
      </w:r>
      <w:r>
        <w:rPr>
          <w:rFonts w:hint="eastAsia"/>
          <w:sz w:val="24"/>
        </w:rPr>
        <w:t>2</w:t>
      </w:r>
      <w:r>
        <w:rPr>
          <w:sz w:val="24"/>
        </w:rPr>
        <w:t>023</w:t>
      </w:r>
      <w:r>
        <w:rPr>
          <w:rFonts w:hint="eastAsia"/>
          <w:sz w:val="24"/>
        </w:rPr>
        <w:t>年一季度多晶硅料价格整体处于下行区间。而随着硅料价格的下滑，电池片成本相应降低，为下游的组件环节释放了更多的利润空间。</w:t>
      </w:r>
    </w:p>
    <w:p w14:paraId="0ED659A1" w14:textId="4A33F99B" w:rsidR="00FC5A62" w:rsidRPr="008A1A3A" w:rsidRDefault="007519FA" w:rsidP="00AB017D">
      <w:pPr>
        <w:spacing w:beforeLines="50" w:before="156" w:afterLines="50" w:after="156" w:line="360" w:lineRule="auto"/>
        <w:ind w:firstLineChars="200" w:firstLine="482"/>
        <w:rPr>
          <w:b/>
          <w:bCs/>
          <w:sz w:val="24"/>
        </w:rPr>
      </w:pPr>
      <w:r>
        <w:rPr>
          <w:b/>
          <w:bCs/>
          <w:sz w:val="24"/>
        </w:rPr>
        <w:t>4</w:t>
      </w:r>
      <w:r w:rsidR="00C76273" w:rsidRPr="008A1A3A">
        <w:rPr>
          <w:rFonts w:hint="eastAsia"/>
          <w:b/>
          <w:bCs/>
          <w:sz w:val="24"/>
        </w:rPr>
        <w:t>）国际运费回稳，标的公司海运运费成本降低</w:t>
      </w:r>
    </w:p>
    <w:p w14:paraId="503923F2" w14:textId="77777777" w:rsidR="00FC5A62" w:rsidRDefault="00C76273" w:rsidP="00AB017D">
      <w:pPr>
        <w:spacing w:beforeLines="50" w:before="156" w:afterLines="50" w:after="156" w:line="360" w:lineRule="auto"/>
        <w:ind w:firstLineChars="200" w:firstLine="480"/>
        <w:rPr>
          <w:sz w:val="24"/>
        </w:rPr>
      </w:pPr>
      <w:r>
        <w:rPr>
          <w:rFonts w:hint="eastAsia"/>
          <w:sz w:val="24"/>
        </w:rPr>
        <w:t>2021</w:t>
      </w:r>
      <w:r>
        <w:rPr>
          <w:rFonts w:hint="eastAsia"/>
          <w:sz w:val="24"/>
        </w:rPr>
        <w:t>年，受宏观环境影响，美欧部分国家港口拥堵加剧，船舶运力受损，供需严重失衡，导致全球集装箱船运费价格普遍大幅上涨。</w:t>
      </w:r>
      <w:r>
        <w:rPr>
          <w:rFonts w:hint="eastAsia"/>
          <w:sz w:val="24"/>
        </w:rPr>
        <w:t>2022</w:t>
      </w:r>
      <w:r>
        <w:rPr>
          <w:rFonts w:hint="eastAsia"/>
          <w:sz w:val="24"/>
        </w:rPr>
        <w:t>年，随着全球供应链逐步恢复，集装箱船运费价格进入下行通道，并于</w:t>
      </w:r>
      <w:r>
        <w:rPr>
          <w:rFonts w:hint="eastAsia"/>
          <w:sz w:val="24"/>
        </w:rPr>
        <w:t>2023</w:t>
      </w:r>
      <w:r>
        <w:rPr>
          <w:rFonts w:hint="eastAsia"/>
          <w:sz w:val="24"/>
        </w:rPr>
        <w:t>年初基本回落到行业常规水平，今年上半年各主要贸易通道即期运费维持低位运行。</w:t>
      </w:r>
    </w:p>
    <w:p w14:paraId="3B24DD12" w14:textId="77777777" w:rsidR="00FC5A62" w:rsidRDefault="00C76273" w:rsidP="00AB017D">
      <w:pPr>
        <w:spacing w:beforeLines="50" w:before="156" w:afterLines="50" w:after="156" w:line="360" w:lineRule="auto"/>
        <w:ind w:firstLineChars="200" w:firstLine="480"/>
        <w:rPr>
          <w:sz w:val="24"/>
        </w:rPr>
      </w:pPr>
      <w:r>
        <w:rPr>
          <w:rFonts w:hint="eastAsia"/>
          <w:sz w:val="24"/>
        </w:rPr>
        <w:t>标的公司光伏组件的销售主要通过海运的方式以</w:t>
      </w:r>
      <w:r>
        <w:rPr>
          <w:rFonts w:hint="eastAsia"/>
          <w:sz w:val="24"/>
        </w:rPr>
        <w:t>D</w:t>
      </w:r>
      <w:r>
        <w:rPr>
          <w:sz w:val="24"/>
        </w:rPr>
        <w:t>DP</w:t>
      </w:r>
      <w:r>
        <w:rPr>
          <w:rFonts w:hint="eastAsia"/>
          <w:sz w:val="24"/>
        </w:rPr>
        <w:t>模式由东南亚生产基地销往美国地区。伴随着国际集装箱运费价格的回落，标的公司海运运费成本降低，为销售环节提供了更大的利润空间。</w:t>
      </w:r>
    </w:p>
    <w:p w14:paraId="1041D36F" w14:textId="77777777" w:rsidR="00FC5A62" w:rsidRDefault="00C76273" w:rsidP="00AB017D">
      <w:pPr>
        <w:spacing w:beforeLines="50" w:before="156" w:afterLines="50" w:after="156" w:line="360" w:lineRule="auto"/>
        <w:ind w:firstLineChars="200" w:firstLine="482"/>
        <w:rPr>
          <w:rFonts w:eastAsiaTheme="majorEastAsia"/>
          <w:b/>
          <w:bCs/>
          <w:sz w:val="24"/>
        </w:rPr>
      </w:pPr>
      <w:r>
        <w:rPr>
          <w:rFonts w:eastAsiaTheme="majorEastAsia" w:hint="eastAsia"/>
          <w:b/>
          <w:bCs/>
          <w:sz w:val="24"/>
        </w:rPr>
        <w:t>（</w:t>
      </w:r>
      <w:r>
        <w:rPr>
          <w:rFonts w:hint="eastAsia"/>
          <w:b/>
          <w:bCs/>
          <w:sz w:val="24"/>
        </w:rPr>
        <w:t>2</w:t>
      </w:r>
      <w:r>
        <w:rPr>
          <w:rFonts w:hint="eastAsia"/>
          <w:b/>
          <w:bCs/>
          <w:sz w:val="24"/>
        </w:rPr>
        <w:t>）</w:t>
      </w:r>
      <w:r>
        <w:rPr>
          <w:b/>
          <w:bCs/>
          <w:sz w:val="24"/>
        </w:rPr>
        <w:t>电池</w:t>
      </w:r>
      <w:proofErr w:type="gramStart"/>
      <w:r>
        <w:rPr>
          <w:b/>
          <w:bCs/>
          <w:sz w:val="24"/>
        </w:rPr>
        <w:t>片业务</w:t>
      </w:r>
      <w:proofErr w:type="gramEnd"/>
      <w:r>
        <w:rPr>
          <w:b/>
          <w:bCs/>
          <w:sz w:val="24"/>
        </w:rPr>
        <w:t>业绩自</w:t>
      </w:r>
      <w:r>
        <w:rPr>
          <w:b/>
          <w:bCs/>
          <w:sz w:val="24"/>
        </w:rPr>
        <w:t>2022</w:t>
      </w:r>
      <w:r>
        <w:rPr>
          <w:b/>
          <w:bCs/>
          <w:sz w:val="24"/>
        </w:rPr>
        <w:t>年以来大幅增长的主要原因及合理性</w:t>
      </w:r>
    </w:p>
    <w:p w14:paraId="4858FF46" w14:textId="77777777" w:rsidR="00FC5A62" w:rsidRDefault="00C76273" w:rsidP="00AB017D">
      <w:pPr>
        <w:spacing w:beforeLines="50" w:before="156" w:afterLines="50" w:after="156" w:line="360" w:lineRule="auto"/>
        <w:ind w:firstLineChars="200" w:firstLine="480"/>
        <w:rPr>
          <w:sz w:val="24"/>
        </w:rPr>
      </w:pPr>
      <w:r>
        <w:rPr>
          <w:rFonts w:hint="eastAsia"/>
          <w:sz w:val="24"/>
        </w:rPr>
        <w:t>2021</w:t>
      </w:r>
      <w:r>
        <w:rPr>
          <w:rFonts w:hint="eastAsia"/>
          <w:sz w:val="24"/>
        </w:rPr>
        <w:t>年、</w:t>
      </w:r>
      <w:r>
        <w:rPr>
          <w:rFonts w:hint="eastAsia"/>
          <w:sz w:val="24"/>
        </w:rPr>
        <w:t>2022</w:t>
      </w:r>
      <w:r>
        <w:rPr>
          <w:rFonts w:hint="eastAsia"/>
          <w:sz w:val="24"/>
        </w:rPr>
        <w:t>年及</w:t>
      </w:r>
      <w:r>
        <w:rPr>
          <w:rFonts w:hint="eastAsia"/>
          <w:sz w:val="24"/>
        </w:rPr>
        <w:t>2023</w:t>
      </w:r>
      <w:r>
        <w:rPr>
          <w:rFonts w:hint="eastAsia"/>
          <w:sz w:val="24"/>
        </w:rPr>
        <w:t>年一季度标的电池片产品销售收入分别为</w:t>
      </w:r>
      <w:r>
        <w:rPr>
          <w:sz w:val="24"/>
        </w:rPr>
        <w:t>20,769.09</w:t>
      </w:r>
      <w:r>
        <w:rPr>
          <w:rFonts w:hint="eastAsia"/>
          <w:sz w:val="24"/>
        </w:rPr>
        <w:t>万元、</w:t>
      </w:r>
      <w:r>
        <w:rPr>
          <w:sz w:val="24"/>
        </w:rPr>
        <w:t>49,172.90</w:t>
      </w:r>
      <w:r>
        <w:rPr>
          <w:rFonts w:hint="eastAsia"/>
          <w:sz w:val="24"/>
        </w:rPr>
        <w:t>万元和</w:t>
      </w:r>
      <w:r>
        <w:rPr>
          <w:sz w:val="24"/>
        </w:rPr>
        <w:t>21,054.35</w:t>
      </w:r>
      <w:r>
        <w:rPr>
          <w:rFonts w:hint="eastAsia"/>
          <w:sz w:val="24"/>
        </w:rPr>
        <w:t>万元，占标的公司营业收入的比例分别为</w:t>
      </w:r>
      <w:r>
        <w:rPr>
          <w:rFonts w:hint="eastAsia"/>
          <w:sz w:val="24"/>
        </w:rPr>
        <w:t>2</w:t>
      </w:r>
      <w:r>
        <w:rPr>
          <w:sz w:val="24"/>
        </w:rPr>
        <w:t>3.15%</w:t>
      </w:r>
      <w:r>
        <w:rPr>
          <w:rFonts w:hint="eastAsia"/>
          <w:sz w:val="24"/>
        </w:rPr>
        <w:t>、</w:t>
      </w:r>
      <w:r>
        <w:rPr>
          <w:rFonts w:hint="eastAsia"/>
          <w:sz w:val="24"/>
        </w:rPr>
        <w:t>1</w:t>
      </w:r>
      <w:r>
        <w:rPr>
          <w:sz w:val="24"/>
        </w:rPr>
        <w:t>7.30%</w:t>
      </w:r>
      <w:r>
        <w:rPr>
          <w:rFonts w:hint="eastAsia"/>
          <w:sz w:val="24"/>
        </w:rPr>
        <w:t>和</w:t>
      </w:r>
      <w:r>
        <w:rPr>
          <w:rFonts w:hint="eastAsia"/>
          <w:sz w:val="24"/>
        </w:rPr>
        <w:t>1</w:t>
      </w:r>
      <w:r>
        <w:rPr>
          <w:sz w:val="24"/>
        </w:rPr>
        <w:t>7.39%</w:t>
      </w:r>
      <w:r>
        <w:rPr>
          <w:rFonts w:hint="eastAsia"/>
          <w:sz w:val="24"/>
        </w:rPr>
        <w:t>，销售占比降低；毛利率分别为</w:t>
      </w:r>
      <w:r>
        <w:rPr>
          <w:sz w:val="24"/>
        </w:rPr>
        <w:t>5.43%</w:t>
      </w:r>
      <w:r>
        <w:rPr>
          <w:rFonts w:hint="eastAsia"/>
          <w:sz w:val="24"/>
        </w:rPr>
        <w:t>、</w:t>
      </w:r>
      <w:r>
        <w:rPr>
          <w:sz w:val="24"/>
        </w:rPr>
        <w:t>9.51%</w:t>
      </w:r>
      <w:r>
        <w:rPr>
          <w:rFonts w:hint="eastAsia"/>
          <w:sz w:val="24"/>
        </w:rPr>
        <w:t>和</w:t>
      </w:r>
      <w:r>
        <w:rPr>
          <w:sz w:val="24"/>
        </w:rPr>
        <w:t>15.85%</w:t>
      </w:r>
      <w:r>
        <w:rPr>
          <w:rFonts w:hint="eastAsia"/>
          <w:sz w:val="24"/>
        </w:rPr>
        <w:t>，业绩增长幅度较大，增长原因主要如下：</w:t>
      </w:r>
    </w:p>
    <w:p w14:paraId="1945F1E1" w14:textId="77777777" w:rsidR="00FC5A62" w:rsidRPr="008A1A3A" w:rsidRDefault="00C76273" w:rsidP="00AB017D">
      <w:pPr>
        <w:spacing w:beforeLines="50" w:before="156" w:afterLines="50" w:after="156" w:line="360" w:lineRule="auto"/>
        <w:ind w:firstLineChars="200" w:firstLine="482"/>
        <w:rPr>
          <w:b/>
          <w:bCs/>
          <w:sz w:val="24"/>
        </w:rPr>
      </w:pPr>
      <w:r w:rsidRPr="008A1A3A">
        <w:rPr>
          <w:b/>
          <w:bCs/>
          <w:sz w:val="24"/>
        </w:rPr>
        <w:t>1</w:t>
      </w:r>
      <w:r w:rsidRPr="008A1A3A">
        <w:rPr>
          <w:rFonts w:hint="eastAsia"/>
          <w:b/>
          <w:bCs/>
          <w:sz w:val="24"/>
        </w:rPr>
        <w:t>）东南亚地区电池片与组件产能错配，电池片较为紧俏，</w:t>
      </w:r>
      <w:r>
        <w:rPr>
          <w:rFonts w:hint="eastAsia"/>
          <w:b/>
          <w:bCs/>
          <w:sz w:val="24"/>
        </w:rPr>
        <w:t>标的</w:t>
      </w:r>
      <w:r w:rsidRPr="008A1A3A">
        <w:rPr>
          <w:rFonts w:hint="eastAsia"/>
          <w:b/>
          <w:bCs/>
          <w:sz w:val="24"/>
        </w:rPr>
        <w:t>公司议价能</w:t>
      </w:r>
      <w:r w:rsidRPr="008A1A3A">
        <w:rPr>
          <w:rFonts w:hint="eastAsia"/>
          <w:b/>
          <w:bCs/>
          <w:sz w:val="24"/>
        </w:rPr>
        <w:lastRenderedPageBreak/>
        <w:t>力提升</w:t>
      </w:r>
    </w:p>
    <w:p w14:paraId="2B5D0939" w14:textId="77777777" w:rsidR="00FC5A62" w:rsidRDefault="00C76273" w:rsidP="00AB017D">
      <w:pPr>
        <w:spacing w:beforeLines="50" w:before="156" w:afterLines="50" w:after="156" w:line="360" w:lineRule="auto"/>
        <w:ind w:firstLineChars="200" w:firstLine="480"/>
        <w:rPr>
          <w:sz w:val="24"/>
        </w:rPr>
      </w:pPr>
      <w:r>
        <w:rPr>
          <w:rFonts w:hint="eastAsia"/>
          <w:sz w:val="24"/>
        </w:rPr>
        <w:t>2022</w:t>
      </w:r>
      <w:r>
        <w:rPr>
          <w:rFonts w:hint="eastAsia"/>
          <w:sz w:val="24"/>
        </w:rPr>
        <w:t>年，光</w:t>
      </w:r>
      <w:proofErr w:type="gramStart"/>
      <w:r>
        <w:rPr>
          <w:rFonts w:hint="eastAsia"/>
          <w:sz w:val="24"/>
        </w:rPr>
        <w:t>伏产业</w:t>
      </w:r>
      <w:proofErr w:type="gramEnd"/>
      <w:r>
        <w:rPr>
          <w:rFonts w:hint="eastAsia"/>
          <w:sz w:val="24"/>
        </w:rPr>
        <w:t>链上下游产能错配并未得到根本性好转，硅料、单晶硅片市场价格持续高位运行，同时，全球光伏新增装机规模延续高速增长的良好态势，受需求拉动影响，下游组件厂商开工率高位运行，电池片环节成本压力向下游传导顺畅，因此各尺寸电池</w:t>
      </w:r>
      <w:proofErr w:type="gramStart"/>
      <w:r>
        <w:rPr>
          <w:rFonts w:hint="eastAsia"/>
          <w:sz w:val="24"/>
        </w:rPr>
        <w:t>片价格</w:t>
      </w:r>
      <w:proofErr w:type="gramEnd"/>
      <w:r>
        <w:rPr>
          <w:rFonts w:hint="eastAsia"/>
          <w:sz w:val="24"/>
        </w:rPr>
        <w:t>迅速上涨。凭借大尺寸单晶电池片的先发优势，标的公司主要产品</w:t>
      </w:r>
      <w:r>
        <w:rPr>
          <w:rFonts w:hint="eastAsia"/>
          <w:sz w:val="24"/>
        </w:rPr>
        <w:t>182mm</w:t>
      </w:r>
      <w:r>
        <w:rPr>
          <w:rFonts w:hint="eastAsia"/>
          <w:sz w:val="24"/>
        </w:rPr>
        <w:t>尺寸与</w:t>
      </w:r>
      <w:r>
        <w:rPr>
          <w:rFonts w:hint="eastAsia"/>
          <w:sz w:val="24"/>
        </w:rPr>
        <w:t>166mm</w:t>
      </w:r>
      <w:r>
        <w:rPr>
          <w:rFonts w:hint="eastAsia"/>
          <w:sz w:val="24"/>
        </w:rPr>
        <w:t>尺寸电池片供不应求，议价能力进一步增强，</w:t>
      </w:r>
      <w:r>
        <w:rPr>
          <w:rFonts w:hint="eastAsia"/>
          <w:sz w:val="24"/>
        </w:rPr>
        <w:t>2</w:t>
      </w:r>
      <w:r>
        <w:rPr>
          <w:sz w:val="24"/>
        </w:rPr>
        <w:t>022</w:t>
      </w:r>
      <w:r>
        <w:rPr>
          <w:rFonts w:hint="eastAsia"/>
          <w:sz w:val="24"/>
        </w:rPr>
        <w:t>年单价较</w:t>
      </w:r>
      <w:r>
        <w:rPr>
          <w:rFonts w:hint="eastAsia"/>
          <w:sz w:val="24"/>
        </w:rPr>
        <w:t>2</w:t>
      </w:r>
      <w:r>
        <w:rPr>
          <w:sz w:val="24"/>
        </w:rPr>
        <w:t>021</w:t>
      </w:r>
      <w:r>
        <w:rPr>
          <w:rFonts w:hint="eastAsia"/>
          <w:sz w:val="24"/>
        </w:rPr>
        <w:t>年单价分别上涨约</w:t>
      </w:r>
      <w:r>
        <w:rPr>
          <w:rFonts w:hint="eastAsia"/>
          <w:sz w:val="24"/>
        </w:rPr>
        <w:t>1</w:t>
      </w:r>
      <w:r>
        <w:rPr>
          <w:sz w:val="24"/>
        </w:rPr>
        <w:t>2%</w:t>
      </w:r>
      <w:r>
        <w:rPr>
          <w:rFonts w:hint="eastAsia"/>
          <w:sz w:val="24"/>
        </w:rPr>
        <w:t>及</w:t>
      </w:r>
      <w:r>
        <w:rPr>
          <w:rFonts w:hint="eastAsia"/>
          <w:sz w:val="24"/>
        </w:rPr>
        <w:t>1</w:t>
      </w:r>
      <w:r>
        <w:rPr>
          <w:sz w:val="24"/>
        </w:rPr>
        <w:t>8%</w:t>
      </w:r>
      <w:r>
        <w:rPr>
          <w:rFonts w:hint="eastAsia"/>
          <w:sz w:val="24"/>
        </w:rPr>
        <w:t>。</w:t>
      </w:r>
    </w:p>
    <w:p w14:paraId="2B37AA4C" w14:textId="77777777" w:rsidR="00FC5A62" w:rsidRPr="008A1A3A" w:rsidRDefault="00C76273" w:rsidP="00AB017D">
      <w:pPr>
        <w:spacing w:beforeLines="50" w:before="156" w:afterLines="50" w:after="156" w:line="360" w:lineRule="auto"/>
        <w:ind w:firstLineChars="200" w:firstLine="482"/>
        <w:rPr>
          <w:b/>
          <w:bCs/>
          <w:sz w:val="24"/>
        </w:rPr>
      </w:pPr>
      <w:r w:rsidRPr="008A1A3A">
        <w:rPr>
          <w:b/>
          <w:bCs/>
          <w:sz w:val="24"/>
        </w:rPr>
        <w:t>2</w:t>
      </w:r>
      <w:r w:rsidRPr="008A1A3A">
        <w:rPr>
          <w:rFonts w:hint="eastAsia"/>
          <w:b/>
          <w:bCs/>
          <w:sz w:val="24"/>
        </w:rPr>
        <w:t>）电池片生产基地产能利用率逐步提升，规模效应显现</w:t>
      </w:r>
    </w:p>
    <w:p w14:paraId="118CF03E" w14:textId="77777777" w:rsidR="00FC5A62" w:rsidRDefault="00C76273" w:rsidP="00AB017D">
      <w:pPr>
        <w:spacing w:beforeLines="50" w:before="156" w:afterLines="50" w:after="156" w:line="360" w:lineRule="auto"/>
        <w:ind w:firstLineChars="200" w:firstLine="480"/>
        <w:rPr>
          <w:sz w:val="24"/>
        </w:rPr>
      </w:pPr>
      <w:r>
        <w:rPr>
          <w:rFonts w:hint="eastAsia"/>
          <w:sz w:val="24"/>
        </w:rPr>
        <w:t>伴随着标的公司销售规模的扩大，位于东南亚电池片生产基地产能利用率进一步提升，而产量的提升所带来的规模效应使得电池片的生产成本有所下降，标的公司</w:t>
      </w:r>
      <w:r>
        <w:rPr>
          <w:rFonts w:hint="eastAsia"/>
          <w:sz w:val="24"/>
        </w:rPr>
        <w:t>2</w:t>
      </w:r>
      <w:r>
        <w:rPr>
          <w:sz w:val="24"/>
        </w:rPr>
        <w:t>021</w:t>
      </w:r>
      <w:r>
        <w:rPr>
          <w:rFonts w:hint="eastAsia"/>
          <w:sz w:val="24"/>
        </w:rPr>
        <w:t>年、</w:t>
      </w:r>
      <w:r>
        <w:rPr>
          <w:rFonts w:hint="eastAsia"/>
          <w:sz w:val="24"/>
        </w:rPr>
        <w:t>2</w:t>
      </w:r>
      <w:r>
        <w:rPr>
          <w:sz w:val="24"/>
        </w:rPr>
        <w:t>022</w:t>
      </w:r>
      <w:r>
        <w:rPr>
          <w:rFonts w:hint="eastAsia"/>
          <w:sz w:val="24"/>
        </w:rPr>
        <w:t>年及</w:t>
      </w:r>
      <w:r>
        <w:rPr>
          <w:rFonts w:hint="eastAsia"/>
          <w:sz w:val="24"/>
        </w:rPr>
        <w:t>2</w:t>
      </w:r>
      <w:r>
        <w:rPr>
          <w:sz w:val="24"/>
        </w:rPr>
        <w:t>023</w:t>
      </w:r>
      <w:r>
        <w:rPr>
          <w:rFonts w:hint="eastAsia"/>
          <w:sz w:val="24"/>
        </w:rPr>
        <w:t>年一季度产能利用率情况如下：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2356"/>
        <w:gridCol w:w="2504"/>
        <w:gridCol w:w="1831"/>
        <w:gridCol w:w="1831"/>
      </w:tblGrid>
      <w:tr w:rsidR="00FC5A62" w14:paraId="128FD877" w14:textId="77777777">
        <w:trPr>
          <w:cantSplit/>
          <w:trHeight w:val="397"/>
          <w:tblHeader/>
          <w:jc w:val="center"/>
        </w:trPr>
        <w:tc>
          <w:tcPr>
            <w:tcW w:w="1383" w:type="pct"/>
            <w:shd w:val="clear" w:color="auto" w:fill="FFFFFF" w:themeFill="background1"/>
            <w:vAlign w:val="center"/>
          </w:tcPr>
          <w:p w14:paraId="66E92AB3" w14:textId="77777777" w:rsidR="00FC5A62" w:rsidRDefault="00FC5A62">
            <w:pPr>
              <w:jc w:val="center"/>
              <w:rPr>
                <w:b/>
                <w:color w:val="000000"/>
                <w:szCs w:val="21"/>
              </w:rPr>
            </w:pPr>
          </w:p>
        </w:tc>
        <w:tc>
          <w:tcPr>
            <w:tcW w:w="1469" w:type="pct"/>
            <w:shd w:val="clear" w:color="auto" w:fill="FFFFFF" w:themeFill="background1"/>
            <w:vAlign w:val="center"/>
          </w:tcPr>
          <w:p w14:paraId="1A180D5D" w14:textId="77777777" w:rsidR="00FC5A62" w:rsidRDefault="00C76273">
            <w:pPr>
              <w:jc w:val="center"/>
              <w:rPr>
                <w:b/>
                <w:color w:val="000000"/>
                <w:szCs w:val="21"/>
              </w:rPr>
            </w:pPr>
            <w:r>
              <w:rPr>
                <w:b/>
                <w:color w:val="000000"/>
                <w:szCs w:val="21"/>
              </w:rPr>
              <w:t>2023</w:t>
            </w:r>
            <w:r>
              <w:rPr>
                <w:rFonts w:hint="eastAsia"/>
                <w:b/>
                <w:color w:val="000000"/>
                <w:szCs w:val="21"/>
              </w:rPr>
              <w:t>年</w:t>
            </w:r>
            <w:r>
              <w:rPr>
                <w:rFonts w:hint="eastAsia"/>
                <w:b/>
                <w:color w:val="000000"/>
                <w:szCs w:val="21"/>
              </w:rPr>
              <w:t>1</w:t>
            </w:r>
            <w:r>
              <w:rPr>
                <w:b/>
                <w:color w:val="000000"/>
                <w:szCs w:val="21"/>
              </w:rPr>
              <w:t>-3</w:t>
            </w:r>
            <w:r>
              <w:rPr>
                <w:rFonts w:hint="eastAsia"/>
                <w:b/>
                <w:color w:val="000000"/>
                <w:szCs w:val="21"/>
              </w:rPr>
              <w:t>月</w:t>
            </w:r>
          </w:p>
        </w:tc>
        <w:tc>
          <w:tcPr>
            <w:tcW w:w="1074" w:type="pct"/>
            <w:shd w:val="clear" w:color="auto" w:fill="FFFFFF" w:themeFill="background1"/>
            <w:vAlign w:val="center"/>
          </w:tcPr>
          <w:p w14:paraId="27C577B0" w14:textId="77777777" w:rsidR="00FC5A62" w:rsidRDefault="00C76273">
            <w:pPr>
              <w:jc w:val="center"/>
              <w:rPr>
                <w:b/>
                <w:color w:val="000000"/>
                <w:szCs w:val="21"/>
              </w:rPr>
            </w:pPr>
            <w:r>
              <w:rPr>
                <w:b/>
                <w:color w:val="000000"/>
                <w:szCs w:val="21"/>
              </w:rPr>
              <w:t>2022</w:t>
            </w:r>
            <w:r>
              <w:rPr>
                <w:rFonts w:hint="eastAsia"/>
                <w:b/>
                <w:color w:val="000000"/>
                <w:szCs w:val="21"/>
              </w:rPr>
              <w:t>年度</w:t>
            </w:r>
          </w:p>
        </w:tc>
        <w:tc>
          <w:tcPr>
            <w:tcW w:w="1074" w:type="pct"/>
            <w:shd w:val="clear" w:color="auto" w:fill="FFFFFF" w:themeFill="background1"/>
            <w:vAlign w:val="center"/>
          </w:tcPr>
          <w:p w14:paraId="5D8D58AD" w14:textId="77777777" w:rsidR="00FC5A62" w:rsidRDefault="00C76273">
            <w:pPr>
              <w:jc w:val="center"/>
              <w:rPr>
                <w:b/>
                <w:color w:val="000000"/>
                <w:szCs w:val="21"/>
              </w:rPr>
            </w:pPr>
            <w:r>
              <w:rPr>
                <w:b/>
                <w:color w:val="000000"/>
                <w:szCs w:val="21"/>
              </w:rPr>
              <w:t>2021</w:t>
            </w:r>
            <w:r>
              <w:rPr>
                <w:rFonts w:hint="eastAsia"/>
                <w:b/>
                <w:color w:val="000000"/>
                <w:szCs w:val="21"/>
              </w:rPr>
              <w:t>年度</w:t>
            </w:r>
          </w:p>
        </w:tc>
      </w:tr>
      <w:tr w:rsidR="00FC5A62" w14:paraId="3182A5C2" w14:textId="77777777">
        <w:trPr>
          <w:cantSplit/>
          <w:trHeight w:val="397"/>
          <w:jc w:val="center"/>
        </w:trPr>
        <w:tc>
          <w:tcPr>
            <w:tcW w:w="1383" w:type="pct"/>
            <w:shd w:val="clear" w:color="auto" w:fill="FFFFFF" w:themeFill="background1"/>
            <w:vAlign w:val="center"/>
          </w:tcPr>
          <w:p w14:paraId="33700B1F" w14:textId="77777777" w:rsidR="00FC5A62" w:rsidRDefault="00C76273">
            <w:pPr>
              <w:jc w:val="left"/>
              <w:rPr>
                <w:color w:val="000000"/>
                <w:szCs w:val="21"/>
              </w:rPr>
            </w:pPr>
            <w:r>
              <w:rPr>
                <w:rFonts w:hint="eastAsia"/>
                <w:color w:val="000000"/>
                <w:szCs w:val="21"/>
              </w:rPr>
              <w:t>产能（</w:t>
            </w:r>
            <w:r>
              <w:rPr>
                <w:rFonts w:hint="eastAsia"/>
                <w:color w:val="000000"/>
                <w:szCs w:val="21"/>
              </w:rPr>
              <w:t>M</w:t>
            </w:r>
            <w:r>
              <w:rPr>
                <w:color w:val="000000"/>
                <w:szCs w:val="21"/>
              </w:rPr>
              <w:t>W</w:t>
            </w:r>
            <w:r>
              <w:rPr>
                <w:rFonts w:hint="eastAsia"/>
                <w:color w:val="000000"/>
                <w:szCs w:val="21"/>
              </w:rPr>
              <w:t>）</w:t>
            </w:r>
          </w:p>
        </w:tc>
        <w:tc>
          <w:tcPr>
            <w:tcW w:w="1469" w:type="pct"/>
            <w:shd w:val="clear" w:color="auto" w:fill="FFFFFF" w:themeFill="background1"/>
            <w:vAlign w:val="center"/>
          </w:tcPr>
          <w:p w14:paraId="6C677F72" w14:textId="77777777" w:rsidR="00FC5A62" w:rsidRDefault="00C76273">
            <w:pPr>
              <w:jc w:val="right"/>
              <w:rPr>
                <w:color w:val="000000"/>
                <w:szCs w:val="21"/>
              </w:rPr>
            </w:pPr>
            <w:r>
              <w:rPr>
                <w:color w:val="000000"/>
                <w:szCs w:val="21"/>
              </w:rPr>
              <w:t>400</w:t>
            </w:r>
          </w:p>
        </w:tc>
        <w:tc>
          <w:tcPr>
            <w:tcW w:w="1074" w:type="pct"/>
            <w:shd w:val="clear" w:color="auto" w:fill="FFFFFF" w:themeFill="background1"/>
            <w:vAlign w:val="center"/>
          </w:tcPr>
          <w:p w14:paraId="59913ACA" w14:textId="77777777" w:rsidR="00FC5A62" w:rsidRDefault="00C76273">
            <w:pPr>
              <w:jc w:val="right"/>
              <w:rPr>
                <w:color w:val="000000"/>
                <w:szCs w:val="21"/>
              </w:rPr>
            </w:pPr>
            <w:r>
              <w:rPr>
                <w:color w:val="000000"/>
                <w:szCs w:val="21"/>
              </w:rPr>
              <w:t>1,300</w:t>
            </w:r>
          </w:p>
        </w:tc>
        <w:tc>
          <w:tcPr>
            <w:tcW w:w="1074" w:type="pct"/>
            <w:shd w:val="clear" w:color="auto" w:fill="FFFFFF" w:themeFill="background1"/>
            <w:vAlign w:val="center"/>
          </w:tcPr>
          <w:p w14:paraId="33893352" w14:textId="77777777" w:rsidR="00FC5A62" w:rsidRDefault="00C76273">
            <w:pPr>
              <w:jc w:val="right"/>
              <w:rPr>
                <w:color w:val="000000"/>
                <w:szCs w:val="21"/>
              </w:rPr>
            </w:pPr>
            <w:r>
              <w:rPr>
                <w:color w:val="000000"/>
                <w:szCs w:val="21"/>
              </w:rPr>
              <w:t>800</w:t>
            </w:r>
          </w:p>
        </w:tc>
      </w:tr>
      <w:tr w:rsidR="00FC5A62" w14:paraId="21192B24" w14:textId="77777777">
        <w:trPr>
          <w:cantSplit/>
          <w:trHeight w:val="397"/>
          <w:jc w:val="center"/>
        </w:trPr>
        <w:tc>
          <w:tcPr>
            <w:tcW w:w="1383" w:type="pct"/>
            <w:shd w:val="clear" w:color="auto" w:fill="FFFFFF" w:themeFill="background1"/>
            <w:vAlign w:val="center"/>
          </w:tcPr>
          <w:p w14:paraId="7C1DDC90" w14:textId="77777777" w:rsidR="00FC5A62" w:rsidRDefault="00C76273">
            <w:pPr>
              <w:jc w:val="left"/>
              <w:rPr>
                <w:color w:val="000000"/>
                <w:szCs w:val="21"/>
              </w:rPr>
            </w:pPr>
            <w:r>
              <w:rPr>
                <w:rFonts w:hint="eastAsia"/>
                <w:color w:val="000000"/>
                <w:szCs w:val="21"/>
              </w:rPr>
              <w:t>产量（</w:t>
            </w:r>
            <w:r>
              <w:rPr>
                <w:rFonts w:hint="eastAsia"/>
                <w:color w:val="000000"/>
                <w:szCs w:val="21"/>
              </w:rPr>
              <w:t>M</w:t>
            </w:r>
            <w:r>
              <w:rPr>
                <w:color w:val="000000"/>
                <w:szCs w:val="21"/>
              </w:rPr>
              <w:t>W</w:t>
            </w:r>
            <w:r>
              <w:rPr>
                <w:rFonts w:hint="eastAsia"/>
                <w:color w:val="000000"/>
                <w:szCs w:val="21"/>
              </w:rPr>
              <w:t>）</w:t>
            </w:r>
          </w:p>
        </w:tc>
        <w:tc>
          <w:tcPr>
            <w:tcW w:w="1469" w:type="pct"/>
            <w:shd w:val="clear" w:color="auto" w:fill="FFFFFF" w:themeFill="background1"/>
            <w:vAlign w:val="center"/>
          </w:tcPr>
          <w:p w14:paraId="20A37F65" w14:textId="77777777" w:rsidR="00FC5A62" w:rsidRDefault="00C76273">
            <w:pPr>
              <w:jc w:val="right"/>
              <w:rPr>
                <w:color w:val="000000"/>
                <w:szCs w:val="21"/>
              </w:rPr>
            </w:pPr>
            <w:r>
              <w:rPr>
                <w:color w:val="000000"/>
                <w:szCs w:val="21"/>
              </w:rPr>
              <w:t>390</w:t>
            </w:r>
          </w:p>
        </w:tc>
        <w:tc>
          <w:tcPr>
            <w:tcW w:w="1074" w:type="pct"/>
            <w:shd w:val="clear" w:color="auto" w:fill="FFFFFF" w:themeFill="background1"/>
            <w:vAlign w:val="center"/>
          </w:tcPr>
          <w:p w14:paraId="3B5AFB91" w14:textId="77777777" w:rsidR="00FC5A62" w:rsidRDefault="00C76273">
            <w:pPr>
              <w:jc w:val="right"/>
              <w:rPr>
                <w:color w:val="000000"/>
                <w:szCs w:val="21"/>
              </w:rPr>
            </w:pPr>
            <w:r>
              <w:rPr>
                <w:color w:val="000000"/>
                <w:szCs w:val="21"/>
              </w:rPr>
              <w:t>961</w:t>
            </w:r>
          </w:p>
        </w:tc>
        <w:tc>
          <w:tcPr>
            <w:tcW w:w="1074" w:type="pct"/>
            <w:shd w:val="clear" w:color="auto" w:fill="FFFFFF" w:themeFill="background1"/>
            <w:vAlign w:val="center"/>
          </w:tcPr>
          <w:p w14:paraId="2C71B428" w14:textId="77777777" w:rsidR="00FC5A62" w:rsidRDefault="00C76273">
            <w:pPr>
              <w:jc w:val="right"/>
              <w:rPr>
                <w:color w:val="000000"/>
                <w:szCs w:val="21"/>
              </w:rPr>
            </w:pPr>
            <w:r>
              <w:rPr>
                <w:color w:val="000000"/>
                <w:szCs w:val="21"/>
              </w:rPr>
              <w:t>240</w:t>
            </w:r>
          </w:p>
        </w:tc>
      </w:tr>
      <w:tr w:rsidR="00FC5A62" w14:paraId="25C0808D" w14:textId="77777777">
        <w:trPr>
          <w:cantSplit/>
          <w:trHeight w:val="397"/>
          <w:jc w:val="center"/>
        </w:trPr>
        <w:tc>
          <w:tcPr>
            <w:tcW w:w="1383" w:type="pct"/>
            <w:shd w:val="clear" w:color="auto" w:fill="FFFFFF" w:themeFill="background1"/>
            <w:vAlign w:val="center"/>
          </w:tcPr>
          <w:p w14:paraId="5D98B7ED" w14:textId="77777777" w:rsidR="00FC5A62" w:rsidRDefault="00C76273">
            <w:pPr>
              <w:jc w:val="left"/>
              <w:rPr>
                <w:color w:val="000000"/>
                <w:szCs w:val="21"/>
              </w:rPr>
            </w:pPr>
            <w:r>
              <w:rPr>
                <w:rFonts w:hint="eastAsia"/>
                <w:color w:val="000000"/>
                <w:szCs w:val="21"/>
              </w:rPr>
              <w:t>产能利用率</w:t>
            </w:r>
          </w:p>
        </w:tc>
        <w:tc>
          <w:tcPr>
            <w:tcW w:w="1469" w:type="pct"/>
            <w:shd w:val="clear" w:color="auto" w:fill="FFFFFF" w:themeFill="background1"/>
            <w:vAlign w:val="center"/>
          </w:tcPr>
          <w:p w14:paraId="46D4F39C" w14:textId="77777777" w:rsidR="00FC5A62" w:rsidRDefault="00C76273">
            <w:pPr>
              <w:jc w:val="right"/>
              <w:rPr>
                <w:color w:val="000000"/>
                <w:szCs w:val="21"/>
              </w:rPr>
            </w:pPr>
            <w:r>
              <w:rPr>
                <w:color w:val="000000"/>
                <w:szCs w:val="21"/>
              </w:rPr>
              <w:t>98%</w:t>
            </w:r>
          </w:p>
        </w:tc>
        <w:tc>
          <w:tcPr>
            <w:tcW w:w="1074" w:type="pct"/>
            <w:shd w:val="clear" w:color="auto" w:fill="FFFFFF" w:themeFill="background1"/>
            <w:vAlign w:val="center"/>
          </w:tcPr>
          <w:p w14:paraId="729292D1" w14:textId="77777777" w:rsidR="00FC5A62" w:rsidRDefault="00C76273">
            <w:pPr>
              <w:jc w:val="right"/>
              <w:rPr>
                <w:color w:val="000000"/>
                <w:szCs w:val="21"/>
              </w:rPr>
            </w:pPr>
            <w:r>
              <w:rPr>
                <w:color w:val="000000"/>
                <w:szCs w:val="21"/>
              </w:rPr>
              <w:t>74%</w:t>
            </w:r>
          </w:p>
        </w:tc>
        <w:tc>
          <w:tcPr>
            <w:tcW w:w="1074" w:type="pct"/>
            <w:shd w:val="clear" w:color="auto" w:fill="FFFFFF" w:themeFill="background1"/>
            <w:vAlign w:val="center"/>
          </w:tcPr>
          <w:p w14:paraId="7C175262" w14:textId="77777777" w:rsidR="00FC5A62" w:rsidRDefault="00C76273">
            <w:pPr>
              <w:jc w:val="right"/>
              <w:rPr>
                <w:color w:val="000000"/>
                <w:szCs w:val="21"/>
              </w:rPr>
            </w:pPr>
            <w:r>
              <w:rPr>
                <w:color w:val="000000"/>
                <w:szCs w:val="21"/>
              </w:rPr>
              <w:t>30%</w:t>
            </w:r>
          </w:p>
        </w:tc>
      </w:tr>
    </w:tbl>
    <w:p w14:paraId="651059F1" w14:textId="77777777" w:rsidR="00FC5A62" w:rsidRDefault="00C76273">
      <w:pPr>
        <w:pStyle w:val="af3"/>
      </w:pPr>
      <w:r>
        <w:rPr>
          <w:rFonts w:hint="eastAsia"/>
        </w:rPr>
        <w:t>注：标的公司柬埔寨工厂于</w:t>
      </w:r>
      <w:r>
        <w:rPr>
          <w:rFonts w:hint="eastAsia"/>
        </w:rPr>
        <w:t>2022</w:t>
      </w:r>
      <w:r>
        <w:rPr>
          <w:rFonts w:hint="eastAsia"/>
        </w:rPr>
        <w:t>年</w:t>
      </w:r>
      <w:r>
        <w:rPr>
          <w:rFonts w:hint="eastAsia"/>
        </w:rPr>
        <w:t>5</w:t>
      </w:r>
      <w:r>
        <w:rPr>
          <w:rFonts w:hint="eastAsia"/>
        </w:rPr>
        <w:t>月开始投产</w:t>
      </w:r>
    </w:p>
    <w:p w14:paraId="3F575FA6" w14:textId="77777777" w:rsidR="00FC5A62" w:rsidRPr="008A1A3A" w:rsidRDefault="00C76273" w:rsidP="005F5067">
      <w:pPr>
        <w:spacing w:beforeLines="50" w:before="156" w:afterLines="50" w:after="156" w:line="360" w:lineRule="auto"/>
        <w:ind w:firstLineChars="200" w:firstLine="482"/>
        <w:rPr>
          <w:b/>
          <w:bCs/>
          <w:sz w:val="24"/>
        </w:rPr>
      </w:pPr>
      <w:r w:rsidRPr="008A1A3A">
        <w:rPr>
          <w:b/>
          <w:bCs/>
          <w:sz w:val="24"/>
        </w:rPr>
        <w:t>3</w:t>
      </w:r>
      <w:r w:rsidRPr="008A1A3A">
        <w:rPr>
          <w:rFonts w:hint="eastAsia"/>
          <w:b/>
          <w:bCs/>
          <w:sz w:val="24"/>
        </w:rPr>
        <w:t>）硅料成本下滑，下游利润空间得到释放</w:t>
      </w:r>
    </w:p>
    <w:p w14:paraId="15FD28C4" w14:textId="77777777" w:rsidR="00FC5A62" w:rsidRDefault="00C76273" w:rsidP="005F5067">
      <w:pPr>
        <w:spacing w:beforeLines="50" w:before="156" w:afterLines="50" w:after="156" w:line="360" w:lineRule="auto"/>
        <w:ind w:firstLineChars="200" w:firstLine="480"/>
        <w:rPr>
          <w:sz w:val="24"/>
        </w:rPr>
      </w:pPr>
      <w:r>
        <w:rPr>
          <w:rFonts w:hint="eastAsia"/>
          <w:sz w:val="24"/>
        </w:rPr>
        <w:t>硅料价格的变动直接影响电池片的成本，</w:t>
      </w:r>
      <w:r>
        <w:rPr>
          <w:rFonts w:hint="eastAsia"/>
          <w:sz w:val="24"/>
        </w:rPr>
        <w:t>2</w:t>
      </w:r>
      <w:r>
        <w:rPr>
          <w:sz w:val="24"/>
        </w:rPr>
        <w:t>023</w:t>
      </w:r>
      <w:r>
        <w:rPr>
          <w:rFonts w:hint="eastAsia"/>
          <w:sz w:val="24"/>
        </w:rPr>
        <w:t>年以来硅料价格的下行为电池片生产环节释放了部分利润空间。</w:t>
      </w:r>
    </w:p>
    <w:p w14:paraId="2C11A94B" w14:textId="77777777" w:rsidR="00FC5A62" w:rsidRDefault="00C76273" w:rsidP="005F5067">
      <w:pPr>
        <w:spacing w:beforeLines="50" w:before="156" w:afterLines="50" w:after="156" w:line="360" w:lineRule="auto"/>
        <w:ind w:firstLineChars="200" w:firstLine="480"/>
        <w:rPr>
          <w:sz w:val="24"/>
        </w:rPr>
      </w:pPr>
      <w:r>
        <w:rPr>
          <w:rFonts w:hint="eastAsia"/>
          <w:sz w:val="24"/>
        </w:rPr>
        <w:t>综上，标的公司业绩自</w:t>
      </w:r>
      <w:r>
        <w:rPr>
          <w:rFonts w:hint="eastAsia"/>
          <w:sz w:val="24"/>
        </w:rPr>
        <w:t>2022</w:t>
      </w:r>
      <w:r>
        <w:rPr>
          <w:rFonts w:hint="eastAsia"/>
          <w:sz w:val="24"/>
        </w:rPr>
        <w:t>年以来大幅增长主要受到下游市场需求持续高涨、产能利用率逐步提升及上游原料降价释放利润空间共同影响，具有合理性。</w:t>
      </w:r>
    </w:p>
    <w:p w14:paraId="3C985DAA" w14:textId="77777777" w:rsidR="00FC5A62" w:rsidRDefault="00C76273" w:rsidP="005F5067">
      <w:pPr>
        <w:spacing w:beforeLines="50" w:before="156" w:afterLines="50" w:after="156" w:line="360" w:lineRule="auto"/>
        <w:ind w:firstLineChars="200" w:firstLine="482"/>
        <w:outlineLvl w:val="3"/>
        <w:rPr>
          <w:rFonts w:ascii="宋体" w:hAnsiTheme="minorHAnsi" w:cs="宋体"/>
          <w:b/>
          <w:bCs/>
          <w:kern w:val="0"/>
          <w:sz w:val="24"/>
        </w:rPr>
      </w:pPr>
      <w:bookmarkStart w:id="7" w:name="_Hlk146706353"/>
      <w:r>
        <w:rPr>
          <w:rFonts w:ascii="宋体" w:hAnsiTheme="minorHAnsi" w:cs="宋体" w:hint="eastAsia"/>
          <w:b/>
          <w:bCs/>
          <w:kern w:val="0"/>
          <w:sz w:val="24"/>
        </w:rPr>
        <w:t>（二）结合主要客户变动情况，说明标的公司与相关客户的合作是否具有稳定性与可持续性</w:t>
      </w:r>
    </w:p>
    <w:p w14:paraId="3C4E1E2C" w14:textId="77777777" w:rsidR="00FC5A62" w:rsidRDefault="00C76273" w:rsidP="005F5067">
      <w:pPr>
        <w:spacing w:beforeLines="50" w:before="156" w:afterLines="50" w:after="156" w:line="360" w:lineRule="auto"/>
        <w:ind w:firstLineChars="200" w:firstLine="480"/>
        <w:rPr>
          <w:sz w:val="24"/>
        </w:rPr>
      </w:pPr>
      <w:r>
        <w:rPr>
          <w:rFonts w:hint="eastAsia"/>
          <w:sz w:val="24"/>
        </w:rPr>
        <w:t>由于所在国家的政策、光</w:t>
      </w:r>
      <w:proofErr w:type="gramStart"/>
      <w:r>
        <w:rPr>
          <w:rFonts w:hint="eastAsia"/>
          <w:sz w:val="24"/>
        </w:rPr>
        <w:t>伏发展</w:t>
      </w:r>
      <w:proofErr w:type="gramEnd"/>
      <w:r>
        <w:rPr>
          <w:rFonts w:hint="eastAsia"/>
          <w:sz w:val="24"/>
        </w:rPr>
        <w:t>的规划、光伏产品的价格和客户公司发展策略的影响，主要客户光伏电站项目多为批量</w:t>
      </w:r>
      <w:proofErr w:type="gramStart"/>
      <w:r>
        <w:rPr>
          <w:rFonts w:hint="eastAsia"/>
          <w:sz w:val="24"/>
        </w:rPr>
        <w:t>式集中</w:t>
      </w:r>
      <w:proofErr w:type="gramEnd"/>
      <w:r>
        <w:rPr>
          <w:rFonts w:hint="eastAsia"/>
          <w:sz w:val="24"/>
        </w:rPr>
        <w:t>建设，在不同年份的建设规模差异较大，对组件的需求量变化明显。因此，标的公司每年的客户较为分散且不同年份的前五大客户会出现一定变化。</w:t>
      </w:r>
    </w:p>
    <w:p w14:paraId="1BE8488A" w14:textId="77777777" w:rsidR="00FC5A62" w:rsidRDefault="00C76273" w:rsidP="005F5067">
      <w:pPr>
        <w:spacing w:beforeLines="50" w:before="156" w:afterLines="50" w:after="156" w:line="360" w:lineRule="auto"/>
        <w:ind w:firstLineChars="200" w:firstLine="482"/>
        <w:outlineLvl w:val="4"/>
        <w:rPr>
          <w:sz w:val="24"/>
        </w:rPr>
      </w:pPr>
      <w:bookmarkStart w:id="8" w:name="_Hlk147596197"/>
      <w:r>
        <w:rPr>
          <w:b/>
          <w:bCs/>
          <w:sz w:val="24"/>
        </w:rPr>
        <w:lastRenderedPageBreak/>
        <w:t>1</w:t>
      </w:r>
      <w:r>
        <w:rPr>
          <w:rFonts w:hint="eastAsia"/>
          <w:b/>
          <w:bCs/>
          <w:sz w:val="24"/>
        </w:rPr>
        <w:t>、</w:t>
      </w:r>
      <w:r>
        <w:rPr>
          <w:rFonts w:hint="eastAsia"/>
          <w:b/>
          <w:bCs/>
          <w:sz w:val="24"/>
        </w:rPr>
        <w:t>2</w:t>
      </w:r>
      <w:r>
        <w:rPr>
          <w:b/>
          <w:bCs/>
          <w:sz w:val="24"/>
        </w:rPr>
        <w:t>022</w:t>
      </w:r>
      <w:r>
        <w:rPr>
          <w:rFonts w:hint="eastAsia"/>
          <w:b/>
          <w:bCs/>
          <w:sz w:val="24"/>
        </w:rPr>
        <w:t>年度、</w:t>
      </w:r>
      <w:r>
        <w:rPr>
          <w:rFonts w:hint="eastAsia"/>
          <w:b/>
          <w:bCs/>
          <w:sz w:val="24"/>
        </w:rPr>
        <w:t>2</w:t>
      </w:r>
      <w:r>
        <w:rPr>
          <w:b/>
          <w:bCs/>
          <w:sz w:val="24"/>
        </w:rPr>
        <w:t>023</w:t>
      </w:r>
      <w:r>
        <w:rPr>
          <w:rFonts w:hint="eastAsia"/>
          <w:b/>
          <w:bCs/>
          <w:sz w:val="24"/>
        </w:rPr>
        <w:t>年一季度主要客户变动情况</w:t>
      </w:r>
    </w:p>
    <w:p w14:paraId="3933A5B5" w14:textId="77777777" w:rsidR="00FC5A62" w:rsidRDefault="00C76273" w:rsidP="005F5067">
      <w:pPr>
        <w:spacing w:beforeLines="50" w:before="156" w:afterLines="50" w:after="156" w:line="360" w:lineRule="auto"/>
        <w:ind w:firstLineChars="200" w:firstLine="480"/>
        <w:rPr>
          <w:sz w:val="24"/>
        </w:rPr>
      </w:pPr>
      <w:r>
        <w:rPr>
          <w:rFonts w:hint="eastAsia"/>
          <w:sz w:val="24"/>
        </w:rPr>
        <w:t>Grizzly Ridge Solar LLC</w:t>
      </w:r>
      <w:r>
        <w:rPr>
          <w:rFonts w:hint="eastAsia"/>
          <w:sz w:val="24"/>
        </w:rPr>
        <w:t>于</w:t>
      </w:r>
      <w:r>
        <w:rPr>
          <w:rFonts w:hint="eastAsia"/>
          <w:sz w:val="24"/>
        </w:rPr>
        <w:t>2022</w:t>
      </w:r>
      <w:r>
        <w:rPr>
          <w:rFonts w:hint="eastAsia"/>
          <w:sz w:val="24"/>
        </w:rPr>
        <w:t>年新进入公司前五大客户，于</w:t>
      </w:r>
      <w:r>
        <w:rPr>
          <w:rFonts w:hint="eastAsia"/>
          <w:sz w:val="24"/>
        </w:rPr>
        <w:t>2023</w:t>
      </w:r>
      <w:r>
        <w:rPr>
          <w:rFonts w:hint="eastAsia"/>
          <w:sz w:val="24"/>
        </w:rPr>
        <w:t>年</w:t>
      </w:r>
      <w:r>
        <w:rPr>
          <w:rFonts w:hint="eastAsia"/>
          <w:sz w:val="24"/>
        </w:rPr>
        <w:t>1</w:t>
      </w:r>
      <w:r>
        <w:rPr>
          <w:rFonts w:hint="eastAsia"/>
          <w:sz w:val="24"/>
        </w:rPr>
        <w:t>季度退出公司前五大客户，主要系</w:t>
      </w:r>
      <w:r>
        <w:rPr>
          <w:rFonts w:hint="eastAsia"/>
          <w:sz w:val="24"/>
        </w:rPr>
        <w:t>2022</w:t>
      </w:r>
      <w:r>
        <w:rPr>
          <w:rFonts w:hint="eastAsia"/>
          <w:sz w:val="24"/>
        </w:rPr>
        <w:t>年该公司与标的公司第一年开展合作，其采购组件用于电站项目。</w:t>
      </w:r>
      <w:r>
        <w:rPr>
          <w:rFonts w:hint="eastAsia"/>
          <w:sz w:val="24"/>
        </w:rPr>
        <w:t>2022</w:t>
      </w:r>
      <w:r>
        <w:rPr>
          <w:rFonts w:hint="eastAsia"/>
          <w:sz w:val="24"/>
        </w:rPr>
        <w:t>年，该公司与标的公司签订了约</w:t>
      </w:r>
      <w:r>
        <w:rPr>
          <w:rFonts w:hint="eastAsia"/>
          <w:sz w:val="24"/>
        </w:rPr>
        <w:t>13</w:t>
      </w:r>
      <w:r>
        <w:rPr>
          <w:sz w:val="24"/>
        </w:rPr>
        <w:t>3</w:t>
      </w:r>
      <w:r>
        <w:rPr>
          <w:rFonts w:hint="eastAsia"/>
          <w:sz w:val="24"/>
        </w:rPr>
        <w:t>MW</w:t>
      </w:r>
      <w:r>
        <w:rPr>
          <w:rFonts w:hint="eastAsia"/>
          <w:sz w:val="24"/>
        </w:rPr>
        <w:t>的采购合同，采购参考市场价格定价，该合同于</w:t>
      </w:r>
      <w:r>
        <w:rPr>
          <w:rFonts w:hint="eastAsia"/>
          <w:sz w:val="24"/>
        </w:rPr>
        <w:t>2022</w:t>
      </w:r>
      <w:r>
        <w:rPr>
          <w:rFonts w:hint="eastAsia"/>
          <w:sz w:val="24"/>
        </w:rPr>
        <w:t>年</w:t>
      </w:r>
      <w:r>
        <w:rPr>
          <w:rFonts w:hint="eastAsia"/>
          <w:sz w:val="24"/>
        </w:rPr>
        <w:t>10</w:t>
      </w:r>
      <w:r>
        <w:rPr>
          <w:rFonts w:hint="eastAsia"/>
          <w:sz w:val="24"/>
        </w:rPr>
        <w:t>月份完成交付。</w:t>
      </w:r>
    </w:p>
    <w:p w14:paraId="0D68E6DA" w14:textId="77777777" w:rsidR="00FC5A62" w:rsidRDefault="00C76273" w:rsidP="005F5067">
      <w:pPr>
        <w:spacing w:beforeLines="50" w:before="156" w:afterLines="50" w:after="156" w:line="360" w:lineRule="auto"/>
        <w:ind w:firstLineChars="200" w:firstLine="480"/>
        <w:rPr>
          <w:sz w:val="24"/>
        </w:rPr>
      </w:pPr>
      <w:r>
        <w:rPr>
          <w:sz w:val="24"/>
        </w:rPr>
        <w:t>Goldman Sachs Renewable Power Operating Company LLC</w:t>
      </w:r>
      <w:r>
        <w:rPr>
          <w:rFonts w:hint="eastAsia"/>
          <w:sz w:val="24"/>
        </w:rPr>
        <w:t>于</w:t>
      </w:r>
      <w:r>
        <w:rPr>
          <w:rFonts w:hint="eastAsia"/>
          <w:sz w:val="24"/>
        </w:rPr>
        <w:t>2022</w:t>
      </w:r>
      <w:r>
        <w:rPr>
          <w:rFonts w:hint="eastAsia"/>
          <w:sz w:val="24"/>
        </w:rPr>
        <w:t>年新进入公司前五大客户，</w:t>
      </w:r>
      <w:r>
        <w:rPr>
          <w:rFonts w:hint="eastAsia"/>
          <w:sz w:val="24"/>
        </w:rPr>
        <w:t>2022</w:t>
      </w:r>
      <w:r>
        <w:rPr>
          <w:rFonts w:hint="eastAsia"/>
          <w:sz w:val="24"/>
        </w:rPr>
        <w:t>年该公司与标的公司第一年开展合作，其采购组件用于电站项目。</w:t>
      </w:r>
      <w:r>
        <w:rPr>
          <w:rFonts w:hint="eastAsia"/>
          <w:sz w:val="24"/>
        </w:rPr>
        <w:t>2022</w:t>
      </w:r>
      <w:r>
        <w:rPr>
          <w:rFonts w:hint="eastAsia"/>
          <w:sz w:val="24"/>
        </w:rPr>
        <w:t>年，该公司与标的公司签订了约</w:t>
      </w:r>
      <w:r>
        <w:rPr>
          <w:rFonts w:hint="eastAsia"/>
          <w:sz w:val="24"/>
        </w:rPr>
        <w:t>16</w:t>
      </w:r>
      <w:r>
        <w:rPr>
          <w:sz w:val="24"/>
        </w:rPr>
        <w:t>9</w:t>
      </w:r>
      <w:r>
        <w:rPr>
          <w:rFonts w:hint="eastAsia"/>
          <w:sz w:val="24"/>
        </w:rPr>
        <w:t>MW</w:t>
      </w:r>
      <w:r>
        <w:rPr>
          <w:rFonts w:hint="eastAsia"/>
          <w:sz w:val="24"/>
        </w:rPr>
        <w:t>的采购合同，采购参考市场价格定价，成为标的公司当年第二大客户，</w:t>
      </w:r>
      <w:r>
        <w:rPr>
          <w:rFonts w:hint="eastAsia"/>
          <w:sz w:val="24"/>
        </w:rPr>
        <w:t>2023</w:t>
      </w:r>
      <w:r>
        <w:rPr>
          <w:rFonts w:hint="eastAsia"/>
          <w:sz w:val="24"/>
        </w:rPr>
        <w:t>年继续执行合同，成为标的公司当期第五大客户，该合同于</w:t>
      </w:r>
      <w:r>
        <w:rPr>
          <w:rFonts w:hint="eastAsia"/>
          <w:sz w:val="24"/>
        </w:rPr>
        <w:t>2023</w:t>
      </w:r>
      <w:r>
        <w:rPr>
          <w:rFonts w:hint="eastAsia"/>
          <w:sz w:val="24"/>
        </w:rPr>
        <w:t>年</w:t>
      </w:r>
      <w:r>
        <w:rPr>
          <w:rFonts w:hint="eastAsia"/>
          <w:sz w:val="24"/>
        </w:rPr>
        <w:t>3</w:t>
      </w:r>
      <w:r>
        <w:rPr>
          <w:rFonts w:hint="eastAsia"/>
          <w:sz w:val="24"/>
        </w:rPr>
        <w:t>月完成交付。</w:t>
      </w:r>
    </w:p>
    <w:p w14:paraId="0C6CE15C" w14:textId="77777777" w:rsidR="00FC5A62" w:rsidRDefault="00C76273" w:rsidP="005F5067">
      <w:pPr>
        <w:spacing w:beforeLines="50" w:before="156" w:afterLines="50" w:after="156" w:line="360" w:lineRule="auto"/>
        <w:ind w:firstLineChars="200" w:firstLine="480"/>
        <w:rPr>
          <w:sz w:val="24"/>
        </w:rPr>
      </w:pPr>
      <w:r>
        <w:rPr>
          <w:rFonts w:hint="eastAsia"/>
          <w:sz w:val="24"/>
        </w:rPr>
        <w:t>Longbow Solar, LLC</w:t>
      </w:r>
      <w:r>
        <w:rPr>
          <w:rFonts w:hint="eastAsia"/>
          <w:sz w:val="24"/>
        </w:rPr>
        <w:t>于</w:t>
      </w:r>
      <w:r>
        <w:rPr>
          <w:rFonts w:hint="eastAsia"/>
          <w:sz w:val="24"/>
        </w:rPr>
        <w:t>2022</w:t>
      </w:r>
      <w:r>
        <w:rPr>
          <w:rFonts w:hint="eastAsia"/>
          <w:sz w:val="24"/>
        </w:rPr>
        <w:t>年新进入公司前五大客户，于</w:t>
      </w:r>
      <w:r>
        <w:rPr>
          <w:rFonts w:hint="eastAsia"/>
          <w:sz w:val="24"/>
        </w:rPr>
        <w:t>2023</w:t>
      </w:r>
      <w:r>
        <w:rPr>
          <w:rFonts w:hint="eastAsia"/>
          <w:sz w:val="24"/>
        </w:rPr>
        <w:t>年</w:t>
      </w:r>
      <w:r>
        <w:rPr>
          <w:rFonts w:hint="eastAsia"/>
          <w:sz w:val="24"/>
        </w:rPr>
        <w:t>1</w:t>
      </w:r>
      <w:r>
        <w:rPr>
          <w:rFonts w:hint="eastAsia"/>
          <w:sz w:val="24"/>
        </w:rPr>
        <w:t>季度退出公司前五大客户，主要系</w:t>
      </w:r>
      <w:r>
        <w:rPr>
          <w:rFonts w:hint="eastAsia"/>
          <w:sz w:val="24"/>
        </w:rPr>
        <w:t>2022</w:t>
      </w:r>
      <w:r>
        <w:rPr>
          <w:rFonts w:hint="eastAsia"/>
          <w:sz w:val="24"/>
        </w:rPr>
        <w:t>年该公司与标的公司第一年开展合作，其采购组件用于电站项目。</w:t>
      </w:r>
      <w:r>
        <w:rPr>
          <w:rFonts w:hint="eastAsia"/>
          <w:sz w:val="24"/>
        </w:rPr>
        <w:t>2022</w:t>
      </w:r>
      <w:r>
        <w:rPr>
          <w:rFonts w:hint="eastAsia"/>
          <w:sz w:val="24"/>
        </w:rPr>
        <w:t>年，该公司与标的公司签订了约</w:t>
      </w:r>
      <w:r>
        <w:rPr>
          <w:rFonts w:hint="eastAsia"/>
          <w:sz w:val="24"/>
        </w:rPr>
        <w:t>113MW</w:t>
      </w:r>
      <w:r>
        <w:rPr>
          <w:rFonts w:hint="eastAsia"/>
          <w:sz w:val="24"/>
        </w:rPr>
        <w:t>的采购合同，采购参考市场价格定价，该合同于</w:t>
      </w:r>
      <w:r>
        <w:rPr>
          <w:rFonts w:hint="eastAsia"/>
          <w:sz w:val="24"/>
        </w:rPr>
        <w:t>2022</w:t>
      </w:r>
      <w:r>
        <w:rPr>
          <w:rFonts w:hint="eastAsia"/>
          <w:sz w:val="24"/>
        </w:rPr>
        <w:t>年</w:t>
      </w:r>
      <w:r>
        <w:rPr>
          <w:rFonts w:hint="eastAsia"/>
          <w:sz w:val="24"/>
        </w:rPr>
        <w:t>8</w:t>
      </w:r>
      <w:r>
        <w:rPr>
          <w:rFonts w:hint="eastAsia"/>
          <w:sz w:val="24"/>
        </w:rPr>
        <w:t>月完成交付。</w:t>
      </w:r>
    </w:p>
    <w:p w14:paraId="480E47AF" w14:textId="77777777" w:rsidR="00FC5A62" w:rsidRDefault="00C76273" w:rsidP="005F5067">
      <w:pPr>
        <w:spacing w:beforeLines="50" w:before="156" w:afterLines="50" w:after="156" w:line="360" w:lineRule="auto"/>
        <w:ind w:firstLineChars="200" w:firstLine="480"/>
        <w:rPr>
          <w:sz w:val="24"/>
        </w:rPr>
      </w:pPr>
      <w:r>
        <w:rPr>
          <w:rFonts w:hint="eastAsia"/>
          <w:sz w:val="24"/>
        </w:rPr>
        <w:t>Swinerton Renewable Energy</w:t>
      </w:r>
      <w:r>
        <w:rPr>
          <w:rFonts w:hint="eastAsia"/>
          <w:sz w:val="24"/>
        </w:rPr>
        <w:t>于</w:t>
      </w:r>
      <w:r>
        <w:rPr>
          <w:rFonts w:hint="eastAsia"/>
          <w:sz w:val="24"/>
        </w:rPr>
        <w:t>2022</w:t>
      </w:r>
      <w:r>
        <w:rPr>
          <w:rFonts w:hint="eastAsia"/>
          <w:sz w:val="24"/>
        </w:rPr>
        <w:t>年新进入公司前五大客户，于</w:t>
      </w:r>
      <w:r>
        <w:rPr>
          <w:rFonts w:hint="eastAsia"/>
          <w:sz w:val="24"/>
        </w:rPr>
        <w:t>2023</w:t>
      </w:r>
      <w:r>
        <w:rPr>
          <w:rFonts w:hint="eastAsia"/>
          <w:sz w:val="24"/>
        </w:rPr>
        <w:t>年</w:t>
      </w:r>
      <w:r>
        <w:rPr>
          <w:rFonts w:hint="eastAsia"/>
          <w:sz w:val="24"/>
        </w:rPr>
        <w:t>1</w:t>
      </w:r>
      <w:r>
        <w:rPr>
          <w:rFonts w:hint="eastAsia"/>
          <w:sz w:val="24"/>
        </w:rPr>
        <w:t>季度退出公司前五大客户，主要系</w:t>
      </w:r>
      <w:r>
        <w:rPr>
          <w:rFonts w:hint="eastAsia"/>
          <w:sz w:val="24"/>
        </w:rPr>
        <w:t>2022</w:t>
      </w:r>
      <w:r>
        <w:rPr>
          <w:rFonts w:hint="eastAsia"/>
          <w:sz w:val="24"/>
        </w:rPr>
        <w:t>年该公司与标的公司第一年开展合作，其采购组件用于电站项目。</w:t>
      </w:r>
      <w:r>
        <w:rPr>
          <w:rFonts w:hint="eastAsia"/>
          <w:sz w:val="24"/>
        </w:rPr>
        <w:t>2022</w:t>
      </w:r>
      <w:r>
        <w:rPr>
          <w:rFonts w:hint="eastAsia"/>
          <w:sz w:val="24"/>
        </w:rPr>
        <w:t>年，该公司与标的公司签订了约</w:t>
      </w:r>
      <w:r>
        <w:rPr>
          <w:rFonts w:hint="eastAsia"/>
          <w:sz w:val="24"/>
        </w:rPr>
        <w:t>10</w:t>
      </w:r>
      <w:r>
        <w:rPr>
          <w:sz w:val="24"/>
        </w:rPr>
        <w:t>8</w:t>
      </w:r>
      <w:r>
        <w:rPr>
          <w:rFonts w:hint="eastAsia"/>
          <w:sz w:val="24"/>
        </w:rPr>
        <w:t>MW</w:t>
      </w:r>
      <w:r>
        <w:rPr>
          <w:rFonts w:hint="eastAsia"/>
          <w:sz w:val="24"/>
        </w:rPr>
        <w:t>的采购合同，采购参考市场价格定价，该合同于</w:t>
      </w:r>
      <w:r>
        <w:rPr>
          <w:rFonts w:hint="eastAsia"/>
          <w:sz w:val="24"/>
        </w:rPr>
        <w:t>2022</w:t>
      </w:r>
      <w:r>
        <w:rPr>
          <w:rFonts w:hint="eastAsia"/>
          <w:sz w:val="24"/>
        </w:rPr>
        <w:t>年</w:t>
      </w:r>
      <w:r>
        <w:rPr>
          <w:rFonts w:hint="eastAsia"/>
          <w:sz w:val="24"/>
        </w:rPr>
        <w:t>12</w:t>
      </w:r>
      <w:r>
        <w:rPr>
          <w:rFonts w:hint="eastAsia"/>
          <w:sz w:val="24"/>
        </w:rPr>
        <w:t>月完成交付。</w:t>
      </w:r>
    </w:p>
    <w:p w14:paraId="66E0E66E" w14:textId="2FB5BFF3" w:rsidR="00FC5A62" w:rsidRDefault="005D2A83" w:rsidP="005F5067">
      <w:pPr>
        <w:spacing w:beforeLines="50" w:before="156" w:afterLines="50" w:after="156" w:line="360" w:lineRule="auto"/>
        <w:ind w:firstLineChars="200" w:firstLine="480"/>
        <w:rPr>
          <w:sz w:val="24"/>
        </w:rPr>
      </w:pPr>
      <w:proofErr w:type="spellStart"/>
      <w:r w:rsidRPr="005D2A83">
        <w:rPr>
          <w:sz w:val="24"/>
        </w:rPr>
        <w:t>Elawan</w:t>
      </w:r>
      <w:proofErr w:type="spellEnd"/>
      <w:r w:rsidRPr="005D2A83">
        <w:rPr>
          <w:sz w:val="24"/>
        </w:rPr>
        <w:t xml:space="preserve"> Energy S.L.</w:t>
      </w:r>
      <w:r>
        <w:rPr>
          <w:rFonts w:hint="eastAsia"/>
          <w:sz w:val="24"/>
        </w:rPr>
        <w:t>于</w:t>
      </w:r>
      <w:r>
        <w:rPr>
          <w:rFonts w:hint="eastAsia"/>
          <w:sz w:val="24"/>
        </w:rPr>
        <w:t>2023</w:t>
      </w:r>
      <w:r>
        <w:rPr>
          <w:rFonts w:hint="eastAsia"/>
          <w:sz w:val="24"/>
        </w:rPr>
        <w:t>年一季度进入公司前五大客户，主要系</w:t>
      </w:r>
      <w:r>
        <w:rPr>
          <w:rFonts w:hint="eastAsia"/>
          <w:sz w:val="24"/>
        </w:rPr>
        <w:t>2022</w:t>
      </w:r>
      <w:r>
        <w:rPr>
          <w:rFonts w:hint="eastAsia"/>
          <w:sz w:val="24"/>
        </w:rPr>
        <w:t>年该公司与标的公司第一年开展合作，其采购组件用于电站项目。</w:t>
      </w:r>
      <w:r>
        <w:rPr>
          <w:rFonts w:hint="eastAsia"/>
          <w:sz w:val="24"/>
        </w:rPr>
        <w:t>2022</w:t>
      </w:r>
      <w:r>
        <w:rPr>
          <w:rFonts w:hint="eastAsia"/>
          <w:sz w:val="24"/>
        </w:rPr>
        <w:t>年，该公司与标的公司签订了约</w:t>
      </w:r>
      <w:r>
        <w:rPr>
          <w:rFonts w:hint="eastAsia"/>
          <w:sz w:val="24"/>
        </w:rPr>
        <w:t>14</w:t>
      </w:r>
      <w:r>
        <w:rPr>
          <w:sz w:val="24"/>
        </w:rPr>
        <w:t>8</w:t>
      </w:r>
      <w:r>
        <w:rPr>
          <w:rFonts w:hint="eastAsia"/>
          <w:sz w:val="24"/>
        </w:rPr>
        <w:t>MW</w:t>
      </w:r>
      <w:r>
        <w:rPr>
          <w:rFonts w:hint="eastAsia"/>
          <w:sz w:val="24"/>
        </w:rPr>
        <w:t>的采购合同，采购参考市场价格定价，成为标的公司当期第一大客户，该合同在陆续执行中。</w:t>
      </w:r>
    </w:p>
    <w:p w14:paraId="4EE08DB8" w14:textId="77777777" w:rsidR="00FC5A62" w:rsidRDefault="00C76273" w:rsidP="005F5067">
      <w:pPr>
        <w:spacing w:beforeLines="50" w:before="156" w:afterLines="50" w:after="156" w:line="360" w:lineRule="auto"/>
        <w:ind w:firstLineChars="200" w:firstLine="480"/>
        <w:rPr>
          <w:sz w:val="24"/>
        </w:rPr>
      </w:pPr>
      <w:proofErr w:type="spellStart"/>
      <w:r>
        <w:rPr>
          <w:sz w:val="24"/>
        </w:rPr>
        <w:t>rPlus</w:t>
      </w:r>
      <w:proofErr w:type="spellEnd"/>
      <w:r>
        <w:rPr>
          <w:sz w:val="24"/>
        </w:rPr>
        <w:t xml:space="preserve"> Energies, LLC</w:t>
      </w:r>
      <w:r>
        <w:rPr>
          <w:rFonts w:hint="eastAsia"/>
          <w:sz w:val="24"/>
        </w:rPr>
        <w:t>于</w:t>
      </w:r>
      <w:r>
        <w:rPr>
          <w:rFonts w:hint="eastAsia"/>
          <w:sz w:val="24"/>
        </w:rPr>
        <w:t>2023</w:t>
      </w:r>
      <w:r>
        <w:rPr>
          <w:rFonts w:hint="eastAsia"/>
          <w:sz w:val="24"/>
        </w:rPr>
        <w:t>年一季度进入公司前五大客户，主要系</w:t>
      </w:r>
      <w:r>
        <w:rPr>
          <w:rFonts w:hint="eastAsia"/>
          <w:sz w:val="24"/>
        </w:rPr>
        <w:t>2022</w:t>
      </w:r>
      <w:r>
        <w:rPr>
          <w:rFonts w:hint="eastAsia"/>
          <w:sz w:val="24"/>
        </w:rPr>
        <w:t>年该公司与标的公司第一年开展合作，其采购组件用于电站项目。</w:t>
      </w:r>
      <w:r>
        <w:rPr>
          <w:rFonts w:hint="eastAsia"/>
          <w:sz w:val="24"/>
        </w:rPr>
        <w:t>2022</w:t>
      </w:r>
      <w:r>
        <w:rPr>
          <w:rFonts w:hint="eastAsia"/>
          <w:sz w:val="24"/>
        </w:rPr>
        <w:t>年，该公司与标的公司签订了约</w:t>
      </w:r>
      <w:r>
        <w:rPr>
          <w:rFonts w:hint="eastAsia"/>
          <w:sz w:val="24"/>
        </w:rPr>
        <w:t>5</w:t>
      </w:r>
      <w:r>
        <w:rPr>
          <w:sz w:val="24"/>
        </w:rPr>
        <w:t>50</w:t>
      </w:r>
      <w:r>
        <w:rPr>
          <w:rFonts w:hint="eastAsia"/>
          <w:sz w:val="24"/>
        </w:rPr>
        <w:t>MW</w:t>
      </w:r>
      <w:r>
        <w:rPr>
          <w:rFonts w:hint="eastAsia"/>
          <w:sz w:val="24"/>
        </w:rPr>
        <w:t>的采购合同，采购参考市场价格定价，成为标的公司当期第一大客户，该合同在陆续执行中。</w:t>
      </w:r>
    </w:p>
    <w:p w14:paraId="17A9AC21" w14:textId="77777777" w:rsidR="00FC5A62" w:rsidRDefault="00C76273" w:rsidP="005F5067">
      <w:pPr>
        <w:spacing w:beforeLines="50" w:before="156" w:afterLines="50" w:after="156" w:line="360" w:lineRule="auto"/>
        <w:ind w:firstLineChars="200" w:firstLine="480"/>
        <w:rPr>
          <w:sz w:val="24"/>
        </w:rPr>
      </w:pPr>
      <w:r>
        <w:rPr>
          <w:rFonts w:hint="eastAsia"/>
          <w:sz w:val="24"/>
        </w:rPr>
        <w:t>Horus Louisiana 1, LLC</w:t>
      </w:r>
      <w:r>
        <w:rPr>
          <w:rFonts w:hint="eastAsia"/>
          <w:sz w:val="24"/>
        </w:rPr>
        <w:t>于</w:t>
      </w:r>
      <w:r>
        <w:rPr>
          <w:rFonts w:hint="eastAsia"/>
          <w:sz w:val="24"/>
        </w:rPr>
        <w:t>2023</w:t>
      </w:r>
      <w:r>
        <w:rPr>
          <w:rFonts w:hint="eastAsia"/>
          <w:sz w:val="24"/>
        </w:rPr>
        <w:t>年</w:t>
      </w:r>
      <w:r>
        <w:rPr>
          <w:rFonts w:hint="eastAsia"/>
          <w:sz w:val="24"/>
        </w:rPr>
        <w:t>1</w:t>
      </w:r>
      <w:r>
        <w:rPr>
          <w:rFonts w:hint="eastAsia"/>
          <w:sz w:val="24"/>
        </w:rPr>
        <w:t>季度进入公司前五大客户，主要系</w:t>
      </w:r>
      <w:r>
        <w:rPr>
          <w:rFonts w:hint="eastAsia"/>
          <w:sz w:val="24"/>
        </w:rPr>
        <w:t>202</w:t>
      </w:r>
      <w:r>
        <w:rPr>
          <w:sz w:val="24"/>
        </w:rPr>
        <w:t>2</w:t>
      </w:r>
      <w:r>
        <w:rPr>
          <w:rFonts w:hint="eastAsia"/>
          <w:sz w:val="24"/>
        </w:rPr>
        <w:lastRenderedPageBreak/>
        <w:t>年该公司与标的公司第一年开展合作，其采购组件用于电站项目。</w:t>
      </w:r>
      <w:r>
        <w:rPr>
          <w:rFonts w:hint="eastAsia"/>
          <w:sz w:val="24"/>
        </w:rPr>
        <w:t>202</w:t>
      </w:r>
      <w:r>
        <w:rPr>
          <w:sz w:val="24"/>
        </w:rPr>
        <w:t>2</w:t>
      </w:r>
      <w:r>
        <w:rPr>
          <w:rFonts w:hint="eastAsia"/>
          <w:sz w:val="24"/>
        </w:rPr>
        <w:t>年，该公司与标的公司签订了约</w:t>
      </w:r>
      <w:r>
        <w:rPr>
          <w:rFonts w:hint="eastAsia"/>
          <w:sz w:val="24"/>
        </w:rPr>
        <w:t>1</w:t>
      </w:r>
      <w:r>
        <w:rPr>
          <w:sz w:val="24"/>
        </w:rPr>
        <w:t>60MW</w:t>
      </w:r>
      <w:r>
        <w:rPr>
          <w:rFonts w:hint="eastAsia"/>
          <w:sz w:val="24"/>
        </w:rPr>
        <w:t>的采购合同，采购参考市场价格定价，为标的公司当期第三大客户，该合同在陆续执行中。</w:t>
      </w:r>
    </w:p>
    <w:p w14:paraId="633D311F" w14:textId="77777777" w:rsidR="00FC5A62" w:rsidRDefault="00C76273" w:rsidP="005F5067">
      <w:pPr>
        <w:spacing w:beforeLines="50" w:before="156" w:afterLines="50" w:after="156" w:line="360" w:lineRule="auto"/>
        <w:ind w:firstLineChars="200" w:firstLine="480"/>
        <w:rPr>
          <w:sz w:val="24"/>
        </w:rPr>
      </w:pPr>
      <w:r>
        <w:rPr>
          <w:sz w:val="24"/>
        </w:rPr>
        <w:t>BOVIET SOLAR TECHNOLOGY CO., LTD</w:t>
      </w:r>
      <w:r>
        <w:rPr>
          <w:rFonts w:hint="eastAsia"/>
          <w:sz w:val="24"/>
        </w:rPr>
        <w:t>于</w:t>
      </w:r>
      <w:r>
        <w:rPr>
          <w:rFonts w:hint="eastAsia"/>
          <w:sz w:val="24"/>
        </w:rPr>
        <w:t>2023</w:t>
      </w:r>
      <w:r>
        <w:rPr>
          <w:rFonts w:hint="eastAsia"/>
          <w:sz w:val="24"/>
        </w:rPr>
        <w:t>年</w:t>
      </w:r>
      <w:r>
        <w:rPr>
          <w:rFonts w:hint="eastAsia"/>
          <w:sz w:val="24"/>
        </w:rPr>
        <w:t>1</w:t>
      </w:r>
      <w:r>
        <w:rPr>
          <w:rFonts w:hint="eastAsia"/>
          <w:sz w:val="24"/>
        </w:rPr>
        <w:t>季度进入公司前五大客户，标的公司于</w:t>
      </w:r>
      <w:r>
        <w:rPr>
          <w:rFonts w:hint="eastAsia"/>
          <w:sz w:val="24"/>
        </w:rPr>
        <w:t>2</w:t>
      </w:r>
      <w:r>
        <w:rPr>
          <w:sz w:val="24"/>
        </w:rPr>
        <w:t>022</w:t>
      </w:r>
      <w:r>
        <w:rPr>
          <w:rFonts w:hint="eastAsia"/>
          <w:sz w:val="24"/>
        </w:rPr>
        <w:t>年起与其开始合作，其采购电池片用于组件的生产。</w:t>
      </w:r>
      <w:r>
        <w:rPr>
          <w:rFonts w:hint="eastAsia"/>
          <w:sz w:val="24"/>
        </w:rPr>
        <w:t>202</w:t>
      </w:r>
      <w:r>
        <w:rPr>
          <w:sz w:val="24"/>
        </w:rPr>
        <w:t>2</w:t>
      </w:r>
      <w:r>
        <w:rPr>
          <w:rFonts w:hint="eastAsia"/>
          <w:sz w:val="24"/>
        </w:rPr>
        <w:t>年，该公司与标的公司签订了采购约</w:t>
      </w:r>
      <w:r>
        <w:rPr>
          <w:sz w:val="24"/>
        </w:rPr>
        <w:t>140MW</w:t>
      </w:r>
      <w:r>
        <w:rPr>
          <w:rFonts w:hint="eastAsia"/>
          <w:sz w:val="24"/>
        </w:rPr>
        <w:t>的电池片采购合同，采购参考市场价格定价，为标的公司当期第四大客户，该合同在陆续执行中。</w:t>
      </w:r>
    </w:p>
    <w:bookmarkEnd w:id="8"/>
    <w:p w14:paraId="3D9268E0" w14:textId="77777777" w:rsidR="00FC5A62" w:rsidRDefault="00C76273" w:rsidP="005F5067">
      <w:pPr>
        <w:spacing w:beforeLines="50" w:before="156" w:afterLines="50" w:after="156" w:line="360" w:lineRule="auto"/>
        <w:ind w:firstLineChars="200" w:firstLine="482"/>
        <w:outlineLvl w:val="4"/>
        <w:rPr>
          <w:b/>
          <w:bCs/>
          <w:sz w:val="24"/>
        </w:rPr>
      </w:pPr>
      <w:r>
        <w:rPr>
          <w:b/>
          <w:bCs/>
          <w:sz w:val="24"/>
        </w:rPr>
        <w:t>2</w:t>
      </w:r>
      <w:r>
        <w:rPr>
          <w:rFonts w:hint="eastAsia"/>
          <w:b/>
          <w:bCs/>
          <w:sz w:val="24"/>
        </w:rPr>
        <w:t>、标的公司客户粘性较强</w:t>
      </w:r>
      <w:r>
        <w:rPr>
          <w:b/>
          <w:bCs/>
          <w:sz w:val="24"/>
        </w:rPr>
        <w:t xml:space="preserve"> </w:t>
      </w:r>
    </w:p>
    <w:p w14:paraId="34CE2175" w14:textId="77777777" w:rsidR="00FC5A62" w:rsidRDefault="00C76273" w:rsidP="005F5067">
      <w:pPr>
        <w:spacing w:beforeLines="50" w:before="156" w:afterLines="50" w:after="156" w:line="360" w:lineRule="auto"/>
        <w:ind w:firstLineChars="200" w:firstLine="460"/>
        <w:rPr>
          <w:sz w:val="23"/>
          <w:szCs w:val="23"/>
        </w:rPr>
      </w:pPr>
      <w:r>
        <w:rPr>
          <w:rFonts w:hint="eastAsia"/>
          <w:sz w:val="23"/>
          <w:szCs w:val="23"/>
        </w:rPr>
        <w:t>标的公司与主要客户均建立了长期、良好、可持续的合作关系，在主要客户中树立良好的口碑，品牌优势突出。标的公司建立了一套稳固的客户管理制度，主要客户信誉良好，已签订合同均能正常执行，且各期均存在主要客户的复购情况。因此，标的公司与主要客户的合作具备稳定性。</w:t>
      </w:r>
    </w:p>
    <w:bookmarkEnd w:id="7"/>
    <w:p w14:paraId="62E6554D" w14:textId="77777777" w:rsidR="00FC5A62" w:rsidRDefault="00C76273" w:rsidP="005F5067">
      <w:pPr>
        <w:spacing w:beforeLines="50" w:before="156" w:afterLines="50" w:after="156" w:line="360" w:lineRule="auto"/>
        <w:ind w:firstLineChars="200" w:firstLine="482"/>
        <w:outlineLvl w:val="4"/>
        <w:rPr>
          <w:b/>
          <w:bCs/>
          <w:sz w:val="24"/>
        </w:rPr>
      </w:pPr>
      <w:r>
        <w:rPr>
          <w:b/>
          <w:bCs/>
          <w:sz w:val="24"/>
        </w:rPr>
        <w:t>3</w:t>
      </w:r>
      <w:r>
        <w:rPr>
          <w:rFonts w:hint="eastAsia"/>
          <w:b/>
          <w:bCs/>
          <w:sz w:val="24"/>
        </w:rPr>
        <w:t>、标的公司品牌口碑良好，具有优秀的市场开拓能力，市场稳定性较强</w:t>
      </w:r>
    </w:p>
    <w:p w14:paraId="396355F9" w14:textId="77777777" w:rsidR="00FC5A62" w:rsidRDefault="00C76273" w:rsidP="005F5067">
      <w:pPr>
        <w:spacing w:beforeLines="50" w:before="156" w:afterLines="50" w:after="156" w:line="360" w:lineRule="auto"/>
        <w:ind w:firstLineChars="200" w:firstLine="480"/>
        <w:rPr>
          <w:sz w:val="24"/>
        </w:rPr>
      </w:pPr>
      <w:r>
        <w:rPr>
          <w:rFonts w:hint="eastAsia"/>
          <w:sz w:val="24"/>
        </w:rPr>
        <w:t>标的公司依托美国本土销售体系，与高盛、</w:t>
      </w:r>
      <w:proofErr w:type="spellStart"/>
      <w:r>
        <w:rPr>
          <w:sz w:val="24"/>
        </w:rPr>
        <w:t>Greenbacker</w:t>
      </w:r>
      <w:proofErr w:type="spellEnd"/>
      <w:r>
        <w:rPr>
          <w:sz w:val="24"/>
        </w:rPr>
        <w:t xml:space="preserve"> </w:t>
      </w:r>
      <w:r>
        <w:rPr>
          <w:rFonts w:hint="eastAsia"/>
          <w:sz w:val="24"/>
        </w:rPr>
        <w:t>、</w:t>
      </w:r>
      <w:proofErr w:type="spellStart"/>
      <w:r>
        <w:rPr>
          <w:sz w:val="24"/>
        </w:rPr>
        <w:t>Whitepine</w:t>
      </w:r>
      <w:proofErr w:type="spellEnd"/>
      <w:r>
        <w:rPr>
          <w:rFonts w:hint="eastAsia"/>
          <w:sz w:val="24"/>
        </w:rPr>
        <w:t>等知名开发商及项目业主达成长期合作，同时，通过大型展会等方式提升品牌知名度、开拓新市场，标的公司新增客户数量逐年增加，</w:t>
      </w:r>
      <w:r>
        <w:rPr>
          <w:rFonts w:hint="eastAsia"/>
          <w:sz w:val="24"/>
        </w:rPr>
        <w:t>2</w:t>
      </w:r>
      <w:r>
        <w:rPr>
          <w:sz w:val="24"/>
        </w:rPr>
        <w:t>022</w:t>
      </w:r>
      <w:r>
        <w:rPr>
          <w:rFonts w:hint="eastAsia"/>
          <w:sz w:val="24"/>
        </w:rPr>
        <w:t>年较</w:t>
      </w:r>
      <w:r>
        <w:rPr>
          <w:rFonts w:hint="eastAsia"/>
          <w:sz w:val="24"/>
        </w:rPr>
        <w:t>2</w:t>
      </w:r>
      <w:r>
        <w:rPr>
          <w:sz w:val="24"/>
        </w:rPr>
        <w:t>021</w:t>
      </w:r>
      <w:r>
        <w:rPr>
          <w:rFonts w:hint="eastAsia"/>
          <w:sz w:val="24"/>
        </w:rPr>
        <w:t>年新增客户数量</w:t>
      </w:r>
      <w:r>
        <w:rPr>
          <w:sz w:val="24"/>
        </w:rPr>
        <w:t>55</w:t>
      </w:r>
      <w:r>
        <w:rPr>
          <w:rFonts w:hint="eastAsia"/>
          <w:sz w:val="24"/>
        </w:rPr>
        <w:t>家，截至</w:t>
      </w:r>
      <w:r>
        <w:rPr>
          <w:rFonts w:hint="eastAsia"/>
          <w:sz w:val="24"/>
        </w:rPr>
        <w:t>2</w:t>
      </w:r>
      <w:r>
        <w:rPr>
          <w:sz w:val="24"/>
        </w:rPr>
        <w:t>023</w:t>
      </w:r>
      <w:r>
        <w:rPr>
          <w:rFonts w:hint="eastAsia"/>
          <w:sz w:val="24"/>
        </w:rPr>
        <w:t>年</w:t>
      </w:r>
      <w:r>
        <w:rPr>
          <w:sz w:val="24"/>
        </w:rPr>
        <w:t>3</w:t>
      </w:r>
      <w:r>
        <w:rPr>
          <w:rFonts w:hint="eastAsia"/>
          <w:sz w:val="24"/>
        </w:rPr>
        <w:t>月底新增客户数量</w:t>
      </w:r>
      <w:r>
        <w:rPr>
          <w:rFonts w:hint="eastAsia"/>
          <w:sz w:val="24"/>
        </w:rPr>
        <w:t>7</w:t>
      </w:r>
      <w:r>
        <w:rPr>
          <w:rFonts w:hint="eastAsia"/>
          <w:sz w:val="24"/>
        </w:rPr>
        <w:t>家。</w:t>
      </w:r>
    </w:p>
    <w:p w14:paraId="32E5F39F" w14:textId="77777777" w:rsidR="00FC5A62" w:rsidRDefault="00C76273" w:rsidP="005F5067">
      <w:pPr>
        <w:spacing w:beforeLines="50" w:before="156" w:afterLines="50" w:after="156" w:line="360" w:lineRule="auto"/>
        <w:ind w:firstLineChars="200" w:firstLine="480"/>
        <w:rPr>
          <w:sz w:val="23"/>
          <w:szCs w:val="23"/>
        </w:rPr>
      </w:pPr>
      <w:r>
        <w:rPr>
          <w:rFonts w:hint="eastAsia"/>
          <w:sz w:val="24"/>
        </w:rPr>
        <w:t>标的公司精准定位价值市场，建立符合政策规范的生产、销售、物流和售后体系，以实现稳定的供应链和客户服务，从而保持市场开拓长久的生命力，维持收入的稳定增长。</w:t>
      </w:r>
    </w:p>
    <w:p w14:paraId="3ABFDD26" w14:textId="77777777" w:rsidR="00FC5A62" w:rsidRDefault="00C76273" w:rsidP="005F5067">
      <w:pPr>
        <w:spacing w:beforeLines="50" w:before="156" w:afterLines="50" w:after="156" w:line="360" w:lineRule="auto"/>
        <w:ind w:firstLineChars="200" w:firstLine="482"/>
        <w:outlineLvl w:val="4"/>
        <w:rPr>
          <w:b/>
          <w:bCs/>
          <w:sz w:val="24"/>
        </w:rPr>
      </w:pPr>
      <w:r>
        <w:rPr>
          <w:b/>
          <w:bCs/>
          <w:sz w:val="24"/>
        </w:rPr>
        <w:t>4</w:t>
      </w:r>
      <w:r>
        <w:rPr>
          <w:rFonts w:hint="eastAsia"/>
          <w:b/>
          <w:bCs/>
          <w:sz w:val="24"/>
        </w:rPr>
        <w:t>、标的公司在手订单充足，销售稳定性得到切实保障</w:t>
      </w:r>
    </w:p>
    <w:p w14:paraId="6D93D218" w14:textId="77777777" w:rsidR="00FC5A62" w:rsidRDefault="00C76273" w:rsidP="005F5067">
      <w:pPr>
        <w:spacing w:beforeLines="50" w:before="156" w:afterLines="50" w:after="156" w:line="360" w:lineRule="auto"/>
        <w:ind w:firstLineChars="200" w:firstLine="480"/>
        <w:rPr>
          <w:sz w:val="24"/>
        </w:rPr>
      </w:pPr>
      <w:r>
        <w:rPr>
          <w:rFonts w:hint="eastAsia"/>
          <w:sz w:val="24"/>
        </w:rPr>
        <w:t>标的聚焦于美国地区的光伏组件销售业务，受益于美国地区光</w:t>
      </w:r>
      <w:proofErr w:type="gramStart"/>
      <w:r>
        <w:rPr>
          <w:rFonts w:hint="eastAsia"/>
          <w:sz w:val="24"/>
        </w:rPr>
        <w:t>伏市场</w:t>
      </w:r>
      <w:proofErr w:type="gramEnd"/>
      <w:r>
        <w:rPr>
          <w:rFonts w:hint="eastAsia"/>
          <w:sz w:val="24"/>
        </w:rPr>
        <w:t>规模及对光</w:t>
      </w:r>
      <w:proofErr w:type="gramStart"/>
      <w:r>
        <w:rPr>
          <w:rFonts w:hint="eastAsia"/>
          <w:sz w:val="24"/>
        </w:rPr>
        <w:t>伏</w:t>
      </w:r>
      <w:proofErr w:type="gramEnd"/>
      <w:r>
        <w:rPr>
          <w:rFonts w:hint="eastAsia"/>
          <w:sz w:val="24"/>
        </w:rPr>
        <w:t>组件需求的不断扩大，公司两年一期的销售情况持续向好。同时美国政府对来自于东南亚地区的光伏组件暂时执行宽松性政策，公司</w:t>
      </w:r>
      <w:r>
        <w:rPr>
          <w:rFonts w:hint="eastAsia"/>
          <w:sz w:val="24"/>
        </w:rPr>
        <w:t>2021</w:t>
      </w:r>
      <w:r>
        <w:rPr>
          <w:rFonts w:hint="eastAsia"/>
          <w:sz w:val="24"/>
        </w:rPr>
        <w:t>年下半年以来签订了大量在执行订单，截至</w:t>
      </w:r>
      <w:r>
        <w:rPr>
          <w:rFonts w:hint="eastAsia"/>
          <w:sz w:val="24"/>
        </w:rPr>
        <w:t>2023</w:t>
      </w:r>
      <w:r>
        <w:rPr>
          <w:rFonts w:hint="eastAsia"/>
          <w:sz w:val="24"/>
        </w:rPr>
        <w:t>年</w:t>
      </w:r>
      <w:r>
        <w:rPr>
          <w:rFonts w:hint="eastAsia"/>
          <w:sz w:val="24"/>
        </w:rPr>
        <w:t>8</w:t>
      </w:r>
      <w:r>
        <w:rPr>
          <w:rFonts w:hint="eastAsia"/>
          <w:sz w:val="24"/>
        </w:rPr>
        <w:t>月末在手订单仍较为充足。</w:t>
      </w:r>
    </w:p>
    <w:p w14:paraId="5AEFD402" w14:textId="77777777" w:rsidR="00FC5A62" w:rsidRDefault="00C76273" w:rsidP="005F5067">
      <w:pPr>
        <w:spacing w:beforeLines="50" w:before="156" w:afterLines="50" w:after="156" w:line="360" w:lineRule="auto"/>
        <w:ind w:firstLineChars="200" w:firstLine="480"/>
        <w:rPr>
          <w:sz w:val="24"/>
        </w:rPr>
      </w:pPr>
      <w:r>
        <w:rPr>
          <w:sz w:val="24"/>
        </w:rPr>
        <w:t>截至</w:t>
      </w:r>
      <w:r>
        <w:rPr>
          <w:sz w:val="24"/>
        </w:rPr>
        <w:t>2023</w:t>
      </w:r>
      <w:r>
        <w:rPr>
          <w:sz w:val="24"/>
        </w:rPr>
        <w:t>年</w:t>
      </w:r>
      <w:r>
        <w:rPr>
          <w:sz w:val="24"/>
        </w:rPr>
        <w:t>8</w:t>
      </w:r>
      <w:r>
        <w:rPr>
          <w:sz w:val="24"/>
        </w:rPr>
        <w:t>月末，公司在手订单</w:t>
      </w:r>
      <w:r>
        <w:rPr>
          <w:rFonts w:hint="eastAsia"/>
          <w:sz w:val="24"/>
        </w:rPr>
        <w:t>量约为</w:t>
      </w:r>
      <w:r>
        <w:rPr>
          <w:sz w:val="24"/>
        </w:rPr>
        <w:t>2,053MW</w:t>
      </w:r>
      <w:r>
        <w:rPr>
          <w:rFonts w:hint="eastAsia"/>
          <w:sz w:val="24"/>
        </w:rPr>
        <w:t>，公司对上述在手订单</w:t>
      </w:r>
      <w:r>
        <w:rPr>
          <w:rFonts w:hint="eastAsia"/>
          <w:sz w:val="24"/>
        </w:rPr>
        <w:lastRenderedPageBreak/>
        <w:t>的排</w:t>
      </w:r>
      <w:proofErr w:type="gramStart"/>
      <w:r>
        <w:rPr>
          <w:rFonts w:hint="eastAsia"/>
          <w:sz w:val="24"/>
        </w:rPr>
        <w:t>产计划</w:t>
      </w:r>
      <w:proofErr w:type="gramEnd"/>
      <w:r>
        <w:rPr>
          <w:rFonts w:hint="eastAsia"/>
          <w:sz w:val="24"/>
        </w:rPr>
        <w:t>已至</w:t>
      </w:r>
      <w:r>
        <w:rPr>
          <w:rFonts w:hint="eastAsia"/>
          <w:sz w:val="24"/>
        </w:rPr>
        <w:t>2</w:t>
      </w:r>
      <w:r>
        <w:rPr>
          <w:sz w:val="24"/>
        </w:rPr>
        <w:t>024</w:t>
      </w:r>
      <w:r>
        <w:rPr>
          <w:rFonts w:hint="eastAsia"/>
          <w:sz w:val="24"/>
        </w:rPr>
        <w:t>年上半年，短期业绩确定性较高。</w:t>
      </w:r>
    </w:p>
    <w:p w14:paraId="3DA54324" w14:textId="77777777" w:rsidR="00FC5A62" w:rsidRDefault="00C76273" w:rsidP="005F5067">
      <w:pPr>
        <w:spacing w:beforeLines="50" w:before="156" w:afterLines="50" w:after="156" w:line="360" w:lineRule="auto"/>
        <w:ind w:firstLineChars="200" w:firstLine="482"/>
        <w:outlineLvl w:val="2"/>
        <w:rPr>
          <w:sz w:val="24"/>
        </w:rPr>
      </w:pPr>
      <w:r>
        <w:rPr>
          <w:rFonts w:asciiTheme="majorEastAsia" w:eastAsiaTheme="majorEastAsia" w:hAnsiTheme="majorEastAsia" w:hint="eastAsia"/>
          <w:b/>
          <w:bCs/>
          <w:sz w:val="24"/>
        </w:rPr>
        <w:t>三、结合美国对东南亚光伏产品24个月免征反规避关税的缓冲期政策及标的公司的DDP销售模式，说明标的公司未来销售产品是否可能面临关税税率上升风险，是否可能影响相关客户的采购意愿及标的公司未来业绩，并充分提示风险</w:t>
      </w:r>
    </w:p>
    <w:p w14:paraId="080DA3EF" w14:textId="6A171136" w:rsidR="00FC5A62" w:rsidRDefault="00C76273" w:rsidP="005F5067">
      <w:pPr>
        <w:spacing w:beforeLines="50" w:before="156" w:afterLines="50" w:after="156" w:line="360" w:lineRule="auto"/>
        <w:ind w:firstLineChars="200" w:firstLine="482"/>
        <w:outlineLvl w:val="3"/>
        <w:rPr>
          <w:b/>
          <w:bCs/>
          <w:sz w:val="24"/>
        </w:rPr>
      </w:pPr>
      <w:r>
        <w:rPr>
          <w:b/>
          <w:bCs/>
          <w:sz w:val="24"/>
        </w:rPr>
        <w:t>（一）美国对东南亚光伏产品</w:t>
      </w:r>
      <w:r>
        <w:rPr>
          <w:b/>
          <w:bCs/>
          <w:sz w:val="24"/>
        </w:rPr>
        <w:t>24</w:t>
      </w:r>
      <w:r>
        <w:rPr>
          <w:b/>
          <w:bCs/>
          <w:sz w:val="24"/>
        </w:rPr>
        <w:t>个月免征反规避关税缓冲期政策</w:t>
      </w:r>
      <w:r>
        <w:rPr>
          <w:rFonts w:hint="eastAsia"/>
          <w:b/>
          <w:bCs/>
          <w:sz w:val="24"/>
        </w:rPr>
        <w:t>情况</w:t>
      </w:r>
    </w:p>
    <w:p w14:paraId="0E56B1DD" w14:textId="41774F44" w:rsidR="00FC5A62" w:rsidRDefault="00C76273" w:rsidP="005F5067">
      <w:pPr>
        <w:spacing w:beforeLines="50" w:before="156" w:afterLines="50" w:after="156" w:line="360" w:lineRule="auto"/>
        <w:ind w:firstLineChars="200" w:firstLine="482"/>
        <w:outlineLvl w:val="4"/>
        <w:rPr>
          <w:b/>
          <w:bCs/>
          <w:sz w:val="24"/>
        </w:rPr>
      </w:pPr>
      <w:r>
        <w:rPr>
          <w:b/>
          <w:bCs/>
          <w:sz w:val="24"/>
        </w:rPr>
        <w:t>1</w:t>
      </w:r>
      <w:r>
        <w:rPr>
          <w:b/>
          <w:bCs/>
          <w:sz w:val="24"/>
        </w:rPr>
        <w:t>、美国征收反规避关税</w:t>
      </w:r>
      <w:r>
        <w:rPr>
          <w:rFonts w:hint="eastAsia"/>
          <w:b/>
          <w:bCs/>
          <w:sz w:val="24"/>
        </w:rPr>
        <w:t>相关规定</w:t>
      </w:r>
    </w:p>
    <w:p w14:paraId="2EF21AF1" w14:textId="4C0157E9" w:rsidR="00FC5A62" w:rsidRDefault="00C76273" w:rsidP="005F5067">
      <w:pPr>
        <w:spacing w:beforeLines="50" w:before="156" w:afterLines="50" w:after="156" w:line="360" w:lineRule="auto"/>
        <w:ind w:firstLineChars="200" w:firstLine="480"/>
        <w:rPr>
          <w:sz w:val="24"/>
        </w:rPr>
      </w:pPr>
      <w:r>
        <w:rPr>
          <w:sz w:val="24"/>
        </w:rPr>
        <w:t>2012</w:t>
      </w:r>
      <w:r>
        <w:rPr>
          <w:sz w:val="24"/>
        </w:rPr>
        <w:t>年</w:t>
      </w:r>
      <w:r>
        <w:rPr>
          <w:sz w:val="24"/>
        </w:rPr>
        <w:t>12</w:t>
      </w:r>
      <w:r>
        <w:rPr>
          <w:sz w:val="24"/>
        </w:rPr>
        <w:t>月，美国商务部发布《</w:t>
      </w:r>
      <w:r>
        <w:rPr>
          <w:rFonts w:hint="eastAsia"/>
          <w:sz w:val="24"/>
        </w:rPr>
        <w:t>对</w:t>
      </w:r>
      <w:r>
        <w:rPr>
          <w:sz w:val="24"/>
        </w:rPr>
        <w:t>来自中国的晶体硅光伏电池（无论是否组装成组件），关于低于公平价值销售的修正终裁和反倾销税令》，对原产于中国的光伏产品做出反倾销、反补贴终裁，征收</w:t>
      </w:r>
      <w:r>
        <w:rPr>
          <w:sz w:val="24"/>
        </w:rPr>
        <w:t>18.32%-249.96%</w:t>
      </w:r>
      <w:r>
        <w:rPr>
          <w:sz w:val="24"/>
        </w:rPr>
        <w:t>的反倾销税和</w:t>
      </w:r>
      <w:r>
        <w:rPr>
          <w:sz w:val="24"/>
        </w:rPr>
        <w:t>14.78%-15.97%</w:t>
      </w:r>
      <w:r>
        <w:rPr>
          <w:sz w:val="24"/>
        </w:rPr>
        <w:t>的反补贴税</w:t>
      </w:r>
      <w:r>
        <w:rPr>
          <w:rFonts w:hint="eastAsia"/>
          <w:sz w:val="24"/>
        </w:rPr>
        <w:t>（以下简称“双反税”）</w:t>
      </w:r>
      <w:r>
        <w:rPr>
          <w:sz w:val="24"/>
        </w:rPr>
        <w:t>。</w:t>
      </w:r>
    </w:p>
    <w:p w14:paraId="1900571C" w14:textId="3D80E92E" w:rsidR="00FC5A62" w:rsidRDefault="00C76273" w:rsidP="005F5067">
      <w:pPr>
        <w:spacing w:beforeLines="50" w:before="156" w:afterLines="50" w:after="156" w:line="360" w:lineRule="auto"/>
        <w:ind w:firstLineChars="200" w:firstLine="482"/>
        <w:outlineLvl w:val="4"/>
        <w:rPr>
          <w:b/>
          <w:bCs/>
          <w:sz w:val="24"/>
        </w:rPr>
      </w:pPr>
      <w:r>
        <w:rPr>
          <w:b/>
          <w:bCs/>
          <w:sz w:val="24"/>
        </w:rPr>
        <w:t>2</w:t>
      </w:r>
      <w:r>
        <w:rPr>
          <w:b/>
          <w:bCs/>
          <w:sz w:val="24"/>
        </w:rPr>
        <w:t>、</w:t>
      </w:r>
      <w:proofErr w:type="gramStart"/>
      <w:r w:rsidR="00E06E0F">
        <w:rPr>
          <w:rFonts w:hint="eastAsia"/>
          <w:b/>
          <w:bCs/>
          <w:sz w:val="24"/>
        </w:rPr>
        <w:t>双反税</w:t>
      </w:r>
      <w:proofErr w:type="gramEnd"/>
      <w:r w:rsidR="00E06E0F">
        <w:rPr>
          <w:rFonts w:hint="eastAsia"/>
          <w:b/>
          <w:bCs/>
          <w:sz w:val="24"/>
        </w:rPr>
        <w:t>豁免期内（</w:t>
      </w:r>
      <w:r w:rsidR="00E06E0F">
        <w:rPr>
          <w:rFonts w:hint="eastAsia"/>
          <w:b/>
          <w:bCs/>
          <w:sz w:val="24"/>
        </w:rPr>
        <w:t>2</w:t>
      </w:r>
      <w:r w:rsidR="00E06E0F">
        <w:rPr>
          <w:b/>
          <w:bCs/>
          <w:sz w:val="24"/>
        </w:rPr>
        <w:t>024</w:t>
      </w:r>
      <w:r w:rsidR="00E06E0F">
        <w:rPr>
          <w:rFonts w:hint="eastAsia"/>
          <w:b/>
          <w:bCs/>
          <w:sz w:val="24"/>
        </w:rPr>
        <w:t>年</w:t>
      </w:r>
      <w:r w:rsidR="00E06E0F">
        <w:rPr>
          <w:rFonts w:hint="eastAsia"/>
          <w:b/>
          <w:bCs/>
          <w:sz w:val="24"/>
        </w:rPr>
        <w:t>6</w:t>
      </w:r>
      <w:r w:rsidR="00E06E0F">
        <w:rPr>
          <w:rFonts w:hint="eastAsia"/>
          <w:b/>
          <w:bCs/>
          <w:sz w:val="24"/>
        </w:rPr>
        <w:t>月</w:t>
      </w:r>
      <w:r w:rsidR="00E06E0F">
        <w:rPr>
          <w:rFonts w:hint="eastAsia"/>
          <w:b/>
          <w:bCs/>
          <w:sz w:val="24"/>
        </w:rPr>
        <w:t>6</w:t>
      </w:r>
      <w:r w:rsidR="00E06E0F">
        <w:rPr>
          <w:rFonts w:hint="eastAsia"/>
          <w:b/>
          <w:bCs/>
          <w:sz w:val="24"/>
        </w:rPr>
        <w:t>日前）</w:t>
      </w:r>
      <w:r>
        <w:rPr>
          <w:b/>
          <w:bCs/>
          <w:sz w:val="24"/>
        </w:rPr>
        <w:t>免征反规避关税</w:t>
      </w:r>
      <w:r>
        <w:rPr>
          <w:rFonts w:hint="eastAsia"/>
          <w:b/>
          <w:bCs/>
          <w:sz w:val="24"/>
        </w:rPr>
        <w:t>政策</w:t>
      </w:r>
    </w:p>
    <w:p w14:paraId="3D1A928E" w14:textId="615A2632" w:rsidR="00FC5A62" w:rsidRDefault="00C76273" w:rsidP="005F5067">
      <w:pPr>
        <w:spacing w:beforeLines="50" w:before="156" w:afterLines="50" w:after="156" w:line="360" w:lineRule="auto"/>
        <w:ind w:firstLineChars="200" w:firstLine="480"/>
        <w:rPr>
          <w:sz w:val="24"/>
        </w:rPr>
      </w:pPr>
      <w:r>
        <w:rPr>
          <w:sz w:val="24"/>
        </w:rPr>
        <w:t>2022</w:t>
      </w:r>
      <w:r>
        <w:rPr>
          <w:sz w:val="24"/>
        </w:rPr>
        <w:t>年</w:t>
      </w:r>
      <w:r>
        <w:rPr>
          <w:sz w:val="24"/>
        </w:rPr>
        <w:t>6</w:t>
      </w:r>
      <w:r>
        <w:rPr>
          <w:sz w:val="24"/>
        </w:rPr>
        <w:t>月</w:t>
      </w:r>
      <w:r>
        <w:rPr>
          <w:sz w:val="24"/>
        </w:rPr>
        <w:t>6</w:t>
      </w:r>
      <w:r>
        <w:rPr>
          <w:sz w:val="24"/>
        </w:rPr>
        <w:t>日，为满足</w:t>
      </w:r>
      <w:r>
        <w:rPr>
          <w:rFonts w:hint="eastAsia"/>
          <w:sz w:val="24"/>
        </w:rPr>
        <w:t>美国</w:t>
      </w:r>
      <w:r>
        <w:rPr>
          <w:sz w:val="24"/>
        </w:rPr>
        <w:t>光</w:t>
      </w:r>
      <w:proofErr w:type="gramStart"/>
      <w:r>
        <w:rPr>
          <w:sz w:val="24"/>
        </w:rPr>
        <w:t>伏市场</w:t>
      </w:r>
      <w:proofErr w:type="gramEnd"/>
      <w:r>
        <w:rPr>
          <w:sz w:val="24"/>
        </w:rPr>
        <w:t>供应，美国总统签署了第</w:t>
      </w:r>
      <w:r>
        <w:rPr>
          <w:sz w:val="24"/>
        </w:rPr>
        <w:t>10414</w:t>
      </w:r>
      <w:r>
        <w:rPr>
          <w:sz w:val="24"/>
        </w:rPr>
        <w:t>号</w:t>
      </w:r>
      <w:r>
        <w:rPr>
          <w:rFonts w:hint="eastAsia"/>
          <w:sz w:val="24"/>
        </w:rPr>
        <w:t>总统</w:t>
      </w:r>
      <w:r>
        <w:rPr>
          <w:sz w:val="24"/>
        </w:rPr>
        <w:t>令，对进口自柬埔寨、马来西亚、泰国或越南这四个被调查国家（</w:t>
      </w:r>
      <w:r>
        <w:rPr>
          <w:rFonts w:hint="eastAsia"/>
          <w:sz w:val="24"/>
        </w:rPr>
        <w:t>以</w:t>
      </w:r>
      <w:r>
        <w:rPr>
          <w:sz w:val="24"/>
        </w:rPr>
        <w:t>下</w:t>
      </w:r>
      <w:r>
        <w:rPr>
          <w:rFonts w:hint="eastAsia"/>
          <w:sz w:val="24"/>
        </w:rPr>
        <w:t>简</w:t>
      </w:r>
      <w:r>
        <w:rPr>
          <w:sz w:val="24"/>
        </w:rPr>
        <w:t>称</w:t>
      </w:r>
      <w:r>
        <w:rPr>
          <w:sz w:val="24"/>
        </w:rPr>
        <w:t>“</w:t>
      </w:r>
      <w:r>
        <w:rPr>
          <w:sz w:val="24"/>
        </w:rPr>
        <w:t>被调查国家</w:t>
      </w:r>
      <w:r>
        <w:rPr>
          <w:sz w:val="24"/>
        </w:rPr>
        <w:t>”</w:t>
      </w:r>
      <w:r>
        <w:rPr>
          <w:sz w:val="24"/>
        </w:rPr>
        <w:t>）的</w:t>
      </w:r>
      <w:proofErr w:type="gramStart"/>
      <w:r>
        <w:rPr>
          <w:sz w:val="24"/>
        </w:rPr>
        <w:t>晶硅光伏</w:t>
      </w:r>
      <w:proofErr w:type="gramEnd"/>
      <w:r>
        <w:rPr>
          <w:sz w:val="24"/>
        </w:rPr>
        <w:t>电池和组件给予</w:t>
      </w:r>
      <w:r>
        <w:rPr>
          <w:sz w:val="24"/>
        </w:rPr>
        <w:t>24</w:t>
      </w:r>
      <w:r>
        <w:rPr>
          <w:sz w:val="24"/>
        </w:rPr>
        <w:t>个月的</w:t>
      </w:r>
      <w:proofErr w:type="gramStart"/>
      <w:r>
        <w:rPr>
          <w:sz w:val="24"/>
        </w:rPr>
        <w:t>双反税</w:t>
      </w:r>
      <w:proofErr w:type="gramEnd"/>
      <w:r>
        <w:rPr>
          <w:sz w:val="24"/>
        </w:rPr>
        <w:t>豁免。</w:t>
      </w:r>
    </w:p>
    <w:p w14:paraId="3F753311" w14:textId="5BE0A550" w:rsidR="00FC5A62" w:rsidRDefault="00C76273" w:rsidP="005F5067">
      <w:pPr>
        <w:spacing w:beforeLines="50" w:before="156" w:afterLines="50" w:after="156" w:line="360" w:lineRule="auto"/>
        <w:ind w:firstLineChars="200" w:firstLine="480"/>
        <w:rPr>
          <w:sz w:val="24"/>
        </w:rPr>
      </w:pPr>
      <w:r>
        <w:rPr>
          <w:sz w:val="24"/>
        </w:rPr>
        <w:t>2022</w:t>
      </w:r>
      <w:r>
        <w:rPr>
          <w:sz w:val="24"/>
        </w:rPr>
        <w:t>年</w:t>
      </w:r>
      <w:r>
        <w:rPr>
          <w:sz w:val="24"/>
        </w:rPr>
        <w:t>9</w:t>
      </w:r>
      <w:r>
        <w:rPr>
          <w:sz w:val="24"/>
        </w:rPr>
        <w:t>月</w:t>
      </w:r>
      <w:r>
        <w:rPr>
          <w:sz w:val="24"/>
        </w:rPr>
        <w:t>16</w:t>
      </w:r>
      <w:r>
        <w:rPr>
          <w:sz w:val="24"/>
        </w:rPr>
        <w:t>日，美国商务部公布了最终规则（</w:t>
      </w:r>
      <w:r>
        <w:rPr>
          <w:sz w:val="24"/>
        </w:rPr>
        <w:t>19 C. F. R.§362.7</w:t>
      </w:r>
      <w:r>
        <w:rPr>
          <w:sz w:val="24"/>
        </w:rPr>
        <w:t>）以实施</w:t>
      </w:r>
      <w:r>
        <w:rPr>
          <w:rFonts w:hint="eastAsia"/>
          <w:sz w:val="24"/>
        </w:rPr>
        <w:t>前述</w:t>
      </w:r>
      <w:r>
        <w:rPr>
          <w:sz w:val="24"/>
        </w:rPr>
        <w:t>于</w:t>
      </w:r>
      <w:r>
        <w:rPr>
          <w:sz w:val="24"/>
        </w:rPr>
        <w:t>2022</w:t>
      </w:r>
      <w:r>
        <w:rPr>
          <w:sz w:val="24"/>
        </w:rPr>
        <w:t>年</w:t>
      </w:r>
      <w:r>
        <w:rPr>
          <w:sz w:val="24"/>
        </w:rPr>
        <w:t>6</w:t>
      </w:r>
      <w:r>
        <w:rPr>
          <w:sz w:val="24"/>
        </w:rPr>
        <w:t>月</w:t>
      </w:r>
      <w:r>
        <w:rPr>
          <w:sz w:val="24"/>
        </w:rPr>
        <w:t>6</w:t>
      </w:r>
      <w:r>
        <w:rPr>
          <w:sz w:val="24"/>
        </w:rPr>
        <w:t>日签署的第</w:t>
      </w:r>
      <w:r>
        <w:rPr>
          <w:sz w:val="24"/>
        </w:rPr>
        <w:t>10414</w:t>
      </w:r>
      <w:r>
        <w:rPr>
          <w:sz w:val="24"/>
        </w:rPr>
        <w:t>号</w:t>
      </w:r>
      <w:r>
        <w:rPr>
          <w:rFonts w:hint="eastAsia"/>
          <w:sz w:val="24"/>
        </w:rPr>
        <w:t>总统</w:t>
      </w:r>
      <w:r>
        <w:rPr>
          <w:sz w:val="24"/>
        </w:rPr>
        <w:t>令。</w:t>
      </w:r>
      <w:r>
        <w:rPr>
          <w:rFonts w:hint="eastAsia"/>
          <w:sz w:val="24"/>
        </w:rPr>
        <w:t>出口商</w:t>
      </w:r>
      <w:r>
        <w:rPr>
          <w:sz w:val="24"/>
        </w:rPr>
        <w:t>在满足以下条件的前提下，在报关前向美国海关</w:t>
      </w:r>
      <w:r>
        <w:rPr>
          <w:rFonts w:hint="eastAsia"/>
          <w:sz w:val="24"/>
        </w:rPr>
        <w:t>与</w:t>
      </w:r>
      <w:r>
        <w:rPr>
          <w:sz w:val="24"/>
        </w:rPr>
        <w:t>边境保护局和</w:t>
      </w:r>
      <w:r>
        <w:rPr>
          <w:sz w:val="24"/>
        </w:rPr>
        <w:t>/</w:t>
      </w:r>
      <w:r>
        <w:rPr>
          <w:sz w:val="24"/>
        </w:rPr>
        <w:t>或美国商务部提交</w:t>
      </w:r>
      <w:r>
        <w:rPr>
          <w:rFonts w:hint="eastAsia"/>
          <w:sz w:val="24"/>
        </w:rPr>
        <w:t>相关证明文件</w:t>
      </w:r>
      <w:r>
        <w:rPr>
          <w:sz w:val="24"/>
        </w:rPr>
        <w:t>则可</w:t>
      </w:r>
      <w:r>
        <w:rPr>
          <w:rFonts w:hint="eastAsia"/>
          <w:sz w:val="24"/>
        </w:rPr>
        <w:t>豁免</w:t>
      </w:r>
      <w:r>
        <w:rPr>
          <w:sz w:val="24"/>
        </w:rPr>
        <w:t>美国海关与边境保护局对其</w:t>
      </w:r>
      <w:r>
        <w:rPr>
          <w:rFonts w:hint="eastAsia"/>
          <w:sz w:val="24"/>
        </w:rPr>
        <w:t>征收</w:t>
      </w:r>
      <w:r>
        <w:rPr>
          <w:sz w:val="24"/>
        </w:rPr>
        <w:t>的</w:t>
      </w:r>
      <w:proofErr w:type="gramStart"/>
      <w:r>
        <w:rPr>
          <w:sz w:val="24"/>
        </w:rPr>
        <w:t>双反税</w:t>
      </w:r>
      <w:proofErr w:type="gramEnd"/>
      <w:r>
        <w:rPr>
          <w:sz w:val="24"/>
        </w:rPr>
        <w:t>：</w:t>
      </w:r>
    </w:p>
    <w:p w14:paraId="0E34F915" w14:textId="0F0143EA" w:rsidR="00FC5A62" w:rsidRDefault="00C76273" w:rsidP="005F5067">
      <w:pPr>
        <w:spacing w:beforeLines="50" w:before="156" w:afterLines="50" w:after="156" w:line="360" w:lineRule="auto"/>
        <w:ind w:firstLineChars="200" w:firstLine="480"/>
        <w:rPr>
          <w:sz w:val="24"/>
        </w:rPr>
      </w:pPr>
      <w:r>
        <w:rPr>
          <w:sz w:val="24"/>
        </w:rPr>
        <w:t>（</w:t>
      </w:r>
      <w:r>
        <w:rPr>
          <w:sz w:val="24"/>
        </w:rPr>
        <w:t>1</w:t>
      </w:r>
      <w:r>
        <w:rPr>
          <w:sz w:val="24"/>
        </w:rPr>
        <w:t>）相关光伏电池和组件在</w:t>
      </w:r>
      <w:r>
        <w:rPr>
          <w:sz w:val="24"/>
        </w:rPr>
        <w:t>2024</w:t>
      </w:r>
      <w:r>
        <w:rPr>
          <w:sz w:val="24"/>
        </w:rPr>
        <w:t>年</w:t>
      </w:r>
      <w:r>
        <w:rPr>
          <w:sz w:val="24"/>
        </w:rPr>
        <w:t>6</w:t>
      </w:r>
      <w:r>
        <w:rPr>
          <w:sz w:val="24"/>
        </w:rPr>
        <w:t>月</w:t>
      </w:r>
      <w:r>
        <w:rPr>
          <w:sz w:val="24"/>
        </w:rPr>
        <w:t>6</w:t>
      </w:r>
      <w:r>
        <w:rPr>
          <w:sz w:val="24"/>
        </w:rPr>
        <w:t>日（或美国国内电力供应的紧急状态结束）之前进入美国或从仓库中提货以在美国销售；</w:t>
      </w:r>
    </w:p>
    <w:p w14:paraId="7AD0677F" w14:textId="4AED24AA" w:rsidR="00E06E0F" w:rsidRDefault="00C76273" w:rsidP="005F5067">
      <w:pPr>
        <w:spacing w:beforeLines="50" w:before="156" w:afterLines="50" w:after="156" w:line="360" w:lineRule="auto"/>
        <w:ind w:firstLineChars="200" w:firstLine="480"/>
        <w:rPr>
          <w:sz w:val="24"/>
        </w:rPr>
      </w:pPr>
      <w:r>
        <w:rPr>
          <w:sz w:val="24"/>
        </w:rPr>
        <w:t>（</w:t>
      </w:r>
      <w:r>
        <w:rPr>
          <w:sz w:val="24"/>
        </w:rPr>
        <w:t>2</w:t>
      </w:r>
      <w:r>
        <w:rPr>
          <w:sz w:val="24"/>
        </w:rPr>
        <w:t>）该等获得</w:t>
      </w:r>
      <w:proofErr w:type="gramStart"/>
      <w:r>
        <w:rPr>
          <w:sz w:val="24"/>
        </w:rPr>
        <w:t>双反税</w:t>
      </w:r>
      <w:proofErr w:type="gramEnd"/>
      <w:r>
        <w:rPr>
          <w:sz w:val="24"/>
        </w:rPr>
        <w:t>豁免的光伏电池和组件必须在</w:t>
      </w:r>
      <w:r>
        <w:rPr>
          <w:sz w:val="24"/>
        </w:rPr>
        <w:t>2024</w:t>
      </w:r>
      <w:r>
        <w:rPr>
          <w:sz w:val="24"/>
        </w:rPr>
        <w:t>年</w:t>
      </w:r>
      <w:r>
        <w:rPr>
          <w:sz w:val="24"/>
        </w:rPr>
        <w:t>12</w:t>
      </w:r>
      <w:r>
        <w:rPr>
          <w:sz w:val="24"/>
        </w:rPr>
        <w:t>月</w:t>
      </w:r>
      <w:r>
        <w:rPr>
          <w:sz w:val="24"/>
        </w:rPr>
        <w:t>3</w:t>
      </w:r>
      <w:r>
        <w:rPr>
          <w:sz w:val="24"/>
        </w:rPr>
        <w:t>日之前在美国国内被使用或安装。</w:t>
      </w:r>
    </w:p>
    <w:p w14:paraId="13AB6D54" w14:textId="1010D72B" w:rsidR="00FC5A62" w:rsidRDefault="00C76273" w:rsidP="005F5067">
      <w:pPr>
        <w:spacing w:beforeLines="50" w:before="156" w:afterLines="50" w:after="156" w:line="360" w:lineRule="auto"/>
        <w:ind w:firstLineChars="200" w:firstLine="482"/>
        <w:outlineLvl w:val="4"/>
        <w:rPr>
          <w:b/>
          <w:bCs/>
          <w:sz w:val="24"/>
        </w:rPr>
      </w:pPr>
      <w:r>
        <w:rPr>
          <w:b/>
          <w:bCs/>
          <w:sz w:val="24"/>
        </w:rPr>
        <w:t>3</w:t>
      </w:r>
      <w:r>
        <w:rPr>
          <w:b/>
          <w:bCs/>
          <w:sz w:val="24"/>
        </w:rPr>
        <w:t>、</w:t>
      </w:r>
      <w:proofErr w:type="gramStart"/>
      <w:r w:rsidR="004142D7">
        <w:rPr>
          <w:rFonts w:hint="eastAsia"/>
          <w:b/>
          <w:bCs/>
          <w:sz w:val="24"/>
        </w:rPr>
        <w:t>双反税</w:t>
      </w:r>
      <w:proofErr w:type="gramEnd"/>
      <w:r w:rsidR="004142D7">
        <w:rPr>
          <w:rFonts w:hint="eastAsia"/>
          <w:b/>
          <w:bCs/>
          <w:sz w:val="24"/>
        </w:rPr>
        <w:t>豁免期后（</w:t>
      </w:r>
      <w:r w:rsidR="004142D7">
        <w:rPr>
          <w:rFonts w:hint="eastAsia"/>
          <w:b/>
          <w:bCs/>
          <w:sz w:val="24"/>
        </w:rPr>
        <w:t>2</w:t>
      </w:r>
      <w:r w:rsidR="004142D7">
        <w:rPr>
          <w:b/>
          <w:bCs/>
          <w:sz w:val="24"/>
        </w:rPr>
        <w:t>024</w:t>
      </w:r>
      <w:r w:rsidR="004142D7">
        <w:rPr>
          <w:rFonts w:hint="eastAsia"/>
          <w:b/>
          <w:bCs/>
          <w:sz w:val="24"/>
        </w:rPr>
        <w:t>年</w:t>
      </w:r>
      <w:r w:rsidR="004142D7">
        <w:rPr>
          <w:rFonts w:hint="eastAsia"/>
          <w:b/>
          <w:bCs/>
          <w:sz w:val="24"/>
        </w:rPr>
        <w:t>6</w:t>
      </w:r>
      <w:r w:rsidR="004142D7">
        <w:rPr>
          <w:rFonts w:hint="eastAsia"/>
          <w:b/>
          <w:bCs/>
          <w:sz w:val="24"/>
        </w:rPr>
        <w:t>月</w:t>
      </w:r>
      <w:r w:rsidR="004142D7">
        <w:rPr>
          <w:rFonts w:hint="eastAsia"/>
          <w:b/>
          <w:bCs/>
          <w:sz w:val="24"/>
        </w:rPr>
        <w:t>6</w:t>
      </w:r>
      <w:r w:rsidR="004142D7">
        <w:rPr>
          <w:rFonts w:hint="eastAsia"/>
          <w:b/>
          <w:bCs/>
          <w:sz w:val="24"/>
        </w:rPr>
        <w:t>日后）</w:t>
      </w:r>
      <w:r>
        <w:rPr>
          <w:b/>
          <w:bCs/>
          <w:sz w:val="24"/>
        </w:rPr>
        <w:t>构成</w:t>
      </w:r>
      <w:r>
        <w:rPr>
          <w:rFonts w:hint="eastAsia"/>
          <w:b/>
          <w:bCs/>
          <w:sz w:val="24"/>
        </w:rPr>
        <w:t>“</w:t>
      </w:r>
      <w:r>
        <w:rPr>
          <w:b/>
          <w:bCs/>
          <w:sz w:val="24"/>
        </w:rPr>
        <w:t>双反规避行为</w:t>
      </w:r>
      <w:r>
        <w:rPr>
          <w:rFonts w:hint="eastAsia"/>
          <w:b/>
          <w:bCs/>
          <w:sz w:val="24"/>
        </w:rPr>
        <w:t>”的</w:t>
      </w:r>
      <w:r>
        <w:rPr>
          <w:b/>
          <w:bCs/>
          <w:sz w:val="24"/>
        </w:rPr>
        <w:t>条件</w:t>
      </w:r>
    </w:p>
    <w:p w14:paraId="328DDD5F" w14:textId="6FE392A4" w:rsidR="00FC5A62" w:rsidRDefault="00C76273" w:rsidP="005F5067">
      <w:pPr>
        <w:spacing w:beforeLines="50" w:before="156" w:afterLines="50" w:after="156" w:line="360" w:lineRule="auto"/>
        <w:ind w:firstLineChars="200" w:firstLine="480"/>
        <w:rPr>
          <w:sz w:val="24"/>
        </w:rPr>
      </w:pPr>
      <w:r>
        <w:rPr>
          <w:sz w:val="24"/>
        </w:rPr>
        <w:t>2023</w:t>
      </w:r>
      <w:r>
        <w:rPr>
          <w:sz w:val="24"/>
        </w:rPr>
        <w:t>年</w:t>
      </w:r>
      <w:r>
        <w:rPr>
          <w:sz w:val="24"/>
        </w:rPr>
        <w:t>8</w:t>
      </w:r>
      <w:r>
        <w:rPr>
          <w:sz w:val="24"/>
        </w:rPr>
        <w:t>月</w:t>
      </w:r>
      <w:r>
        <w:rPr>
          <w:sz w:val="24"/>
        </w:rPr>
        <w:t>18</w:t>
      </w:r>
      <w:r>
        <w:rPr>
          <w:sz w:val="24"/>
        </w:rPr>
        <w:t>日，美国商务部发布对来自中国的</w:t>
      </w:r>
      <w:proofErr w:type="gramStart"/>
      <w:r>
        <w:rPr>
          <w:sz w:val="24"/>
        </w:rPr>
        <w:t>晶硅光伏</w:t>
      </w:r>
      <w:proofErr w:type="gramEnd"/>
      <w:r>
        <w:rPr>
          <w:sz w:val="24"/>
        </w:rPr>
        <w:t>电池和组件的反规避调查的最终裁定</w:t>
      </w:r>
      <w:r>
        <w:rPr>
          <w:rFonts w:hint="eastAsia"/>
          <w:sz w:val="24"/>
        </w:rPr>
        <w:t>（以下简称“最终裁定”）</w:t>
      </w:r>
      <w:r>
        <w:rPr>
          <w:sz w:val="24"/>
        </w:rPr>
        <w:t>，</w:t>
      </w:r>
      <w:r>
        <w:rPr>
          <w:rFonts w:hint="eastAsia"/>
          <w:sz w:val="24"/>
        </w:rPr>
        <w:t>裁定</w:t>
      </w:r>
      <w:r w:rsidR="006860E4">
        <w:rPr>
          <w:rFonts w:hint="eastAsia"/>
          <w:sz w:val="24"/>
        </w:rPr>
        <w:t>其进口</w:t>
      </w:r>
      <w:proofErr w:type="gramStart"/>
      <w:r>
        <w:rPr>
          <w:sz w:val="24"/>
        </w:rPr>
        <w:t>晶硅光伏</w:t>
      </w:r>
      <w:proofErr w:type="gramEnd"/>
      <w:r>
        <w:rPr>
          <w:sz w:val="24"/>
        </w:rPr>
        <w:t>组件</w:t>
      </w:r>
      <w:r w:rsidR="006860E4">
        <w:rPr>
          <w:rFonts w:hint="eastAsia"/>
          <w:sz w:val="24"/>
        </w:rPr>
        <w:t>中</w:t>
      </w:r>
      <w:r>
        <w:rPr>
          <w:sz w:val="24"/>
        </w:rPr>
        <w:t>，</w:t>
      </w:r>
      <w:r>
        <w:rPr>
          <w:sz w:val="24"/>
        </w:rPr>
        <w:lastRenderedPageBreak/>
        <w:t>如果</w:t>
      </w:r>
      <w:r>
        <w:rPr>
          <w:rFonts w:hint="eastAsia"/>
          <w:sz w:val="24"/>
        </w:rPr>
        <w:t>在</w:t>
      </w:r>
      <w:r>
        <w:rPr>
          <w:sz w:val="24"/>
        </w:rPr>
        <w:t>被调查国家生产完成并使用产于中国的硅片完成生产的</w:t>
      </w:r>
      <w:proofErr w:type="gramStart"/>
      <w:r>
        <w:rPr>
          <w:sz w:val="24"/>
        </w:rPr>
        <w:t>晶硅光伏</w:t>
      </w:r>
      <w:proofErr w:type="gramEnd"/>
      <w:r>
        <w:rPr>
          <w:sz w:val="24"/>
        </w:rPr>
        <w:t>电池</w:t>
      </w:r>
      <w:r>
        <w:rPr>
          <w:rFonts w:hint="eastAsia"/>
          <w:sz w:val="24"/>
        </w:rPr>
        <w:t>，</w:t>
      </w:r>
      <w:r w:rsidR="007519FA">
        <w:rPr>
          <w:rFonts w:hint="eastAsia"/>
          <w:sz w:val="24"/>
        </w:rPr>
        <w:t>并且</w:t>
      </w:r>
      <w:r>
        <w:rPr>
          <w:sz w:val="24"/>
        </w:rPr>
        <w:t>包含两个以上来自中国产地的辅材（银浆、铝框、玻璃、背板、胶膜和接线盒）生产的光伏组件，随后从被调查国家之一出口到美国，则构成对太阳能电池和组件的反倾销税和反</w:t>
      </w:r>
      <w:proofErr w:type="gramStart"/>
      <w:r>
        <w:rPr>
          <w:sz w:val="24"/>
        </w:rPr>
        <w:t>补贴税令的</w:t>
      </w:r>
      <w:proofErr w:type="gramEnd"/>
      <w:r>
        <w:rPr>
          <w:sz w:val="24"/>
        </w:rPr>
        <w:t>规避行为（</w:t>
      </w:r>
      <w:r>
        <w:rPr>
          <w:rFonts w:hint="eastAsia"/>
          <w:sz w:val="24"/>
        </w:rPr>
        <w:t>以</w:t>
      </w:r>
      <w:r>
        <w:rPr>
          <w:sz w:val="24"/>
        </w:rPr>
        <w:t>下</w:t>
      </w:r>
      <w:r>
        <w:rPr>
          <w:rFonts w:hint="eastAsia"/>
          <w:sz w:val="24"/>
        </w:rPr>
        <w:t>简</w:t>
      </w:r>
      <w:r>
        <w:rPr>
          <w:sz w:val="24"/>
        </w:rPr>
        <w:t>称</w:t>
      </w:r>
      <w:r>
        <w:rPr>
          <w:rFonts w:hint="eastAsia"/>
          <w:sz w:val="24"/>
        </w:rPr>
        <w:t>“</w:t>
      </w:r>
      <w:r>
        <w:rPr>
          <w:sz w:val="24"/>
        </w:rPr>
        <w:t>双反规避行为</w:t>
      </w:r>
      <w:r>
        <w:rPr>
          <w:rFonts w:hint="eastAsia"/>
          <w:sz w:val="24"/>
        </w:rPr>
        <w:t>”</w:t>
      </w:r>
      <w:r>
        <w:rPr>
          <w:sz w:val="24"/>
        </w:rPr>
        <w:t>）。</w:t>
      </w:r>
      <w:r>
        <w:rPr>
          <w:rFonts w:hint="eastAsia"/>
          <w:sz w:val="24"/>
        </w:rPr>
        <w:t>若未来</w:t>
      </w:r>
      <w:r>
        <w:rPr>
          <w:sz w:val="24"/>
        </w:rPr>
        <w:t>标的公司的业务模式被认定构成</w:t>
      </w:r>
      <w:proofErr w:type="gramStart"/>
      <w:r>
        <w:rPr>
          <w:sz w:val="24"/>
        </w:rPr>
        <w:t>双反规避</w:t>
      </w:r>
      <w:proofErr w:type="gramEnd"/>
      <w:r>
        <w:rPr>
          <w:sz w:val="24"/>
        </w:rPr>
        <w:t>行为，则</w:t>
      </w:r>
      <w:r>
        <w:rPr>
          <w:rFonts w:hint="eastAsia"/>
          <w:sz w:val="24"/>
        </w:rPr>
        <w:t>在</w:t>
      </w:r>
      <w:proofErr w:type="gramStart"/>
      <w:r>
        <w:rPr>
          <w:rFonts w:hint="eastAsia"/>
          <w:sz w:val="24"/>
        </w:rPr>
        <w:t>双反税</w:t>
      </w:r>
      <w:proofErr w:type="gramEnd"/>
      <w:r>
        <w:rPr>
          <w:rFonts w:hint="eastAsia"/>
          <w:sz w:val="24"/>
        </w:rPr>
        <w:t>豁免期结束后（即</w:t>
      </w:r>
      <w:r>
        <w:rPr>
          <w:rFonts w:hint="eastAsia"/>
          <w:sz w:val="24"/>
        </w:rPr>
        <w:t>2</w:t>
      </w:r>
      <w:r>
        <w:rPr>
          <w:sz w:val="24"/>
        </w:rPr>
        <w:t>024</w:t>
      </w:r>
      <w:r>
        <w:rPr>
          <w:rFonts w:hint="eastAsia"/>
          <w:sz w:val="24"/>
        </w:rPr>
        <w:t>年</w:t>
      </w:r>
      <w:r>
        <w:rPr>
          <w:rFonts w:hint="eastAsia"/>
          <w:sz w:val="24"/>
        </w:rPr>
        <w:t>6</w:t>
      </w:r>
      <w:r>
        <w:rPr>
          <w:rFonts w:hint="eastAsia"/>
          <w:sz w:val="24"/>
        </w:rPr>
        <w:t>月</w:t>
      </w:r>
      <w:r>
        <w:rPr>
          <w:rFonts w:hint="eastAsia"/>
          <w:sz w:val="24"/>
        </w:rPr>
        <w:t>6</w:t>
      </w:r>
      <w:r>
        <w:rPr>
          <w:rFonts w:hint="eastAsia"/>
          <w:sz w:val="24"/>
        </w:rPr>
        <w:t>日）</w:t>
      </w:r>
      <w:r>
        <w:rPr>
          <w:sz w:val="24"/>
        </w:rPr>
        <w:t>将面临被征收</w:t>
      </w:r>
      <w:proofErr w:type="gramStart"/>
      <w:r>
        <w:rPr>
          <w:sz w:val="24"/>
        </w:rPr>
        <w:t>双反税</w:t>
      </w:r>
      <w:proofErr w:type="gramEnd"/>
      <w:r>
        <w:rPr>
          <w:sz w:val="24"/>
        </w:rPr>
        <w:t>的风险。</w:t>
      </w:r>
    </w:p>
    <w:p w14:paraId="077265A6" w14:textId="544B2653" w:rsidR="00FC5A62" w:rsidRDefault="00C76273" w:rsidP="005F5067">
      <w:pPr>
        <w:spacing w:beforeLines="50" w:before="156" w:afterLines="50" w:after="156" w:line="360" w:lineRule="auto"/>
        <w:ind w:firstLineChars="200" w:firstLine="482"/>
        <w:outlineLvl w:val="4"/>
        <w:rPr>
          <w:b/>
          <w:bCs/>
          <w:sz w:val="24"/>
        </w:rPr>
      </w:pPr>
      <w:r>
        <w:rPr>
          <w:b/>
          <w:bCs/>
          <w:sz w:val="24"/>
        </w:rPr>
        <w:t>4</w:t>
      </w:r>
      <w:r>
        <w:rPr>
          <w:b/>
          <w:bCs/>
          <w:sz w:val="24"/>
        </w:rPr>
        <w:t>、构成</w:t>
      </w:r>
      <w:proofErr w:type="gramStart"/>
      <w:r>
        <w:rPr>
          <w:b/>
          <w:bCs/>
          <w:sz w:val="24"/>
        </w:rPr>
        <w:t>双反规避</w:t>
      </w:r>
      <w:proofErr w:type="gramEnd"/>
      <w:r>
        <w:rPr>
          <w:b/>
          <w:bCs/>
          <w:sz w:val="24"/>
        </w:rPr>
        <w:t>行为所适用税率</w:t>
      </w:r>
    </w:p>
    <w:p w14:paraId="34479B5B" w14:textId="759B9C68" w:rsidR="00FC5A62" w:rsidRDefault="00C76273" w:rsidP="005F5067">
      <w:pPr>
        <w:spacing w:beforeLines="50" w:before="156" w:afterLines="50" w:after="156" w:line="360" w:lineRule="auto"/>
        <w:ind w:firstLineChars="200" w:firstLine="480"/>
        <w:rPr>
          <w:sz w:val="24"/>
        </w:rPr>
      </w:pPr>
      <w:r>
        <w:rPr>
          <w:sz w:val="24"/>
        </w:rPr>
        <w:t>根据最终裁定，在被调查国家完成组装并出口美国的</w:t>
      </w:r>
      <w:proofErr w:type="gramStart"/>
      <w:r>
        <w:rPr>
          <w:sz w:val="24"/>
        </w:rPr>
        <w:t>晶硅光伏</w:t>
      </w:r>
      <w:proofErr w:type="gramEnd"/>
      <w:r>
        <w:rPr>
          <w:sz w:val="24"/>
        </w:rPr>
        <w:t>电池、组件，若被认定为存在</w:t>
      </w:r>
      <w:proofErr w:type="gramStart"/>
      <w:r>
        <w:rPr>
          <w:sz w:val="24"/>
        </w:rPr>
        <w:t>双反规避</w:t>
      </w:r>
      <w:proofErr w:type="gramEnd"/>
      <w:r>
        <w:rPr>
          <w:sz w:val="24"/>
        </w:rPr>
        <w:t>行为</w:t>
      </w:r>
      <w:r>
        <w:rPr>
          <w:rFonts w:hint="eastAsia"/>
          <w:sz w:val="24"/>
        </w:rPr>
        <w:t>，则将</w:t>
      </w:r>
      <w:r>
        <w:rPr>
          <w:sz w:val="24"/>
        </w:rPr>
        <w:t>适用</w:t>
      </w:r>
      <w:r>
        <w:rPr>
          <w:rFonts w:hint="eastAsia"/>
          <w:sz w:val="24"/>
        </w:rPr>
        <w:t>以下</w:t>
      </w:r>
      <w:r>
        <w:rPr>
          <w:sz w:val="24"/>
        </w:rPr>
        <w:t>税率：</w:t>
      </w:r>
    </w:p>
    <w:p w14:paraId="6E18082B" w14:textId="4F70F947" w:rsidR="00FC5A62" w:rsidRPr="008A1A3A" w:rsidRDefault="00C76273" w:rsidP="005F5067">
      <w:pPr>
        <w:spacing w:beforeLines="50" w:before="156" w:afterLines="50" w:after="156" w:line="360" w:lineRule="auto"/>
        <w:ind w:firstLineChars="200" w:firstLine="480"/>
        <w:rPr>
          <w:sz w:val="24"/>
        </w:rPr>
      </w:pPr>
      <w:r>
        <w:rPr>
          <w:rFonts w:hint="eastAsia"/>
          <w:sz w:val="24"/>
        </w:rPr>
        <w:t>（</w:t>
      </w:r>
      <w:r>
        <w:rPr>
          <w:rFonts w:hint="eastAsia"/>
          <w:sz w:val="24"/>
        </w:rPr>
        <w:t>1</w:t>
      </w:r>
      <w:r>
        <w:rPr>
          <w:rFonts w:hint="eastAsia"/>
          <w:sz w:val="24"/>
        </w:rPr>
        <w:t>）</w:t>
      </w:r>
      <w:r w:rsidRPr="008A1A3A">
        <w:rPr>
          <w:rFonts w:hint="eastAsia"/>
          <w:sz w:val="24"/>
        </w:rPr>
        <w:t>如果被调查国家光伏电池、组件出口商</w:t>
      </w:r>
      <w:proofErr w:type="gramStart"/>
      <w:r w:rsidRPr="008A1A3A">
        <w:rPr>
          <w:rFonts w:hint="eastAsia"/>
          <w:sz w:val="24"/>
        </w:rPr>
        <w:t>在双反判例</w:t>
      </w:r>
      <w:proofErr w:type="gramEnd"/>
      <w:r w:rsidRPr="008A1A3A">
        <w:rPr>
          <w:rFonts w:hint="eastAsia"/>
          <w:sz w:val="24"/>
        </w:rPr>
        <w:t>中有公司特定税率，将适用该出口商特定税率；</w:t>
      </w:r>
    </w:p>
    <w:p w14:paraId="78088528" w14:textId="7D9BC455" w:rsidR="00FC5A62" w:rsidRPr="008A1A3A" w:rsidRDefault="00C76273" w:rsidP="005F5067">
      <w:pPr>
        <w:spacing w:beforeLines="50" w:before="156" w:afterLines="50" w:after="156" w:line="360" w:lineRule="auto"/>
        <w:ind w:firstLineChars="200" w:firstLine="480"/>
        <w:rPr>
          <w:sz w:val="24"/>
        </w:rPr>
      </w:pPr>
      <w:r>
        <w:rPr>
          <w:rFonts w:hint="eastAsia"/>
          <w:sz w:val="24"/>
        </w:rPr>
        <w:t>（</w:t>
      </w:r>
      <w:r>
        <w:rPr>
          <w:rFonts w:hint="eastAsia"/>
          <w:sz w:val="24"/>
        </w:rPr>
        <w:t>2</w:t>
      </w:r>
      <w:r>
        <w:rPr>
          <w:rFonts w:hint="eastAsia"/>
          <w:sz w:val="24"/>
        </w:rPr>
        <w:t>）</w:t>
      </w:r>
      <w:r w:rsidRPr="008A1A3A">
        <w:rPr>
          <w:rFonts w:hint="eastAsia"/>
          <w:sz w:val="24"/>
        </w:rPr>
        <w:t>如果出口商没有公司特定税率，但用于制造</w:t>
      </w:r>
      <w:proofErr w:type="gramStart"/>
      <w:r w:rsidRPr="008A1A3A">
        <w:rPr>
          <w:rFonts w:hint="eastAsia"/>
          <w:sz w:val="24"/>
        </w:rPr>
        <w:t>晶硅光伏</w:t>
      </w:r>
      <w:proofErr w:type="gramEnd"/>
      <w:r w:rsidRPr="008A1A3A">
        <w:rPr>
          <w:rFonts w:hint="eastAsia"/>
          <w:sz w:val="24"/>
        </w:rPr>
        <w:t>电池和组件的硅片的生产商有单独的税率，那么将适用该生产商特定税率；</w:t>
      </w:r>
    </w:p>
    <w:p w14:paraId="79E94311" w14:textId="77777777" w:rsidR="00FC5A62" w:rsidRPr="008A1A3A" w:rsidRDefault="00C76273" w:rsidP="005F5067">
      <w:pPr>
        <w:spacing w:beforeLines="50" w:before="156" w:afterLines="50" w:after="156" w:line="360" w:lineRule="auto"/>
        <w:ind w:firstLineChars="200" w:firstLine="480"/>
        <w:rPr>
          <w:sz w:val="24"/>
        </w:rPr>
      </w:pPr>
      <w:r>
        <w:rPr>
          <w:rFonts w:hint="eastAsia"/>
          <w:sz w:val="24"/>
        </w:rPr>
        <w:t>（</w:t>
      </w:r>
      <w:r>
        <w:rPr>
          <w:rFonts w:hint="eastAsia"/>
          <w:sz w:val="24"/>
        </w:rPr>
        <w:t>3</w:t>
      </w:r>
      <w:r>
        <w:rPr>
          <w:rFonts w:hint="eastAsia"/>
          <w:sz w:val="24"/>
        </w:rPr>
        <w:t>）</w:t>
      </w:r>
      <w:r>
        <w:rPr>
          <w:sz w:val="24"/>
        </w:rPr>
        <w:t>如果没有上述分配的特定税率，则适用美国针对中国全范围的反倾销税率</w:t>
      </w:r>
      <w:r>
        <w:rPr>
          <w:sz w:val="24"/>
        </w:rPr>
        <w:t>238.95%</w:t>
      </w:r>
      <w:r>
        <w:rPr>
          <w:sz w:val="24"/>
        </w:rPr>
        <w:t>或反补贴税率</w:t>
      </w:r>
      <w:r>
        <w:rPr>
          <w:sz w:val="24"/>
        </w:rPr>
        <w:t>15.24%</w:t>
      </w:r>
      <w:r>
        <w:rPr>
          <w:sz w:val="24"/>
        </w:rPr>
        <w:t>。</w:t>
      </w:r>
    </w:p>
    <w:p w14:paraId="2AAFCBC7" w14:textId="77777777" w:rsidR="00FC5A62" w:rsidRDefault="00C76273" w:rsidP="005F5067">
      <w:pPr>
        <w:spacing w:beforeLines="50" w:before="156" w:afterLines="50" w:after="156" w:line="360" w:lineRule="auto"/>
        <w:ind w:firstLineChars="200" w:firstLine="482"/>
        <w:outlineLvl w:val="3"/>
        <w:rPr>
          <w:b/>
          <w:bCs/>
          <w:sz w:val="24"/>
        </w:rPr>
      </w:pPr>
      <w:r>
        <w:rPr>
          <w:b/>
          <w:bCs/>
          <w:sz w:val="24"/>
        </w:rPr>
        <w:t>（二）标的公司</w:t>
      </w:r>
      <w:r>
        <w:rPr>
          <w:rFonts w:hint="eastAsia"/>
          <w:b/>
          <w:bCs/>
          <w:sz w:val="24"/>
        </w:rPr>
        <w:t>DDP</w:t>
      </w:r>
      <w:r>
        <w:rPr>
          <w:rFonts w:hint="eastAsia"/>
          <w:b/>
          <w:bCs/>
          <w:sz w:val="24"/>
        </w:rPr>
        <w:t>销售模式下</w:t>
      </w:r>
      <w:r>
        <w:rPr>
          <w:b/>
          <w:bCs/>
          <w:sz w:val="24"/>
        </w:rPr>
        <w:t>未来销售产品面临关税税率上升风险</w:t>
      </w:r>
      <w:r>
        <w:rPr>
          <w:rFonts w:hint="eastAsia"/>
          <w:b/>
          <w:bCs/>
          <w:sz w:val="24"/>
        </w:rPr>
        <w:t>整体</w:t>
      </w:r>
      <w:r>
        <w:rPr>
          <w:b/>
          <w:bCs/>
          <w:sz w:val="24"/>
        </w:rPr>
        <w:t>可控</w:t>
      </w:r>
    </w:p>
    <w:p w14:paraId="35296BA8" w14:textId="77777777" w:rsidR="00FC5A62" w:rsidRDefault="00C76273" w:rsidP="005F5067">
      <w:pPr>
        <w:spacing w:beforeLines="50" w:before="156" w:afterLines="50" w:after="156" w:line="360" w:lineRule="auto"/>
        <w:ind w:firstLineChars="200" w:firstLine="480"/>
        <w:rPr>
          <w:sz w:val="24"/>
        </w:rPr>
      </w:pPr>
      <w:r>
        <w:rPr>
          <w:sz w:val="24"/>
        </w:rPr>
        <w:t>标的公司在美国的光伏组件的销售采用</w:t>
      </w:r>
      <w:r>
        <w:rPr>
          <w:sz w:val="24"/>
        </w:rPr>
        <w:t>DDP</w:t>
      </w:r>
      <w:r>
        <w:rPr>
          <w:sz w:val="24"/>
        </w:rPr>
        <w:t>模式，即</w:t>
      </w:r>
      <w:r>
        <w:rPr>
          <w:sz w:val="24"/>
        </w:rPr>
        <w:t>“</w:t>
      </w:r>
      <w:r>
        <w:rPr>
          <w:rFonts w:hint="eastAsia"/>
          <w:sz w:val="24"/>
        </w:rPr>
        <w:t>完</w:t>
      </w:r>
      <w:r>
        <w:rPr>
          <w:sz w:val="24"/>
        </w:rPr>
        <w:t>税后交货</w:t>
      </w:r>
      <w:r>
        <w:rPr>
          <w:sz w:val="24"/>
        </w:rPr>
        <w:t>”</w:t>
      </w:r>
      <w:r>
        <w:rPr>
          <w:rFonts w:hint="eastAsia"/>
          <w:sz w:val="24"/>
        </w:rPr>
        <w:t>，</w:t>
      </w:r>
      <w:r>
        <w:rPr>
          <w:sz w:val="24"/>
        </w:rPr>
        <w:t>由标的公司承担全部运输、清关和税费等方面的责任和成本。</w:t>
      </w:r>
      <w:r>
        <w:rPr>
          <w:rFonts w:hint="eastAsia"/>
          <w:sz w:val="24"/>
        </w:rPr>
        <w:t>因此</w:t>
      </w:r>
      <w:r>
        <w:rPr>
          <w:sz w:val="24"/>
        </w:rPr>
        <w:t>标的公司</w:t>
      </w:r>
      <w:r>
        <w:rPr>
          <w:rFonts w:hint="eastAsia"/>
          <w:sz w:val="24"/>
        </w:rPr>
        <w:t>所</w:t>
      </w:r>
      <w:r>
        <w:rPr>
          <w:sz w:val="24"/>
        </w:rPr>
        <w:t>适用</w:t>
      </w:r>
      <w:r>
        <w:rPr>
          <w:rFonts w:hint="eastAsia"/>
          <w:sz w:val="24"/>
        </w:rPr>
        <w:t>的</w:t>
      </w:r>
      <w:r>
        <w:rPr>
          <w:sz w:val="24"/>
        </w:rPr>
        <w:t>关税税率</w:t>
      </w:r>
      <w:r>
        <w:rPr>
          <w:rFonts w:hint="eastAsia"/>
          <w:sz w:val="24"/>
        </w:rPr>
        <w:t>变化将对标的公司的日常经营产生较大影响。</w:t>
      </w:r>
    </w:p>
    <w:p w14:paraId="37CB14AF" w14:textId="1AE2E07D" w:rsidR="00FC5A62" w:rsidRDefault="00C76273" w:rsidP="005F5067">
      <w:pPr>
        <w:spacing w:beforeLines="50" w:before="156" w:afterLines="50" w:after="156" w:line="360" w:lineRule="auto"/>
        <w:ind w:firstLineChars="200" w:firstLine="480"/>
        <w:rPr>
          <w:sz w:val="24"/>
        </w:rPr>
      </w:pPr>
      <w:r>
        <w:rPr>
          <w:sz w:val="24"/>
        </w:rPr>
        <w:t>截至本回复出具</w:t>
      </w:r>
      <w:r>
        <w:rPr>
          <w:rFonts w:hint="eastAsia"/>
          <w:sz w:val="24"/>
        </w:rPr>
        <w:t>之</w:t>
      </w:r>
      <w:r>
        <w:rPr>
          <w:sz w:val="24"/>
        </w:rPr>
        <w:t>日，标的公司分别于柬埔寨、越南设立有生产工厂从事</w:t>
      </w:r>
      <w:proofErr w:type="gramStart"/>
      <w:r>
        <w:rPr>
          <w:sz w:val="24"/>
        </w:rPr>
        <w:t>晶硅光伏</w:t>
      </w:r>
      <w:proofErr w:type="gramEnd"/>
      <w:r>
        <w:rPr>
          <w:sz w:val="24"/>
        </w:rPr>
        <w:t>电池和组件的生产</w:t>
      </w:r>
      <w:r>
        <w:rPr>
          <w:rFonts w:hint="eastAsia"/>
          <w:sz w:val="24"/>
        </w:rPr>
        <w:t>，产成品</w:t>
      </w:r>
      <w:r>
        <w:rPr>
          <w:sz w:val="24"/>
        </w:rPr>
        <w:t>向标的公司子公司</w:t>
      </w:r>
      <w:r>
        <w:rPr>
          <w:sz w:val="24"/>
        </w:rPr>
        <w:t>ET</w:t>
      </w:r>
      <w:r>
        <w:rPr>
          <w:sz w:val="24"/>
        </w:rPr>
        <w:t>加州出口</w:t>
      </w:r>
      <w:r>
        <w:rPr>
          <w:rFonts w:hint="eastAsia"/>
          <w:sz w:val="24"/>
        </w:rPr>
        <w:t>，并由</w:t>
      </w:r>
      <w:r>
        <w:rPr>
          <w:rFonts w:hint="eastAsia"/>
          <w:sz w:val="24"/>
        </w:rPr>
        <w:t>ET</w:t>
      </w:r>
      <w:r>
        <w:rPr>
          <w:rFonts w:hint="eastAsia"/>
          <w:sz w:val="24"/>
        </w:rPr>
        <w:t>加州在美国销售。由于向</w:t>
      </w:r>
      <w:r>
        <w:rPr>
          <w:rFonts w:hint="eastAsia"/>
          <w:sz w:val="24"/>
        </w:rPr>
        <w:t>ET</w:t>
      </w:r>
      <w:r>
        <w:rPr>
          <w:rFonts w:hint="eastAsia"/>
          <w:sz w:val="24"/>
        </w:rPr>
        <w:t>加州出口的</w:t>
      </w:r>
      <w:proofErr w:type="gramStart"/>
      <w:r>
        <w:rPr>
          <w:sz w:val="24"/>
        </w:rPr>
        <w:t>晶硅光伏</w:t>
      </w:r>
      <w:proofErr w:type="gramEnd"/>
      <w:r>
        <w:rPr>
          <w:sz w:val="24"/>
        </w:rPr>
        <w:t>电池及组件在生产及组装过程中使用了于中国大陆生产的辅材及中国大陆生产的硅片，因此</w:t>
      </w:r>
      <w:r>
        <w:rPr>
          <w:rFonts w:hint="eastAsia"/>
          <w:sz w:val="24"/>
        </w:rPr>
        <w:t>该等产品有</w:t>
      </w:r>
      <w:r>
        <w:rPr>
          <w:sz w:val="24"/>
        </w:rPr>
        <w:t>被认定为存在</w:t>
      </w:r>
      <w:proofErr w:type="gramStart"/>
      <w:r>
        <w:rPr>
          <w:sz w:val="24"/>
        </w:rPr>
        <w:t>双反规避</w:t>
      </w:r>
      <w:proofErr w:type="gramEnd"/>
      <w:r>
        <w:rPr>
          <w:sz w:val="24"/>
        </w:rPr>
        <w:t>行为</w:t>
      </w:r>
      <w:r>
        <w:rPr>
          <w:rFonts w:hint="eastAsia"/>
          <w:sz w:val="24"/>
        </w:rPr>
        <w:t>，</w:t>
      </w:r>
      <w:r>
        <w:rPr>
          <w:sz w:val="24"/>
        </w:rPr>
        <w:t>从而触发</w:t>
      </w:r>
      <w:proofErr w:type="gramStart"/>
      <w:r>
        <w:rPr>
          <w:sz w:val="24"/>
        </w:rPr>
        <w:t>双反税导致</w:t>
      </w:r>
      <w:proofErr w:type="gramEnd"/>
      <w:r>
        <w:rPr>
          <w:sz w:val="24"/>
        </w:rPr>
        <w:t>其适用关税税率上升</w:t>
      </w:r>
      <w:r>
        <w:rPr>
          <w:rFonts w:hint="eastAsia"/>
          <w:sz w:val="24"/>
        </w:rPr>
        <w:t>的</w:t>
      </w:r>
      <w:r>
        <w:rPr>
          <w:sz w:val="24"/>
        </w:rPr>
        <w:t>风险</w:t>
      </w:r>
      <w:r>
        <w:rPr>
          <w:rFonts w:hint="eastAsia"/>
          <w:sz w:val="24"/>
        </w:rPr>
        <w:t>。</w:t>
      </w:r>
      <w:r>
        <w:rPr>
          <w:sz w:val="24"/>
        </w:rPr>
        <w:t>但</w:t>
      </w:r>
      <w:r>
        <w:rPr>
          <w:rFonts w:hint="eastAsia"/>
          <w:sz w:val="24"/>
        </w:rPr>
        <w:t>该等</w:t>
      </w:r>
      <w:r>
        <w:rPr>
          <w:sz w:val="24"/>
        </w:rPr>
        <w:t>风险整体可控，具体可通过以下方式解决：</w:t>
      </w:r>
    </w:p>
    <w:p w14:paraId="04E5570B" w14:textId="77777777" w:rsidR="00FC5A62" w:rsidRDefault="00C76273" w:rsidP="005F5067">
      <w:pPr>
        <w:spacing w:beforeLines="50" w:before="156" w:afterLines="50" w:after="156" w:line="360" w:lineRule="auto"/>
        <w:ind w:firstLineChars="200" w:firstLine="482"/>
        <w:outlineLvl w:val="4"/>
        <w:rPr>
          <w:b/>
          <w:bCs/>
          <w:sz w:val="24"/>
        </w:rPr>
      </w:pPr>
      <w:r>
        <w:rPr>
          <w:b/>
          <w:bCs/>
          <w:sz w:val="24"/>
        </w:rPr>
        <w:lastRenderedPageBreak/>
        <w:t>1</w:t>
      </w:r>
      <w:r>
        <w:rPr>
          <w:b/>
          <w:bCs/>
          <w:sz w:val="24"/>
        </w:rPr>
        <w:t>、就</w:t>
      </w:r>
      <w:r>
        <w:rPr>
          <w:b/>
          <w:bCs/>
          <w:sz w:val="24"/>
        </w:rPr>
        <w:t>2024</w:t>
      </w:r>
      <w:r>
        <w:rPr>
          <w:b/>
          <w:bCs/>
          <w:sz w:val="24"/>
        </w:rPr>
        <w:t>年</w:t>
      </w:r>
      <w:r>
        <w:rPr>
          <w:b/>
          <w:bCs/>
          <w:sz w:val="24"/>
        </w:rPr>
        <w:t>6</w:t>
      </w:r>
      <w:r>
        <w:rPr>
          <w:b/>
          <w:bCs/>
          <w:sz w:val="24"/>
        </w:rPr>
        <w:t>月</w:t>
      </w:r>
      <w:r>
        <w:rPr>
          <w:b/>
          <w:bCs/>
          <w:sz w:val="24"/>
        </w:rPr>
        <w:t>6</w:t>
      </w:r>
      <w:r>
        <w:rPr>
          <w:b/>
          <w:bCs/>
          <w:sz w:val="24"/>
        </w:rPr>
        <w:t>日之前进入美国的产品，标的公司将通过豁免政策以避免关税税率上升的风险</w:t>
      </w:r>
    </w:p>
    <w:p w14:paraId="6D48EFD3" w14:textId="5DA032EB" w:rsidR="00FC5A62" w:rsidRDefault="00C76273" w:rsidP="005F5067">
      <w:pPr>
        <w:spacing w:beforeLines="50" w:before="156" w:afterLines="50" w:after="156" w:line="360" w:lineRule="auto"/>
        <w:ind w:firstLineChars="200" w:firstLine="480"/>
        <w:rPr>
          <w:sz w:val="24"/>
        </w:rPr>
      </w:pPr>
      <w:r>
        <w:rPr>
          <w:sz w:val="24"/>
        </w:rPr>
        <w:t>截至本回复出具日，</w:t>
      </w:r>
      <w:r>
        <w:rPr>
          <w:rFonts w:hint="eastAsia"/>
          <w:sz w:val="24"/>
        </w:rPr>
        <w:t>标的公司子公司</w:t>
      </w:r>
      <w:r>
        <w:rPr>
          <w:rFonts w:hint="eastAsia"/>
          <w:sz w:val="24"/>
        </w:rPr>
        <w:t>ET</w:t>
      </w:r>
      <w:r>
        <w:rPr>
          <w:rFonts w:hint="eastAsia"/>
          <w:sz w:val="24"/>
        </w:rPr>
        <w:t>加州</w:t>
      </w:r>
      <w:r>
        <w:rPr>
          <w:sz w:val="24"/>
        </w:rPr>
        <w:t>所销售的产品在进口时均正常报关，且该等通过</w:t>
      </w:r>
      <w:proofErr w:type="gramStart"/>
      <w:r>
        <w:rPr>
          <w:rFonts w:hint="eastAsia"/>
          <w:sz w:val="24"/>
        </w:rPr>
        <w:t>双反税</w:t>
      </w:r>
      <w:proofErr w:type="gramEnd"/>
      <w:r>
        <w:rPr>
          <w:sz w:val="24"/>
        </w:rPr>
        <w:t>豁免的光伏电池和组件均将在</w:t>
      </w:r>
      <w:r>
        <w:rPr>
          <w:sz w:val="24"/>
        </w:rPr>
        <w:t>2024</w:t>
      </w:r>
      <w:r>
        <w:rPr>
          <w:sz w:val="24"/>
        </w:rPr>
        <w:t>年</w:t>
      </w:r>
      <w:r>
        <w:rPr>
          <w:sz w:val="24"/>
        </w:rPr>
        <w:t>12</w:t>
      </w:r>
      <w:r>
        <w:rPr>
          <w:sz w:val="24"/>
        </w:rPr>
        <w:t>月</w:t>
      </w:r>
      <w:r>
        <w:rPr>
          <w:sz w:val="24"/>
        </w:rPr>
        <w:t>3</w:t>
      </w:r>
      <w:r>
        <w:rPr>
          <w:sz w:val="24"/>
        </w:rPr>
        <w:t>日之前在美国国内被使用或安装，符合美国总统第</w:t>
      </w:r>
      <w:r>
        <w:rPr>
          <w:sz w:val="24"/>
        </w:rPr>
        <w:t>10414</w:t>
      </w:r>
      <w:r>
        <w:rPr>
          <w:sz w:val="24"/>
        </w:rPr>
        <w:t>号令给予的</w:t>
      </w:r>
      <w:r>
        <w:rPr>
          <w:sz w:val="24"/>
        </w:rPr>
        <w:t>24</w:t>
      </w:r>
      <w:r>
        <w:rPr>
          <w:sz w:val="24"/>
        </w:rPr>
        <w:t>个月的</w:t>
      </w:r>
      <w:proofErr w:type="gramStart"/>
      <w:r>
        <w:rPr>
          <w:sz w:val="24"/>
        </w:rPr>
        <w:t>双反税</w:t>
      </w:r>
      <w:proofErr w:type="gramEnd"/>
      <w:r>
        <w:rPr>
          <w:sz w:val="24"/>
        </w:rPr>
        <w:t>豁免政策。故标的公司子公司</w:t>
      </w:r>
      <w:r>
        <w:rPr>
          <w:sz w:val="24"/>
        </w:rPr>
        <w:t>ET</w:t>
      </w:r>
      <w:r>
        <w:rPr>
          <w:sz w:val="24"/>
        </w:rPr>
        <w:t>加州</w:t>
      </w:r>
      <w:r>
        <w:rPr>
          <w:rFonts w:hint="eastAsia"/>
          <w:sz w:val="24"/>
        </w:rPr>
        <w:t>在</w:t>
      </w:r>
      <w:r>
        <w:rPr>
          <w:rFonts w:hint="eastAsia"/>
          <w:sz w:val="24"/>
        </w:rPr>
        <w:t>2</w:t>
      </w:r>
      <w:r>
        <w:rPr>
          <w:sz w:val="24"/>
        </w:rPr>
        <w:t>024</w:t>
      </w:r>
      <w:r>
        <w:rPr>
          <w:rFonts w:hint="eastAsia"/>
          <w:sz w:val="24"/>
        </w:rPr>
        <w:t>年</w:t>
      </w:r>
      <w:r>
        <w:rPr>
          <w:rFonts w:hint="eastAsia"/>
          <w:sz w:val="24"/>
        </w:rPr>
        <w:t>6</w:t>
      </w:r>
      <w:r>
        <w:rPr>
          <w:rFonts w:hint="eastAsia"/>
          <w:sz w:val="24"/>
        </w:rPr>
        <w:t>月</w:t>
      </w:r>
      <w:r>
        <w:rPr>
          <w:rFonts w:hint="eastAsia"/>
          <w:sz w:val="24"/>
        </w:rPr>
        <w:t>6</w:t>
      </w:r>
      <w:r>
        <w:rPr>
          <w:rFonts w:hint="eastAsia"/>
          <w:sz w:val="24"/>
        </w:rPr>
        <w:t>日前</w:t>
      </w:r>
      <w:r>
        <w:rPr>
          <w:sz w:val="24"/>
        </w:rPr>
        <w:t>触发</w:t>
      </w:r>
      <w:proofErr w:type="gramStart"/>
      <w:r>
        <w:rPr>
          <w:sz w:val="24"/>
        </w:rPr>
        <w:t>双反税导致</w:t>
      </w:r>
      <w:proofErr w:type="gramEnd"/>
      <w:r>
        <w:rPr>
          <w:sz w:val="24"/>
        </w:rPr>
        <w:t>其适用关税税率上升</w:t>
      </w:r>
      <w:r>
        <w:rPr>
          <w:rFonts w:hint="eastAsia"/>
          <w:sz w:val="24"/>
        </w:rPr>
        <w:t>的</w:t>
      </w:r>
      <w:r>
        <w:rPr>
          <w:sz w:val="24"/>
        </w:rPr>
        <w:t>风险</w:t>
      </w:r>
      <w:r>
        <w:rPr>
          <w:rFonts w:hint="eastAsia"/>
          <w:sz w:val="24"/>
        </w:rPr>
        <w:t>整体</w:t>
      </w:r>
      <w:r>
        <w:rPr>
          <w:sz w:val="24"/>
        </w:rPr>
        <w:t>可控。</w:t>
      </w:r>
    </w:p>
    <w:p w14:paraId="22255FA6" w14:textId="77777777" w:rsidR="00FC5A62" w:rsidRDefault="00C76273" w:rsidP="005F5067">
      <w:pPr>
        <w:spacing w:beforeLines="50" w:before="156" w:afterLines="50" w:after="156" w:line="360" w:lineRule="auto"/>
        <w:ind w:firstLineChars="200" w:firstLine="482"/>
        <w:outlineLvl w:val="4"/>
        <w:rPr>
          <w:b/>
          <w:bCs/>
          <w:sz w:val="24"/>
        </w:rPr>
      </w:pPr>
      <w:r>
        <w:rPr>
          <w:b/>
          <w:bCs/>
          <w:sz w:val="24"/>
        </w:rPr>
        <w:t>2</w:t>
      </w:r>
      <w:r>
        <w:rPr>
          <w:b/>
          <w:bCs/>
          <w:sz w:val="24"/>
        </w:rPr>
        <w:t>、就</w:t>
      </w:r>
      <w:r>
        <w:rPr>
          <w:b/>
          <w:bCs/>
          <w:sz w:val="24"/>
        </w:rPr>
        <w:t>2024</w:t>
      </w:r>
      <w:r>
        <w:rPr>
          <w:b/>
          <w:bCs/>
          <w:sz w:val="24"/>
        </w:rPr>
        <w:t>年</w:t>
      </w:r>
      <w:r>
        <w:rPr>
          <w:b/>
          <w:bCs/>
          <w:sz w:val="24"/>
        </w:rPr>
        <w:t>6</w:t>
      </w:r>
      <w:r>
        <w:rPr>
          <w:b/>
          <w:bCs/>
          <w:sz w:val="24"/>
        </w:rPr>
        <w:t>月</w:t>
      </w:r>
      <w:r>
        <w:rPr>
          <w:b/>
          <w:bCs/>
          <w:sz w:val="24"/>
        </w:rPr>
        <w:t>6</w:t>
      </w:r>
      <w:r>
        <w:rPr>
          <w:b/>
          <w:bCs/>
          <w:sz w:val="24"/>
        </w:rPr>
        <w:t>日之后进入美国的产品，标的公司将通过提前进行产业</w:t>
      </w:r>
      <w:proofErr w:type="gramStart"/>
      <w:r>
        <w:rPr>
          <w:rFonts w:hint="eastAsia"/>
          <w:b/>
          <w:bCs/>
          <w:sz w:val="24"/>
        </w:rPr>
        <w:t>链</w:t>
      </w:r>
      <w:r>
        <w:rPr>
          <w:b/>
          <w:bCs/>
          <w:sz w:val="24"/>
        </w:rPr>
        <w:t>调整</w:t>
      </w:r>
      <w:proofErr w:type="gramEnd"/>
      <w:r>
        <w:rPr>
          <w:b/>
          <w:bCs/>
          <w:sz w:val="24"/>
        </w:rPr>
        <w:t>以避免关税税率上升的风险</w:t>
      </w:r>
    </w:p>
    <w:p w14:paraId="0ED32FA9" w14:textId="5A2C75EC" w:rsidR="00FC5A62" w:rsidRDefault="00C76273" w:rsidP="005F5067">
      <w:pPr>
        <w:spacing w:beforeLines="50" w:before="156" w:afterLines="50" w:after="156" w:line="360" w:lineRule="auto"/>
        <w:ind w:firstLineChars="200" w:firstLine="480"/>
        <w:rPr>
          <w:sz w:val="24"/>
        </w:rPr>
      </w:pPr>
      <w:r>
        <w:rPr>
          <w:sz w:val="24"/>
        </w:rPr>
        <w:t>根据美国商务部发布的最终裁定，</w:t>
      </w:r>
      <w:r w:rsidR="006860E4">
        <w:rPr>
          <w:rFonts w:hint="eastAsia"/>
          <w:sz w:val="24"/>
        </w:rPr>
        <w:t>其</w:t>
      </w:r>
      <w:r w:rsidR="004142D7">
        <w:rPr>
          <w:rFonts w:hint="eastAsia"/>
          <w:sz w:val="24"/>
        </w:rPr>
        <w:t>进口的</w:t>
      </w:r>
      <w:proofErr w:type="gramStart"/>
      <w:r w:rsidR="00E06E0F">
        <w:rPr>
          <w:sz w:val="24"/>
        </w:rPr>
        <w:t>晶硅光伏</w:t>
      </w:r>
      <w:proofErr w:type="gramEnd"/>
      <w:r w:rsidR="00E06E0F">
        <w:rPr>
          <w:sz w:val="24"/>
        </w:rPr>
        <w:t>组件，如果</w:t>
      </w:r>
      <w:r w:rsidR="00E06E0F">
        <w:rPr>
          <w:rFonts w:hint="eastAsia"/>
          <w:sz w:val="24"/>
        </w:rPr>
        <w:t>在</w:t>
      </w:r>
      <w:r w:rsidR="00E06E0F">
        <w:rPr>
          <w:sz w:val="24"/>
        </w:rPr>
        <w:t>被调查国家生产完成并使用产于中国的硅片完成生产的</w:t>
      </w:r>
      <w:proofErr w:type="gramStart"/>
      <w:r w:rsidR="00E06E0F">
        <w:rPr>
          <w:sz w:val="24"/>
        </w:rPr>
        <w:t>晶硅光伏</w:t>
      </w:r>
      <w:proofErr w:type="gramEnd"/>
      <w:r w:rsidR="00E06E0F">
        <w:rPr>
          <w:sz w:val="24"/>
        </w:rPr>
        <w:t>电池</w:t>
      </w:r>
      <w:r w:rsidR="00E06E0F">
        <w:rPr>
          <w:rFonts w:hint="eastAsia"/>
          <w:sz w:val="24"/>
        </w:rPr>
        <w:t>，并且</w:t>
      </w:r>
      <w:r w:rsidR="00E06E0F">
        <w:rPr>
          <w:sz w:val="24"/>
        </w:rPr>
        <w:t>包含两个以上来自中国产地的辅材（银浆、铝框、玻璃、背板、胶膜和接线盒）生产的光伏组件，随后从被调查国家之一出口到美国</w:t>
      </w:r>
      <w:r>
        <w:rPr>
          <w:sz w:val="24"/>
        </w:rPr>
        <w:t>，则构成对太阳能电池和组件的反倾销税和反</w:t>
      </w:r>
      <w:proofErr w:type="gramStart"/>
      <w:r>
        <w:rPr>
          <w:sz w:val="24"/>
        </w:rPr>
        <w:t>补贴税令的</w:t>
      </w:r>
      <w:proofErr w:type="gramEnd"/>
      <w:r>
        <w:rPr>
          <w:sz w:val="24"/>
        </w:rPr>
        <w:t>规避行为，从而可能被征收</w:t>
      </w:r>
      <w:proofErr w:type="gramStart"/>
      <w:r>
        <w:rPr>
          <w:sz w:val="24"/>
        </w:rPr>
        <w:t>双反税</w:t>
      </w:r>
      <w:proofErr w:type="gramEnd"/>
      <w:r>
        <w:rPr>
          <w:sz w:val="24"/>
        </w:rPr>
        <w:t>。</w:t>
      </w:r>
    </w:p>
    <w:p w14:paraId="56D81D64" w14:textId="12A2FCD4" w:rsidR="00FC5A62" w:rsidRDefault="00C76273" w:rsidP="005F5067">
      <w:pPr>
        <w:spacing w:beforeLines="50" w:before="156" w:afterLines="50" w:after="156" w:line="360" w:lineRule="auto"/>
        <w:ind w:firstLineChars="200" w:firstLine="480"/>
        <w:rPr>
          <w:sz w:val="24"/>
        </w:rPr>
      </w:pPr>
      <w:r>
        <w:rPr>
          <w:sz w:val="24"/>
        </w:rPr>
        <w:t>因此，标的公司将从硅片限制以及辅材限制两个维</w:t>
      </w:r>
      <w:proofErr w:type="gramStart"/>
      <w:r>
        <w:rPr>
          <w:sz w:val="24"/>
        </w:rPr>
        <w:t>度采取</w:t>
      </w:r>
      <w:proofErr w:type="gramEnd"/>
      <w:r>
        <w:rPr>
          <w:sz w:val="24"/>
        </w:rPr>
        <w:t>相应的应对措施</w:t>
      </w:r>
      <w:r w:rsidR="007519FA">
        <w:rPr>
          <w:rFonts w:hint="eastAsia"/>
          <w:sz w:val="24"/>
        </w:rPr>
        <w:t>，</w:t>
      </w:r>
      <w:r w:rsidR="00E06E0F">
        <w:rPr>
          <w:rFonts w:hint="eastAsia"/>
          <w:sz w:val="24"/>
        </w:rPr>
        <w:t>任意一项</w:t>
      </w:r>
      <w:r w:rsidR="007519FA">
        <w:rPr>
          <w:rFonts w:hint="eastAsia"/>
          <w:sz w:val="24"/>
        </w:rPr>
        <w:t>解决</w:t>
      </w:r>
      <w:r w:rsidR="00E06E0F">
        <w:rPr>
          <w:rFonts w:hint="eastAsia"/>
          <w:sz w:val="24"/>
        </w:rPr>
        <w:t>后</w:t>
      </w:r>
      <w:r w:rsidR="007519FA">
        <w:rPr>
          <w:rFonts w:hint="eastAsia"/>
          <w:sz w:val="24"/>
        </w:rPr>
        <w:t>即可避免</w:t>
      </w:r>
      <w:r>
        <w:rPr>
          <w:sz w:val="24"/>
        </w:rPr>
        <w:t>落入美国反规避关税政策的规制范围。</w:t>
      </w:r>
    </w:p>
    <w:p w14:paraId="3BEC6B9B" w14:textId="77777777" w:rsidR="00FC5A62" w:rsidRPr="008A1A3A" w:rsidRDefault="00C76273" w:rsidP="005F5067">
      <w:pPr>
        <w:spacing w:beforeLines="50" w:before="156" w:afterLines="50" w:after="156" w:line="360" w:lineRule="auto"/>
        <w:ind w:firstLineChars="200" w:firstLine="482"/>
        <w:rPr>
          <w:b/>
          <w:bCs/>
          <w:sz w:val="24"/>
        </w:rPr>
      </w:pPr>
      <w:r w:rsidRPr="008A1A3A">
        <w:rPr>
          <w:rFonts w:hint="eastAsia"/>
          <w:b/>
          <w:bCs/>
          <w:sz w:val="24"/>
        </w:rPr>
        <w:t>（</w:t>
      </w:r>
      <w:r w:rsidRPr="008A1A3A">
        <w:rPr>
          <w:b/>
          <w:bCs/>
          <w:sz w:val="24"/>
        </w:rPr>
        <w:t>1</w:t>
      </w:r>
      <w:r w:rsidRPr="008A1A3A">
        <w:rPr>
          <w:rFonts w:hint="eastAsia"/>
          <w:b/>
          <w:bCs/>
          <w:sz w:val="24"/>
        </w:rPr>
        <w:t>）针对硅片限制的应对措施</w:t>
      </w:r>
    </w:p>
    <w:p w14:paraId="3E6BAE7C" w14:textId="604CC385" w:rsidR="00FC5A62" w:rsidRDefault="00C76273" w:rsidP="005F5067">
      <w:pPr>
        <w:spacing w:beforeLines="50" w:before="156" w:afterLines="50" w:after="156" w:line="360" w:lineRule="auto"/>
        <w:ind w:firstLineChars="200" w:firstLine="480"/>
        <w:rPr>
          <w:sz w:val="24"/>
        </w:rPr>
      </w:pPr>
      <w:r>
        <w:rPr>
          <w:rFonts w:hint="eastAsia"/>
          <w:sz w:val="24"/>
        </w:rPr>
        <w:t>截至本回复出具之日，标的公司已在越南河南省清廉工业区筹备建设硅片工厂，旨在改进硅片供应链以应对相关限制。</w:t>
      </w:r>
    </w:p>
    <w:p w14:paraId="75C6D4ED" w14:textId="01F7EE83" w:rsidR="00FC5A62" w:rsidRDefault="00C76273" w:rsidP="005F5067">
      <w:pPr>
        <w:spacing w:beforeLines="50" w:before="156" w:afterLines="50" w:after="156" w:line="360" w:lineRule="auto"/>
        <w:ind w:firstLineChars="200" w:firstLine="480"/>
        <w:rPr>
          <w:sz w:val="24"/>
        </w:rPr>
      </w:pPr>
      <w:r>
        <w:rPr>
          <w:rFonts w:hint="eastAsia"/>
          <w:sz w:val="24"/>
        </w:rPr>
        <w:t>2</w:t>
      </w:r>
      <w:r>
        <w:rPr>
          <w:sz w:val="24"/>
        </w:rPr>
        <w:t>023</w:t>
      </w:r>
      <w:r>
        <w:rPr>
          <w:rFonts w:hint="eastAsia"/>
          <w:sz w:val="24"/>
        </w:rPr>
        <w:t>年</w:t>
      </w:r>
      <w:r>
        <w:rPr>
          <w:rFonts w:hint="eastAsia"/>
          <w:sz w:val="24"/>
        </w:rPr>
        <w:t>4</w:t>
      </w:r>
      <w:r>
        <w:rPr>
          <w:rFonts w:hint="eastAsia"/>
          <w:sz w:val="24"/>
        </w:rPr>
        <w:t>月，标的公司签署土地协议购买越南河南省清廉工业区总面积为</w:t>
      </w:r>
      <w:r>
        <w:rPr>
          <w:rFonts w:hint="eastAsia"/>
          <w:sz w:val="24"/>
        </w:rPr>
        <w:t>128,593</w:t>
      </w:r>
      <w:r>
        <w:rPr>
          <w:rFonts w:hint="eastAsia"/>
          <w:sz w:val="24"/>
        </w:rPr>
        <w:t>平方米的土地使用权，并按协议支付了土地使用权对价的</w:t>
      </w:r>
      <w:r>
        <w:rPr>
          <w:rFonts w:hint="eastAsia"/>
          <w:sz w:val="24"/>
        </w:rPr>
        <w:t>30%</w:t>
      </w:r>
      <w:r>
        <w:rPr>
          <w:rFonts w:hint="eastAsia"/>
          <w:sz w:val="24"/>
        </w:rPr>
        <w:t>，金额约为</w:t>
      </w:r>
      <w:r>
        <w:rPr>
          <w:rFonts w:hint="eastAsia"/>
          <w:sz w:val="24"/>
        </w:rPr>
        <w:t>731</w:t>
      </w:r>
      <w:r>
        <w:rPr>
          <w:rFonts w:hint="eastAsia"/>
          <w:sz w:val="24"/>
        </w:rPr>
        <w:t>亿越南盾（约合人民币</w:t>
      </w:r>
      <w:r>
        <w:rPr>
          <w:rFonts w:hint="eastAsia"/>
          <w:sz w:val="24"/>
        </w:rPr>
        <w:t>2,140</w:t>
      </w:r>
      <w:r>
        <w:rPr>
          <w:rFonts w:hint="eastAsia"/>
          <w:sz w:val="24"/>
        </w:rPr>
        <w:t>万元）。此外，标的公司已完成单晶炉、切片机、机加成套设备、硅片分选设备等用以筹备建设硅片工厂的工程</w:t>
      </w:r>
      <w:r>
        <w:rPr>
          <w:sz w:val="24"/>
        </w:rPr>
        <w:t>设备</w:t>
      </w:r>
      <w:r>
        <w:rPr>
          <w:rFonts w:hint="eastAsia"/>
          <w:sz w:val="24"/>
        </w:rPr>
        <w:t>的供应商遴选的开标、评标工作，并正在进行最后的议标、定标工作</w:t>
      </w:r>
      <w:r>
        <w:rPr>
          <w:sz w:val="24"/>
        </w:rPr>
        <w:t>。根据标的公司估算，该越南硅片工厂计划在</w:t>
      </w:r>
      <w:r>
        <w:rPr>
          <w:sz w:val="24"/>
        </w:rPr>
        <w:t>2024</w:t>
      </w:r>
      <w:r>
        <w:rPr>
          <w:sz w:val="24"/>
        </w:rPr>
        <w:t>年上半年开始生产硅片。</w:t>
      </w:r>
    </w:p>
    <w:p w14:paraId="67E3702C" w14:textId="77777777" w:rsidR="00FC5A62" w:rsidRPr="008A1A3A" w:rsidRDefault="00C76273" w:rsidP="005F5067">
      <w:pPr>
        <w:spacing w:beforeLines="50" w:before="156" w:afterLines="50" w:after="156" w:line="360" w:lineRule="auto"/>
        <w:ind w:firstLineChars="200" w:firstLine="482"/>
        <w:rPr>
          <w:b/>
          <w:bCs/>
          <w:sz w:val="24"/>
        </w:rPr>
      </w:pPr>
      <w:r w:rsidRPr="008A1A3A">
        <w:rPr>
          <w:rFonts w:hint="eastAsia"/>
          <w:b/>
          <w:bCs/>
          <w:sz w:val="24"/>
        </w:rPr>
        <w:t>（</w:t>
      </w:r>
      <w:r w:rsidRPr="008A1A3A">
        <w:rPr>
          <w:b/>
          <w:bCs/>
          <w:sz w:val="24"/>
        </w:rPr>
        <w:t>2</w:t>
      </w:r>
      <w:r w:rsidRPr="008A1A3A">
        <w:rPr>
          <w:rFonts w:hint="eastAsia"/>
          <w:b/>
          <w:bCs/>
          <w:sz w:val="24"/>
        </w:rPr>
        <w:t>）针对辅材限制的应对措施</w:t>
      </w:r>
    </w:p>
    <w:p w14:paraId="61001968" w14:textId="1CF712BE" w:rsidR="00FC5A62" w:rsidRDefault="00C76273" w:rsidP="005F5067">
      <w:pPr>
        <w:spacing w:beforeLines="50" w:before="156" w:afterLines="50" w:after="156" w:line="360" w:lineRule="auto"/>
        <w:ind w:firstLineChars="200" w:firstLine="480"/>
        <w:rPr>
          <w:sz w:val="24"/>
        </w:rPr>
      </w:pPr>
      <w:r>
        <w:rPr>
          <w:sz w:val="24"/>
        </w:rPr>
        <w:lastRenderedPageBreak/>
        <w:t>就美国商务部发布的最终裁定中提及的</w:t>
      </w:r>
      <w:r>
        <w:rPr>
          <w:sz w:val="24"/>
        </w:rPr>
        <w:t>6</w:t>
      </w:r>
      <w:r>
        <w:rPr>
          <w:sz w:val="24"/>
        </w:rPr>
        <w:t>种辅材（银浆、铝框、玻璃、背板、胶膜和接线盒），标的公司与所用辅材</w:t>
      </w:r>
      <w:r w:rsidR="009B0D8B">
        <w:rPr>
          <w:rFonts w:hint="eastAsia"/>
          <w:sz w:val="24"/>
        </w:rPr>
        <w:t>境内</w:t>
      </w:r>
      <w:proofErr w:type="gramStart"/>
      <w:r w:rsidR="009B0D8B">
        <w:rPr>
          <w:rFonts w:hint="eastAsia"/>
          <w:sz w:val="24"/>
        </w:rPr>
        <w:t>外</w:t>
      </w:r>
      <w:r>
        <w:rPr>
          <w:sz w:val="24"/>
        </w:rPr>
        <w:t>供应</w:t>
      </w:r>
      <w:proofErr w:type="gramEnd"/>
      <w:r>
        <w:rPr>
          <w:sz w:val="24"/>
        </w:rPr>
        <w:t>厂商均保持良好的合作关系，且所用辅材供应商均为所属行业的</w:t>
      </w:r>
      <w:r>
        <w:rPr>
          <w:rFonts w:hint="eastAsia"/>
          <w:sz w:val="24"/>
        </w:rPr>
        <w:t>头部</w:t>
      </w:r>
      <w:r>
        <w:rPr>
          <w:sz w:val="24"/>
        </w:rPr>
        <w:t>企业。</w:t>
      </w:r>
      <w:r w:rsidR="009B0D8B">
        <w:rPr>
          <w:rFonts w:hint="eastAsia"/>
          <w:sz w:val="24"/>
        </w:rPr>
        <w:t>同时，境内</w:t>
      </w:r>
      <w:r>
        <w:rPr>
          <w:rFonts w:hint="eastAsia"/>
          <w:sz w:val="24"/>
        </w:rPr>
        <w:t>相关</w:t>
      </w:r>
      <w:r w:rsidR="009B0D8B">
        <w:rPr>
          <w:rFonts w:hint="eastAsia"/>
          <w:sz w:val="24"/>
        </w:rPr>
        <w:t>供应商</w:t>
      </w:r>
      <w:r>
        <w:rPr>
          <w:sz w:val="24"/>
        </w:rPr>
        <w:t>已陆续在海外规划建设生产基地，</w:t>
      </w:r>
      <w:r>
        <w:rPr>
          <w:rFonts w:hint="eastAsia"/>
          <w:sz w:val="24"/>
        </w:rPr>
        <w:t>以应对未来相关限制。</w:t>
      </w:r>
      <w:r w:rsidR="00A14320">
        <w:rPr>
          <w:rFonts w:hint="eastAsia"/>
          <w:sz w:val="24"/>
        </w:rPr>
        <w:t>其境外产业布局及建设进度</w:t>
      </w:r>
      <w:r>
        <w:rPr>
          <w:sz w:val="24"/>
        </w:rPr>
        <w:t>具体情况如下：</w:t>
      </w:r>
    </w:p>
    <w:tbl>
      <w:tblPr>
        <w:tblStyle w:val="ae"/>
        <w:tblW w:w="6326" w:type="pct"/>
        <w:jc w:val="center"/>
        <w:tblLook w:val="04A0" w:firstRow="1" w:lastRow="0" w:firstColumn="1" w:lastColumn="0" w:noHBand="0" w:noVBand="1"/>
      </w:tblPr>
      <w:tblGrid>
        <w:gridCol w:w="1304"/>
        <w:gridCol w:w="6409"/>
        <w:gridCol w:w="3069"/>
      </w:tblGrid>
      <w:tr w:rsidR="0069107C" w14:paraId="4A705FC9" w14:textId="7C037D46" w:rsidTr="009764AD">
        <w:trPr>
          <w:trHeight w:val="397"/>
          <w:jc w:val="center"/>
        </w:trPr>
        <w:tc>
          <w:tcPr>
            <w:tcW w:w="605" w:type="pct"/>
            <w:vAlign w:val="center"/>
          </w:tcPr>
          <w:p w14:paraId="5BDB95B4" w14:textId="77777777" w:rsidR="0069107C" w:rsidRDefault="0069107C" w:rsidP="008A1A3A">
            <w:pPr>
              <w:jc w:val="center"/>
              <w:rPr>
                <w:b/>
                <w:bCs/>
              </w:rPr>
            </w:pPr>
            <w:r>
              <w:rPr>
                <w:b/>
                <w:bCs/>
              </w:rPr>
              <w:t>光伏玻璃</w:t>
            </w:r>
          </w:p>
        </w:tc>
        <w:tc>
          <w:tcPr>
            <w:tcW w:w="2972" w:type="pct"/>
            <w:vAlign w:val="center"/>
          </w:tcPr>
          <w:p w14:paraId="120AFBF3" w14:textId="77777777" w:rsidR="0069107C" w:rsidRDefault="0069107C" w:rsidP="008A1A3A">
            <w:pPr>
              <w:jc w:val="center"/>
              <w:rPr>
                <w:b/>
                <w:bCs/>
              </w:rPr>
            </w:pPr>
            <w:r>
              <w:rPr>
                <w:b/>
                <w:bCs/>
              </w:rPr>
              <w:t>境外产业布局</w:t>
            </w:r>
          </w:p>
        </w:tc>
        <w:tc>
          <w:tcPr>
            <w:tcW w:w="1423" w:type="pct"/>
          </w:tcPr>
          <w:p w14:paraId="2CE9EB0E" w14:textId="18184E7D" w:rsidR="0069107C" w:rsidRDefault="0069107C" w:rsidP="008A1A3A">
            <w:pPr>
              <w:jc w:val="center"/>
              <w:rPr>
                <w:b/>
                <w:bCs/>
              </w:rPr>
            </w:pPr>
            <w:r>
              <w:rPr>
                <w:rFonts w:hint="eastAsia"/>
                <w:b/>
                <w:bCs/>
              </w:rPr>
              <w:t>建设进度</w:t>
            </w:r>
          </w:p>
        </w:tc>
      </w:tr>
      <w:tr w:rsidR="0069107C" w14:paraId="1B2016E0" w14:textId="24EB3F0C" w:rsidTr="000E0DBA">
        <w:trPr>
          <w:trHeight w:val="397"/>
          <w:jc w:val="center"/>
        </w:trPr>
        <w:tc>
          <w:tcPr>
            <w:tcW w:w="605" w:type="pct"/>
            <w:vAlign w:val="center"/>
          </w:tcPr>
          <w:p w14:paraId="541778EF" w14:textId="77777777" w:rsidR="0069107C" w:rsidRDefault="0069107C" w:rsidP="008A1A3A">
            <w:pPr>
              <w:jc w:val="center"/>
            </w:pPr>
            <w:r>
              <w:t>福莱特</w:t>
            </w:r>
          </w:p>
        </w:tc>
        <w:tc>
          <w:tcPr>
            <w:tcW w:w="2972" w:type="pct"/>
            <w:vAlign w:val="center"/>
          </w:tcPr>
          <w:p w14:paraId="23875DA4" w14:textId="77777777" w:rsidR="0069107C" w:rsidRDefault="0069107C" w:rsidP="008A1A3A">
            <w:r>
              <w:t>在越南投建越南福莱特作为光伏</w:t>
            </w:r>
            <w:proofErr w:type="gramStart"/>
            <w:r>
              <w:t>玻璃产线的</w:t>
            </w:r>
            <w:proofErr w:type="gramEnd"/>
            <w:r>
              <w:t>生产基地</w:t>
            </w:r>
          </w:p>
        </w:tc>
        <w:tc>
          <w:tcPr>
            <w:tcW w:w="1423" w:type="pct"/>
            <w:vAlign w:val="center"/>
          </w:tcPr>
          <w:p w14:paraId="6FDE635B" w14:textId="5F289064" w:rsidR="0069107C" w:rsidRDefault="00145310" w:rsidP="000E0DBA">
            <w:r>
              <w:rPr>
                <w:rFonts w:hint="eastAsia"/>
              </w:rPr>
              <w:t>于</w:t>
            </w:r>
            <w:r>
              <w:rPr>
                <w:rFonts w:hint="eastAsia"/>
              </w:rPr>
              <w:t>2</w:t>
            </w:r>
            <w:r>
              <w:t>016</w:t>
            </w:r>
            <w:r>
              <w:rPr>
                <w:rFonts w:hint="eastAsia"/>
              </w:rPr>
              <w:t>年</w:t>
            </w:r>
            <w:r w:rsidR="00850DC3">
              <w:rPr>
                <w:rFonts w:hint="eastAsia"/>
              </w:rPr>
              <w:t>起</w:t>
            </w:r>
            <w:r>
              <w:rPr>
                <w:rFonts w:hint="eastAsia"/>
              </w:rPr>
              <w:t>投资建设越南生产基地，</w:t>
            </w:r>
            <w:r w:rsidR="00850DC3">
              <w:rPr>
                <w:rFonts w:hint="eastAsia"/>
              </w:rPr>
              <w:t>并持续加码扩产，近年来投资的</w:t>
            </w:r>
            <w:r w:rsidR="00B74507">
              <w:rPr>
                <w:rFonts w:hint="eastAsia"/>
              </w:rPr>
              <w:t>2</w:t>
            </w:r>
            <w:r w:rsidR="00B74507">
              <w:rPr>
                <w:rFonts w:hint="eastAsia"/>
              </w:rPr>
              <w:t>个项目已分别于</w:t>
            </w:r>
            <w:r w:rsidR="00B74507" w:rsidRPr="00B74507">
              <w:rPr>
                <w:rFonts w:hint="eastAsia"/>
              </w:rPr>
              <w:t>2020</w:t>
            </w:r>
            <w:r w:rsidR="00B74507" w:rsidRPr="00B74507">
              <w:rPr>
                <w:rFonts w:hint="eastAsia"/>
              </w:rPr>
              <w:t>年年底和</w:t>
            </w:r>
            <w:r w:rsidR="00B74507" w:rsidRPr="00B74507">
              <w:rPr>
                <w:rFonts w:hint="eastAsia"/>
              </w:rPr>
              <w:t>2021</w:t>
            </w:r>
            <w:r w:rsidR="00B74507" w:rsidRPr="00B74507">
              <w:rPr>
                <w:rFonts w:hint="eastAsia"/>
              </w:rPr>
              <w:t>年第一季度</w:t>
            </w:r>
            <w:r w:rsidR="00B74507">
              <w:rPr>
                <w:rFonts w:hint="eastAsia"/>
              </w:rPr>
              <w:t>在越南投产，同时拟建项目分两期建设，将分别于</w:t>
            </w:r>
            <w:r w:rsidR="00B74507">
              <w:rPr>
                <w:rFonts w:hint="eastAsia"/>
              </w:rPr>
              <w:t>2</w:t>
            </w:r>
            <w:r w:rsidR="00B74507">
              <w:t>023</w:t>
            </w:r>
            <w:r w:rsidR="00B74507">
              <w:rPr>
                <w:rFonts w:hint="eastAsia"/>
              </w:rPr>
              <w:t>年内及</w:t>
            </w:r>
            <w:r w:rsidR="00B74507">
              <w:rPr>
                <w:rFonts w:hint="eastAsia"/>
              </w:rPr>
              <w:t>2</w:t>
            </w:r>
            <w:r w:rsidR="00B74507">
              <w:t>024</w:t>
            </w:r>
            <w:r w:rsidR="00B74507">
              <w:rPr>
                <w:rFonts w:hint="eastAsia"/>
              </w:rPr>
              <w:t>年内投产</w:t>
            </w:r>
          </w:p>
        </w:tc>
      </w:tr>
      <w:tr w:rsidR="0069107C" w14:paraId="7A02FE52" w14:textId="41969C82" w:rsidTr="000E0DBA">
        <w:trPr>
          <w:trHeight w:val="397"/>
          <w:jc w:val="center"/>
        </w:trPr>
        <w:tc>
          <w:tcPr>
            <w:tcW w:w="605" w:type="pct"/>
            <w:vAlign w:val="center"/>
          </w:tcPr>
          <w:p w14:paraId="391A4EFD" w14:textId="77777777" w:rsidR="0069107C" w:rsidRDefault="0069107C" w:rsidP="008A1A3A">
            <w:pPr>
              <w:jc w:val="center"/>
            </w:pPr>
            <w:proofErr w:type="gramStart"/>
            <w:r>
              <w:t>旗滨集团</w:t>
            </w:r>
            <w:proofErr w:type="gramEnd"/>
          </w:p>
        </w:tc>
        <w:tc>
          <w:tcPr>
            <w:tcW w:w="2972" w:type="pct"/>
            <w:vAlign w:val="center"/>
          </w:tcPr>
          <w:p w14:paraId="415521EB" w14:textId="77777777" w:rsidR="0069107C" w:rsidRDefault="0069107C" w:rsidP="008A1A3A">
            <w:r>
              <w:t>在马来西亚沙巴州在建</w:t>
            </w:r>
            <w:r>
              <w:t>2</w:t>
            </w:r>
            <w:r>
              <w:t>条</w:t>
            </w:r>
            <w:r>
              <w:t>1200T/D</w:t>
            </w:r>
            <w:r>
              <w:t>光伏玻璃产线，总投资额约</w:t>
            </w:r>
            <w:r>
              <w:t>31.2</w:t>
            </w:r>
            <w:r>
              <w:t>亿元人民币</w:t>
            </w:r>
          </w:p>
        </w:tc>
        <w:tc>
          <w:tcPr>
            <w:tcW w:w="1423" w:type="pct"/>
            <w:vAlign w:val="center"/>
          </w:tcPr>
          <w:p w14:paraId="49FF0A35" w14:textId="21F2CDD0" w:rsidR="0069107C" w:rsidRDefault="00FE79BC" w:rsidP="000E0DBA">
            <w:r>
              <w:rPr>
                <w:rFonts w:hint="eastAsia"/>
              </w:rPr>
              <w:t>预计于</w:t>
            </w:r>
            <w:r w:rsidR="00662EB7">
              <w:rPr>
                <w:rFonts w:hint="eastAsia"/>
              </w:rPr>
              <w:t>2</w:t>
            </w:r>
            <w:r w:rsidR="00662EB7">
              <w:t>023</w:t>
            </w:r>
            <w:r w:rsidR="00662EB7">
              <w:rPr>
                <w:rFonts w:hint="eastAsia"/>
              </w:rPr>
              <w:t>年内投产</w:t>
            </w:r>
          </w:p>
        </w:tc>
      </w:tr>
      <w:tr w:rsidR="0069107C" w14:paraId="1EAC0769" w14:textId="58376B12" w:rsidTr="000E0DBA">
        <w:trPr>
          <w:trHeight w:val="397"/>
          <w:jc w:val="center"/>
        </w:trPr>
        <w:tc>
          <w:tcPr>
            <w:tcW w:w="605" w:type="pct"/>
            <w:vAlign w:val="center"/>
          </w:tcPr>
          <w:p w14:paraId="5FE39AB4" w14:textId="77777777" w:rsidR="0069107C" w:rsidRDefault="0069107C" w:rsidP="008A1A3A">
            <w:pPr>
              <w:jc w:val="center"/>
            </w:pPr>
            <w:r>
              <w:t>金</w:t>
            </w:r>
            <w:proofErr w:type="gramStart"/>
            <w:r>
              <w:t>晶科技</w:t>
            </w:r>
            <w:proofErr w:type="gramEnd"/>
          </w:p>
        </w:tc>
        <w:tc>
          <w:tcPr>
            <w:tcW w:w="2972" w:type="pct"/>
            <w:vAlign w:val="center"/>
          </w:tcPr>
          <w:p w14:paraId="39B2E29A" w14:textId="77777777" w:rsidR="0069107C" w:rsidRDefault="0069107C" w:rsidP="008A1A3A">
            <w:r>
              <w:t>在马来西亚投产</w:t>
            </w:r>
            <w:r>
              <w:t>500T/D</w:t>
            </w:r>
            <w:r>
              <w:t>和</w:t>
            </w:r>
            <w:r>
              <w:t>600T/D</w:t>
            </w:r>
            <w:r>
              <w:t>薄膜光伏组件背板玻璃生产线</w:t>
            </w:r>
          </w:p>
        </w:tc>
        <w:tc>
          <w:tcPr>
            <w:tcW w:w="1423" w:type="pct"/>
            <w:vAlign w:val="center"/>
          </w:tcPr>
          <w:p w14:paraId="611366E1" w14:textId="5530E841" w:rsidR="0069107C" w:rsidRDefault="001B0034" w:rsidP="000E0DBA">
            <w:r>
              <w:rPr>
                <w:rFonts w:hint="eastAsia"/>
              </w:rPr>
              <w:t>5</w:t>
            </w:r>
            <w:r>
              <w:t>00T/D</w:t>
            </w:r>
            <w:proofErr w:type="gramStart"/>
            <w:r w:rsidR="00B070F8">
              <w:rPr>
                <w:rFonts w:hint="eastAsia"/>
              </w:rPr>
              <w:t>产线已于</w:t>
            </w:r>
            <w:proofErr w:type="gramEnd"/>
            <w:r w:rsidR="00337622">
              <w:rPr>
                <w:rFonts w:hint="eastAsia"/>
              </w:rPr>
              <w:t>2</w:t>
            </w:r>
            <w:r w:rsidR="00337622">
              <w:t>022</w:t>
            </w:r>
            <w:r w:rsidR="00337622">
              <w:rPr>
                <w:rFonts w:hint="eastAsia"/>
              </w:rPr>
              <w:t>年初</w:t>
            </w:r>
            <w:r w:rsidR="00B070F8">
              <w:rPr>
                <w:rFonts w:hint="eastAsia"/>
              </w:rPr>
              <w:t>投产，</w:t>
            </w:r>
            <w:r w:rsidR="00B070F8">
              <w:rPr>
                <w:rFonts w:hint="eastAsia"/>
              </w:rPr>
              <w:t>6</w:t>
            </w:r>
            <w:r w:rsidR="00B070F8">
              <w:t>00T</w:t>
            </w:r>
            <w:r w:rsidR="00B070F8">
              <w:rPr>
                <w:rFonts w:hint="eastAsia"/>
              </w:rPr>
              <w:t>/</w:t>
            </w:r>
            <w:r w:rsidR="00B070F8">
              <w:t>D</w:t>
            </w:r>
            <w:proofErr w:type="gramStart"/>
            <w:r w:rsidR="00392DFA">
              <w:rPr>
                <w:rFonts w:hint="eastAsia"/>
              </w:rPr>
              <w:t>产线</w:t>
            </w:r>
            <w:r w:rsidR="004D5CEF">
              <w:rPr>
                <w:rFonts w:hint="eastAsia"/>
              </w:rPr>
              <w:t>已</w:t>
            </w:r>
            <w:r w:rsidR="00392DFA">
              <w:rPr>
                <w:rFonts w:hint="eastAsia"/>
              </w:rPr>
              <w:t>于</w:t>
            </w:r>
            <w:proofErr w:type="gramEnd"/>
            <w:r w:rsidR="00392DFA">
              <w:rPr>
                <w:rFonts w:hint="eastAsia"/>
              </w:rPr>
              <w:t>2</w:t>
            </w:r>
            <w:r w:rsidR="00392DFA">
              <w:t>023</w:t>
            </w:r>
            <w:r w:rsidR="00392DFA">
              <w:rPr>
                <w:rFonts w:hint="eastAsia"/>
              </w:rPr>
              <w:t>年</w:t>
            </w:r>
            <w:r w:rsidR="004D5CEF">
              <w:rPr>
                <w:rFonts w:hint="eastAsia"/>
              </w:rPr>
              <w:t>5</w:t>
            </w:r>
            <w:r w:rsidR="004D5CEF">
              <w:rPr>
                <w:rFonts w:hint="eastAsia"/>
              </w:rPr>
              <w:t>月</w:t>
            </w:r>
            <w:r w:rsidR="00392DFA">
              <w:rPr>
                <w:rFonts w:hint="eastAsia"/>
              </w:rPr>
              <w:t>投产</w:t>
            </w:r>
          </w:p>
        </w:tc>
      </w:tr>
      <w:tr w:rsidR="0069107C" w14:paraId="1BCBD984" w14:textId="405EC1AC" w:rsidTr="000E0DBA">
        <w:trPr>
          <w:trHeight w:val="397"/>
          <w:jc w:val="center"/>
        </w:trPr>
        <w:tc>
          <w:tcPr>
            <w:tcW w:w="605" w:type="pct"/>
            <w:vAlign w:val="center"/>
          </w:tcPr>
          <w:p w14:paraId="48A51C56" w14:textId="77777777" w:rsidR="0069107C" w:rsidRDefault="0069107C" w:rsidP="008A1A3A">
            <w:pPr>
              <w:jc w:val="center"/>
            </w:pPr>
            <w:r>
              <w:t>信义光能</w:t>
            </w:r>
          </w:p>
        </w:tc>
        <w:tc>
          <w:tcPr>
            <w:tcW w:w="2972" w:type="pct"/>
            <w:vAlign w:val="center"/>
          </w:tcPr>
          <w:p w14:paraId="013CFD3E" w14:textId="77777777" w:rsidR="0069107C" w:rsidRDefault="0069107C" w:rsidP="008A1A3A">
            <w:r>
              <w:t>在马来西亚设立光伏玻璃生产基地，光伏玻璃日熔量</w:t>
            </w:r>
            <w:r>
              <w:t>1900T/D</w:t>
            </w:r>
          </w:p>
        </w:tc>
        <w:tc>
          <w:tcPr>
            <w:tcW w:w="1423" w:type="pct"/>
            <w:vAlign w:val="center"/>
          </w:tcPr>
          <w:p w14:paraId="0E38A799" w14:textId="17EA3087" w:rsidR="0069107C" w:rsidRDefault="00850DC3" w:rsidP="000E0DBA">
            <w:r>
              <w:rPr>
                <w:rFonts w:hint="eastAsia"/>
              </w:rPr>
              <w:t>已</w:t>
            </w:r>
            <w:r w:rsidR="00C825D4">
              <w:rPr>
                <w:rFonts w:hint="eastAsia"/>
              </w:rPr>
              <w:t>于</w:t>
            </w:r>
            <w:r w:rsidR="00C825D4">
              <w:rPr>
                <w:rFonts w:hint="eastAsia"/>
              </w:rPr>
              <w:t>2</w:t>
            </w:r>
            <w:r w:rsidR="00C825D4">
              <w:t>015</w:t>
            </w:r>
            <w:r w:rsidR="00C825D4">
              <w:rPr>
                <w:rFonts w:hint="eastAsia"/>
              </w:rPr>
              <w:t>年在马来西亚布局生产基地，并持续投资</w:t>
            </w:r>
            <w:r>
              <w:rPr>
                <w:rFonts w:hint="eastAsia"/>
              </w:rPr>
              <w:t>扩产</w:t>
            </w:r>
          </w:p>
        </w:tc>
      </w:tr>
      <w:tr w:rsidR="0069107C" w14:paraId="42B1965D" w14:textId="2E825054" w:rsidTr="000E0DBA">
        <w:trPr>
          <w:trHeight w:val="397"/>
          <w:jc w:val="center"/>
        </w:trPr>
        <w:tc>
          <w:tcPr>
            <w:tcW w:w="605" w:type="pct"/>
            <w:vAlign w:val="center"/>
          </w:tcPr>
          <w:p w14:paraId="766453F3" w14:textId="77777777" w:rsidR="0069107C" w:rsidRDefault="0069107C" w:rsidP="008A1A3A">
            <w:pPr>
              <w:jc w:val="center"/>
              <w:rPr>
                <w:b/>
                <w:bCs/>
              </w:rPr>
            </w:pPr>
            <w:r>
              <w:rPr>
                <w:b/>
                <w:bCs/>
              </w:rPr>
              <w:t>封装胶膜</w:t>
            </w:r>
          </w:p>
        </w:tc>
        <w:tc>
          <w:tcPr>
            <w:tcW w:w="2972" w:type="pct"/>
            <w:vAlign w:val="center"/>
          </w:tcPr>
          <w:p w14:paraId="01F5830F" w14:textId="77777777" w:rsidR="0069107C" w:rsidRDefault="0069107C" w:rsidP="008A1A3A">
            <w:pPr>
              <w:jc w:val="center"/>
              <w:rPr>
                <w:b/>
                <w:bCs/>
              </w:rPr>
            </w:pPr>
            <w:r>
              <w:rPr>
                <w:b/>
                <w:bCs/>
              </w:rPr>
              <w:t>境外产业布局</w:t>
            </w:r>
          </w:p>
        </w:tc>
        <w:tc>
          <w:tcPr>
            <w:tcW w:w="1423" w:type="pct"/>
            <w:vAlign w:val="center"/>
          </w:tcPr>
          <w:p w14:paraId="585085C0" w14:textId="77777777" w:rsidR="0069107C" w:rsidRDefault="0069107C" w:rsidP="000E0DBA">
            <w:pPr>
              <w:rPr>
                <w:b/>
                <w:bCs/>
              </w:rPr>
            </w:pPr>
          </w:p>
        </w:tc>
      </w:tr>
      <w:tr w:rsidR="0069107C" w14:paraId="48AB8F2F" w14:textId="2427EB6C" w:rsidTr="000E0DBA">
        <w:trPr>
          <w:trHeight w:val="397"/>
          <w:jc w:val="center"/>
        </w:trPr>
        <w:tc>
          <w:tcPr>
            <w:tcW w:w="605" w:type="pct"/>
            <w:vAlign w:val="center"/>
          </w:tcPr>
          <w:p w14:paraId="31E2454E" w14:textId="77777777" w:rsidR="0069107C" w:rsidRDefault="0069107C" w:rsidP="008A1A3A">
            <w:pPr>
              <w:jc w:val="center"/>
            </w:pPr>
            <w:proofErr w:type="gramStart"/>
            <w:r>
              <w:t>祥邦</w:t>
            </w:r>
            <w:proofErr w:type="gramEnd"/>
            <w:r>
              <w:t>科技</w:t>
            </w:r>
          </w:p>
        </w:tc>
        <w:tc>
          <w:tcPr>
            <w:tcW w:w="2972" w:type="pct"/>
            <w:vAlign w:val="center"/>
          </w:tcPr>
          <w:p w14:paraId="508991CF" w14:textId="77777777" w:rsidR="0069107C" w:rsidRDefault="0069107C" w:rsidP="008A1A3A">
            <w:r>
              <w:t>拟在马来西亚建设海外生产基地</w:t>
            </w:r>
          </w:p>
        </w:tc>
        <w:tc>
          <w:tcPr>
            <w:tcW w:w="1423" w:type="pct"/>
            <w:vAlign w:val="center"/>
          </w:tcPr>
          <w:p w14:paraId="2A7F4B74" w14:textId="72BA3344" w:rsidR="0069107C" w:rsidRDefault="00850DC3" w:rsidP="000E0DBA">
            <w:r>
              <w:rPr>
                <w:rFonts w:hint="eastAsia"/>
              </w:rPr>
              <w:t>已</w:t>
            </w:r>
            <w:r w:rsidR="002B7361">
              <w:rPr>
                <w:rFonts w:hint="eastAsia"/>
              </w:rPr>
              <w:t>于</w:t>
            </w:r>
            <w:r w:rsidR="002B7361">
              <w:rPr>
                <w:rFonts w:hint="eastAsia"/>
              </w:rPr>
              <w:t>2</w:t>
            </w:r>
            <w:r w:rsidR="002B7361">
              <w:t>023</w:t>
            </w:r>
            <w:r w:rsidR="002B7361">
              <w:rPr>
                <w:rFonts w:hint="eastAsia"/>
              </w:rPr>
              <w:t>年</w:t>
            </w:r>
            <w:r w:rsidR="002B7361">
              <w:rPr>
                <w:rFonts w:hint="eastAsia"/>
              </w:rPr>
              <w:t>4</w:t>
            </w:r>
            <w:r w:rsidR="002B7361">
              <w:rPr>
                <w:rFonts w:hint="eastAsia"/>
              </w:rPr>
              <w:t>月于马来西亚设立子公司，拟建设海外生产基地</w:t>
            </w:r>
            <w:r w:rsidR="009B0D8B">
              <w:rPr>
                <w:rFonts w:hint="eastAsia"/>
              </w:rPr>
              <w:t>，</w:t>
            </w:r>
            <w:r w:rsidR="009B0D8B" w:rsidRPr="00113A26">
              <w:t>暂未披露具体投产日期</w:t>
            </w:r>
          </w:p>
        </w:tc>
      </w:tr>
      <w:tr w:rsidR="0069107C" w14:paraId="35B1F063" w14:textId="707E63F9" w:rsidTr="000E0DBA">
        <w:trPr>
          <w:trHeight w:val="397"/>
          <w:jc w:val="center"/>
        </w:trPr>
        <w:tc>
          <w:tcPr>
            <w:tcW w:w="605" w:type="pct"/>
            <w:vAlign w:val="center"/>
          </w:tcPr>
          <w:p w14:paraId="78A0E7DF" w14:textId="77777777" w:rsidR="0069107C" w:rsidRDefault="0069107C" w:rsidP="008A1A3A">
            <w:pPr>
              <w:jc w:val="center"/>
            </w:pPr>
            <w:r>
              <w:t>百佳年代</w:t>
            </w:r>
          </w:p>
        </w:tc>
        <w:tc>
          <w:tcPr>
            <w:tcW w:w="2972" w:type="pct"/>
            <w:vAlign w:val="center"/>
          </w:tcPr>
          <w:p w14:paraId="4FEC4222" w14:textId="77777777" w:rsidR="0069107C" w:rsidRDefault="0069107C" w:rsidP="008A1A3A">
            <w:r>
              <w:t>在越南投产特殊高科技薄膜生产基地，拟新增</w:t>
            </w:r>
            <w:r>
              <w:t>9,000</w:t>
            </w:r>
            <w:r>
              <w:t>万平方米光伏胶膜产能，于</w:t>
            </w:r>
            <w:r>
              <w:t>2022</w:t>
            </w:r>
            <w:r>
              <w:t>年末开始陆续投产</w:t>
            </w:r>
          </w:p>
        </w:tc>
        <w:tc>
          <w:tcPr>
            <w:tcW w:w="1423" w:type="pct"/>
            <w:vAlign w:val="center"/>
          </w:tcPr>
          <w:p w14:paraId="3BCE488F" w14:textId="6C4DA7CB" w:rsidR="0069107C" w:rsidRDefault="006F4CC3" w:rsidP="000E0DBA">
            <w:r>
              <w:rPr>
                <w:rFonts w:hint="eastAsia"/>
              </w:rPr>
              <w:t>越南生产基地</w:t>
            </w:r>
            <w:r w:rsidR="009B0D8B">
              <w:rPr>
                <w:rFonts w:hint="eastAsia"/>
              </w:rPr>
              <w:t>已</w:t>
            </w:r>
            <w:r>
              <w:rPr>
                <w:rFonts w:hint="eastAsia"/>
              </w:rPr>
              <w:t>于</w:t>
            </w:r>
            <w:r>
              <w:rPr>
                <w:rFonts w:hint="eastAsia"/>
              </w:rPr>
              <w:t>2</w:t>
            </w:r>
            <w:r>
              <w:t>020</w:t>
            </w:r>
            <w:r>
              <w:rPr>
                <w:rFonts w:hint="eastAsia"/>
              </w:rPr>
              <w:t>年实现投产，并持续投资扩大产能</w:t>
            </w:r>
          </w:p>
        </w:tc>
      </w:tr>
      <w:tr w:rsidR="0069107C" w14:paraId="1441ABEA" w14:textId="73C26E96" w:rsidTr="000E0DBA">
        <w:trPr>
          <w:trHeight w:val="397"/>
          <w:jc w:val="center"/>
        </w:trPr>
        <w:tc>
          <w:tcPr>
            <w:tcW w:w="605" w:type="pct"/>
            <w:vAlign w:val="center"/>
          </w:tcPr>
          <w:p w14:paraId="065FDE3C" w14:textId="77777777" w:rsidR="0069107C" w:rsidRDefault="0069107C" w:rsidP="008A1A3A">
            <w:pPr>
              <w:jc w:val="center"/>
            </w:pPr>
            <w:proofErr w:type="gramStart"/>
            <w:r>
              <w:t>鸿日达</w:t>
            </w:r>
            <w:proofErr w:type="gramEnd"/>
          </w:p>
        </w:tc>
        <w:tc>
          <w:tcPr>
            <w:tcW w:w="2972" w:type="pct"/>
            <w:vAlign w:val="center"/>
          </w:tcPr>
          <w:p w14:paraId="26DD563A" w14:textId="77777777" w:rsidR="0069107C" w:rsidRDefault="0069107C" w:rsidP="008A1A3A">
            <w:r>
              <w:t>在越南投资建设光伏组件、接线盒及消费电子连接器生产基地，项目总投资额约为</w:t>
            </w:r>
            <w:r>
              <w:t>3400</w:t>
            </w:r>
            <w:r>
              <w:t>万美元</w:t>
            </w:r>
          </w:p>
        </w:tc>
        <w:tc>
          <w:tcPr>
            <w:tcW w:w="1423" w:type="pct"/>
            <w:vAlign w:val="center"/>
          </w:tcPr>
          <w:p w14:paraId="05196C21" w14:textId="60954B9C" w:rsidR="0069107C" w:rsidRDefault="00C777B7" w:rsidP="000E0DBA">
            <w:r>
              <w:rPr>
                <w:rFonts w:hint="eastAsia"/>
              </w:rPr>
              <w:t>于</w:t>
            </w:r>
            <w:r>
              <w:rPr>
                <w:rFonts w:hint="eastAsia"/>
              </w:rPr>
              <w:t>2</w:t>
            </w:r>
            <w:r>
              <w:t>023</w:t>
            </w:r>
            <w:r>
              <w:rPr>
                <w:rFonts w:hint="eastAsia"/>
              </w:rPr>
              <w:t>年</w:t>
            </w:r>
            <w:r>
              <w:rPr>
                <w:rFonts w:hint="eastAsia"/>
              </w:rPr>
              <w:t>9</w:t>
            </w:r>
            <w:r>
              <w:rPr>
                <w:rFonts w:hint="eastAsia"/>
              </w:rPr>
              <w:t>月董事会审议通过投资建设越南生产基地相关议案，建设周期预计</w:t>
            </w:r>
            <w:r>
              <w:rPr>
                <w:rFonts w:hint="eastAsia"/>
              </w:rPr>
              <w:t>6</w:t>
            </w:r>
            <w:r>
              <w:rPr>
                <w:rFonts w:hint="eastAsia"/>
              </w:rPr>
              <w:t>个月</w:t>
            </w:r>
            <w:r w:rsidR="009B0D8B">
              <w:rPr>
                <w:rFonts w:hint="eastAsia"/>
              </w:rPr>
              <w:t>，</w:t>
            </w:r>
            <w:r w:rsidR="009B0D8B" w:rsidRPr="00113A26">
              <w:t>暂未披露具体投产日期</w:t>
            </w:r>
          </w:p>
        </w:tc>
      </w:tr>
      <w:tr w:rsidR="0069107C" w14:paraId="2819F1AF" w14:textId="3B55D660" w:rsidTr="000E0DBA">
        <w:trPr>
          <w:trHeight w:val="397"/>
          <w:jc w:val="center"/>
        </w:trPr>
        <w:tc>
          <w:tcPr>
            <w:tcW w:w="605" w:type="pct"/>
            <w:vAlign w:val="center"/>
          </w:tcPr>
          <w:p w14:paraId="366CF65E" w14:textId="77777777" w:rsidR="0069107C" w:rsidRDefault="0069107C" w:rsidP="008A1A3A">
            <w:pPr>
              <w:jc w:val="center"/>
              <w:rPr>
                <w:b/>
                <w:bCs/>
              </w:rPr>
            </w:pPr>
            <w:r>
              <w:rPr>
                <w:b/>
                <w:bCs/>
              </w:rPr>
              <w:t>光伏背板</w:t>
            </w:r>
          </w:p>
        </w:tc>
        <w:tc>
          <w:tcPr>
            <w:tcW w:w="2972" w:type="pct"/>
            <w:vAlign w:val="center"/>
          </w:tcPr>
          <w:p w14:paraId="0D343D22" w14:textId="77777777" w:rsidR="0069107C" w:rsidRDefault="0069107C" w:rsidP="008A1A3A">
            <w:pPr>
              <w:jc w:val="center"/>
              <w:rPr>
                <w:b/>
                <w:bCs/>
              </w:rPr>
            </w:pPr>
            <w:r>
              <w:rPr>
                <w:b/>
                <w:bCs/>
              </w:rPr>
              <w:t>境外产业布局</w:t>
            </w:r>
          </w:p>
        </w:tc>
        <w:tc>
          <w:tcPr>
            <w:tcW w:w="1423" w:type="pct"/>
            <w:vAlign w:val="center"/>
          </w:tcPr>
          <w:p w14:paraId="670DF70A" w14:textId="77777777" w:rsidR="0069107C" w:rsidRDefault="0069107C" w:rsidP="000E0DBA">
            <w:pPr>
              <w:rPr>
                <w:b/>
                <w:bCs/>
              </w:rPr>
            </w:pPr>
          </w:p>
        </w:tc>
      </w:tr>
      <w:tr w:rsidR="009764AD" w14:paraId="162B7B3A" w14:textId="1DCB367E" w:rsidTr="000E0DBA">
        <w:trPr>
          <w:trHeight w:val="397"/>
          <w:jc w:val="center"/>
        </w:trPr>
        <w:tc>
          <w:tcPr>
            <w:tcW w:w="605" w:type="pct"/>
            <w:vAlign w:val="center"/>
          </w:tcPr>
          <w:p w14:paraId="0659801F" w14:textId="77777777" w:rsidR="009764AD" w:rsidRDefault="009764AD" w:rsidP="009764AD">
            <w:pPr>
              <w:jc w:val="center"/>
            </w:pPr>
            <w:r>
              <w:t>回天新材</w:t>
            </w:r>
          </w:p>
        </w:tc>
        <w:tc>
          <w:tcPr>
            <w:tcW w:w="2972" w:type="pct"/>
            <w:vAlign w:val="center"/>
          </w:tcPr>
          <w:p w14:paraId="3294EBEC" w14:textId="77777777" w:rsidR="009764AD" w:rsidRDefault="009764AD" w:rsidP="009764AD">
            <w:r>
              <w:t>拟在越南投资建设年产</w:t>
            </w:r>
            <w:r>
              <w:t>2600</w:t>
            </w:r>
            <w:r>
              <w:t>万平米光伏背板项目</w:t>
            </w:r>
          </w:p>
        </w:tc>
        <w:tc>
          <w:tcPr>
            <w:tcW w:w="1423" w:type="pct"/>
            <w:vAlign w:val="center"/>
          </w:tcPr>
          <w:p w14:paraId="17F63CEB" w14:textId="70EA0F13" w:rsidR="009764AD" w:rsidRDefault="009764AD" w:rsidP="000E0DBA">
            <w:r w:rsidRPr="00113A26">
              <w:rPr>
                <w:rFonts w:hint="eastAsia"/>
              </w:rPr>
              <w:t>已于</w:t>
            </w:r>
            <w:r w:rsidRPr="00113A26">
              <w:rPr>
                <w:rFonts w:hint="eastAsia"/>
              </w:rPr>
              <w:t>2</w:t>
            </w:r>
            <w:r w:rsidRPr="00113A26">
              <w:t>023</w:t>
            </w:r>
            <w:r w:rsidRPr="00113A26">
              <w:t>年</w:t>
            </w:r>
            <w:r w:rsidRPr="00113A26">
              <w:rPr>
                <w:rFonts w:hint="eastAsia"/>
              </w:rPr>
              <w:t>8</w:t>
            </w:r>
            <w:r w:rsidRPr="00113A26">
              <w:t>月完成项目</w:t>
            </w:r>
            <w:r w:rsidRPr="00113A26">
              <w:rPr>
                <w:rFonts w:hint="eastAsia"/>
              </w:rPr>
              <w:t>公司设立，建设周期</w:t>
            </w:r>
            <w:r w:rsidRPr="00113A26">
              <w:rPr>
                <w:rFonts w:hint="eastAsia"/>
              </w:rPr>
              <w:t>1</w:t>
            </w:r>
            <w:r w:rsidRPr="00113A26">
              <w:t>6</w:t>
            </w:r>
            <w:r w:rsidRPr="00113A26">
              <w:t>个月，预计将于</w:t>
            </w:r>
            <w:r w:rsidRPr="00113A26">
              <w:rPr>
                <w:rFonts w:hint="eastAsia"/>
              </w:rPr>
              <w:t>2</w:t>
            </w:r>
            <w:r w:rsidRPr="00113A26">
              <w:t>024</w:t>
            </w:r>
            <w:r w:rsidRPr="00113A26">
              <w:t>年内投产</w:t>
            </w:r>
          </w:p>
        </w:tc>
      </w:tr>
      <w:tr w:rsidR="009764AD" w14:paraId="1E04AA77" w14:textId="5C8BBF3D" w:rsidTr="000E0DBA">
        <w:trPr>
          <w:trHeight w:val="397"/>
          <w:jc w:val="center"/>
        </w:trPr>
        <w:tc>
          <w:tcPr>
            <w:tcW w:w="605" w:type="pct"/>
            <w:vAlign w:val="center"/>
          </w:tcPr>
          <w:p w14:paraId="1D232648" w14:textId="77777777" w:rsidR="009764AD" w:rsidRDefault="009764AD" w:rsidP="009764AD">
            <w:pPr>
              <w:jc w:val="center"/>
            </w:pPr>
            <w:proofErr w:type="gramStart"/>
            <w:r>
              <w:t>明冠新材</w:t>
            </w:r>
            <w:proofErr w:type="gramEnd"/>
          </w:p>
        </w:tc>
        <w:tc>
          <w:tcPr>
            <w:tcW w:w="2972" w:type="pct"/>
            <w:vAlign w:val="center"/>
          </w:tcPr>
          <w:p w14:paraId="68805333" w14:textId="77777777" w:rsidR="009764AD" w:rsidRDefault="009764AD" w:rsidP="009764AD">
            <w:r>
              <w:t>在越南投资建设太阳能电池背板、铝塑膜等新型复合膜材料的生产</w:t>
            </w:r>
            <w:proofErr w:type="gramStart"/>
            <w:r>
              <w:t>产</w:t>
            </w:r>
            <w:proofErr w:type="gramEnd"/>
            <w:r>
              <w:t>线，年产</w:t>
            </w:r>
            <w:r>
              <w:t>1</w:t>
            </w:r>
            <w:r>
              <w:t>亿平米胶膜项目已于</w:t>
            </w:r>
            <w:r>
              <w:t>2023</w:t>
            </w:r>
            <w:r>
              <w:t>年全部建成投产</w:t>
            </w:r>
          </w:p>
        </w:tc>
        <w:tc>
          <w:tcPr>
            <w:tcW w:w="1423" w:type="pct"/>
            <w:vAlign w:val="center"/>
          </w:tcPr>
          <w:p w14:paraId="78346604" w14:textId="5E514728" w:rsidR="009764AD" w:rsidRDefault="009764AD" w:rsidP="000E0DBA">
            <w:r w:rsidRPr="00113A26">
              <w:t>已完成</w:t>
            </w:r>
            <w:r w:rsidRPr="00113A26">
              <w:rPr>
                <w:rFonts w:hint="eastAsia"/>
              </w:rPr>
              <w:t>海外生产基地建设并投入使用</w:t>
            </w:r>
          </w:p>
        </w:tc>
      </w:tr>
      <w:tr w:rsidR="009764AD" w14:paraId="2235343A" w14:textId="0D3AA603" w:rsidTr="000E0DBA">
        <w:trPr>
          <w:trHeight w:val="397"/>
          <w:jc w:val="center"/>
        </w:trPr>
        <w:tc>
          <w:tcPr>
            <w:tcW w:w="605" w:type="pct"/>
            <w:vAlign w:val="center"/>
          </w:tcPr>
          <w:p w14:paraId="340C5007" w14:textId="77777777" w:rsidR="009764AD" w:rsidRDefault="009764AD" w:rsidP="009764AD">
            <w:pPr>
              <w:jc w:val="center"/>
              <w:rPr>
                <w:b/>
                <w:bCs/>
              </w:rPr>
            </w:pPr>
            <w:r>
              <w:rPr>
                <w:b/>
                <w:bCs/>
              </w:rPr>
              <w:t>光伏边框</w:t>
            </w:r>
          </w:p>
        </w:tc>
        <w:tc>
          <w:tcPr>
            <w:tcW w:w="2972" w:type="pct"/>
            <w:vAlign w:val="center"/>
          </w:tcPr>
          <w:p w14:paraId="5766EA3E" w14:textId="77777777" w:rsidR="009764AD" w:rsidRDefault="009764AD" w:rsidP="009764AD">
            <w:pPr>
              <w:jc w:val="center"/>
              <w:rPr>
                <w:b/>
                <w:bCs/>
              </w:rPr>
            </w:pPr>
            <w:r>
              <w:rPr>
                <w:b/>
                <w:bCs/>
              </w:rPr>
              <w:t>境外产业布局</w:t>
            </w:r>
          </w:p>
        </w:tc>
        <w:tc>
          <w:tcPr>
            <w:tcW w:w="1423" w:type="pct"/>
            <w:vAlign w:val="center"/>
          </w:tcPr>
          <w:p w14:paraId="1DFF6CA0" w14:textId="77777777" w:rsidR="009764AD" w:rsidRDefault="009764AD" w:rsidP="000E0DBA">
            <w:pPr>
              <w:rPr>
                <w:b/>
                <w:bCs/>
              </w:rPr>
            </w:pPr>
          </w:p>
        </w:tc>
      </w:tr>
      <w:tr w:rsidR="009764AD" w14:paraId="63FC9914" w14:textId="6AF6FE0E" w:rsidTr="000E0DBA">
        <w:trPr>
          <w:trHeight w:val="397"/>
          <w:jc w:val="center"/>
        </w:trPr>
        <w:tc>
          <w:tcPr>
            <w:tcW w:w="605" w:type="pct"/>
            <w:vAlign w:val="center"/>
          </w:tcPr>
          <w:p w14:paraId="6E215787" w14:textId="77777777" w:rsidR="009764AD" w:rsidRDefault="009764AD" w:rsidP="009764AD">
            <w:pPr>
              <w:jc w:val="center"/>
            </w:pPr>
            <w:r>
              <w:t>永</w:t>
            </w:r>
            <w:proofErr w:type="gramStart"/>
            <w:r>
              <w:t>臻</w:t>
            </w:r>
            <w:proofErr w:type="gramEnd"/>
            <w:r>
              <w:t>股份</w:t>
            </w:r>
          </w:p>
        </w:tc>
        <w:tc>
          <w:tcPr>
            <w:tcW w:w="2972" w:type="pct"/>
            <w:vAlign w:val="center"/>
          </w:tcPr>
          <w:p w14:paraId="1027DAAB" w14:textId="77777777" w:rsidR="009764AD" w:rsidRDefault="009764AD" w:rsidP="009764AD">
            <w:r>
              <w:t>在越南投资新建</w:t>
            </w:r>
            <w:r>
              <w:t>18</w:t>
            </w:r>
            <w:r>
              <w:t>万吨光伏边框生产基地</w:t>
            </w:r>
          </w:p>
        </w:tc>
        <w:tc>
          <w:tcPr>
            <w:tcW w:w="1423" w:type="pct"/>
            <w:vAlign w:val="center"/>
          </w:tcPr>
          <w:p w14:paraId="207D4750" w14:textId="3FBE1FFF" w:rsidR="009764AD" w:rsidRDefault="009764AD" w:rsidP="000E0DBA">
            <w:r w:rsidRPr="00113A26">
              <w:rPr>
                <w:rFonts w:hint="eastAsia"/>
              </w:rPr>
              <w:t>已于</w:t>
            </w:r>
            <w:r w:rsidRPr="00113A26">
              <w:rPr>
                <w:rFonts w:hint="eastAsia"/>
              </w:rPr>
              <w:t>2</w:t>
            </w:r>
            <w:r w:rsidRPr="00113A26">
              <w:t>023</w:t>
            </w:r>
            <w:r w:rsidRPr="00113A26">
              <w:t>年</w:t>
            </w:r>
            <w:r w:rsidRPr="00113A26">
              <w:rPr>
                <w:rFonts w:hint="eastAsia"/>
              </w:rPr>
              <w:t>5</w:t>
            </w:r>
            <w:r w:rsidRPr="00113A26">
              <w:rPr>
                <w:rFonts w:hint="eastAsia"/>
              </w:rPr>
              <w:t>月获得越南北江省颁发的投资登记证书</w:t>
            </w:r>
            <w:r w:rsidR="009B0D8B">
              <w:rPr>
                <w:rFonts w:hint="eastAsia"/>
              </w:rPr>
              <w:t>，</w:t>
            </w:r>
            <w:r w:rsidR="009B0D8B" w:rsidRPr="00113A26">
              <w:t>暂未披露具体投产日期</w:t>
            </w:r>
          </w:p>
        </w:tc>
      </w:tr>
      <w:tr w:rsidR="009764AD" w14:paraId="3517D462" w14:textId="01259505" w:rsidTr="000E0DBA">
        <w:trPr>
          <w:trHeight w:val="397"/>
          <w:jc w:val="center"/>
        </w:trPr>
        <w:tc>
          <w:tcPr>
            <w:tcW w:w="605" w:type="pct"/>
            <w:vAlign w:val="center"/>
          </w:tcPr>
          <w:p w14:paraId="6C896EA0" w14:textId="77777777" w:rsidR="009764AD" w:rsidRDefault="009764AD" w:rsidP="009764AD">
            <w:pPr>
              <w:jc w:val="center"/>
            </w:pPr>
            <w:r>
              <w:lastRenderedPageBreak/>
              <w:t>海螺新材</w:t>
            </w:r>
          </w:p>
        </w:tc>
        <w:tc>
          <w:tcPr>
            <w:tcW w:w="2972" w:type="pct"/>
            <w:vAlign w:val="center"/>
          </w:tcPr>
          <w:p w14:paraId="6F65F293" w14:textId="77777777" w:rsidR="009764AD" w:rsidRDefault="009764AD" w:rsidP="009764AD">
            <w:r>
              <w:t>在缅甸和泰国分别建立生产基地</w:t>
            </w:r>
          </w:p>
        </w:tc>
        <w:tc>
          <w:tcPr>
            <w:tcW w:w="1423" w:type="pct"/>
            <w:vAlign w:val="center"/>
          </w:tcPr>
          <w:p w14:paraId="19D282D6" w14:textId="6345E790" w:rsidR="009764AD" w:rsidRDefault="009764AD" w:rsidP="000E0DBA">
            <w:r w:rsidRPr="00113A26">
              <w:t>已完成建设</w:t>
            </w:r>
            <w:r w:rsidRPr="00113A26">
              <w:rPr>
                <w:rFonts w:hint="eastAsia"/>
              </w:rPr>
              <w:t>缅甸海螺、泰国海螺两个海外生产基地并投入使用</w:t>
            </w:r>
          </w:p>
        </w:tc>
      </w:tr>
      <w:tr w:rsidR="009764AD" w14:paraId="632B4670" w14:textId="3BF2110D" w:rsidTr="000E0DBA">
        <w:trPr>
          <w:trHeight w:val="397"/>
          <w:jc w:val="center"/>
        </w:trPr>
        <w:tc>
          <w:tcPr>
            <w:tcW w:w="605" w:type="pct"/>
            <w:vAlign w:val="center"/>
          </w:tcPr>
          <w:p w14:paraId="6E3B8B7D" w14:textId="77777777" w:rsidR="009764AD" w:rsidRDefault="009764AD" w:rsidP="009764AD">
            <w:pPr>
              <w:jc w:val="center"/>
            </w:pPr>
            <w:proofErr w:type="gramStart"/>
            <w:r>
              <w:t>鑫铂股份</w:t>
            </w:r>
            <w:proofErr w:type="gramEnd"/>
          </w:p>
        </w:tc>
        <w:tc>
          <w:tcPr>
            <w:tcW w:w="2972" w:type="pct"/>
            <w:vAlign w:val="center"/>
          </w:tcPr>
          <w:p w14:paraId="7D633D15" w14:textId="77777777" w:rsidR="009764AD" w:rsidRDefault="009764AD" w:rsidP="009764AD">
            <w:proofErr w:type="gramStart"/>
            <w:r>
              <w:t>拟推进</w:t>
            </w:r>
            <w:proofErr w:type="gramEnd"/>
            <w:r>
              <w:t>在越南和马来西亚生产基地建设</w:t>
            </w:r>
          </w:p>
        </w:tc>
        <w:tc>
          <w:tcPr>
            <w:tcW w:w="1423" w:type="pct"/>
            <w:vAlign w:val="center"/>
          </w:tcPr>
          <w:p w14:paraId="508505BD" w14:textId="0BD15CC0" w:rsidR="009764AD" w:rsidRDefault="009764AD" w:rsidP="000E0DBA">
            <w:r w:rsidRPr="00113A26">
              <w:t>暂未披露具体投产日期，</w:t>
            </w:r>
            <w:r w:rsidRPr="00113A26">
              <w:rPr>
                <w:rFonts w:hint="eastAsia"/>
              </w:rPr>
              <w:t>公司将根据市场需求和业务进展等具体情况分阶段实施建设越南和马来西亚的生产基地</w:t>
            </w:r>
          </w:p>
        </w:tc>
      </w:tr>
      <w:tr w:rsidR="009764AD" w14:paraId="0E0E80F2" w14:textId="1A39F5EF" w:rsidTr="000E0DBA">
        <w:trPr>
          <w:trHeight w:val="397"/>
          <w:jc w:val="center"/>
        </w:trPr>
        <w:tc>
          <w:tcPr>
            <w:tcW w:w="605" w:type="pct"/>
            <w:vAlign w:val="center"/>
          </w:tcPr>
          <w:p w14:paraId="0E3A219D" w14:textId="77777777" w:rsidR="009764AD" w:rsidRDefault="009764AD" w:rsidP="009764AD">
            <w:pPr>
              <w:jc w:val="center"/>
              <w:rPr>
                <w:b/>
                <w:bCs/>
              </w:rPr>
            </w:pPr>
            <w:r>
              <w:rPr>
                <w:b/>
                <w:bCs/>
              </w:rPr>
              <w:t>光伏浆料</w:t>
            </w:r>
          </w:p>
        </w:tc>
        <w:tc>
          <w:tcPr>
            <w:tcW w:w="2972" w:type="pct"/>
            <w:vAlign w:val="center"/>
          </w:tcPr>
          <w:p w14:paraId="67283F3A" w14:textId="77777777" w:rsidR="009764AD" w:rsidRDefault="009764AD" w:rsidP="009764AD">
            <w:pPr>
              <w:jc w:val="center"/>
              <w:rPr>
                <w:b/>
                <w:bCs/>
              </w:rPr>
            </w:pPr>
            <w:r>
              <w:rPr>
                <w:b/>
                <w:bCs/>
              </w:rPr>
              <w:t>境外产业布局</w:t>
            </w:r>
          </w:p>
        </w:tc>
        <w:tc>
          <w:tcPr>
            <w:tcW w:w="1423" w:type="pct"/>
            <w:vAlign w:val="center"/>
          </w:tcPr>
          <w:p w14:paraId="3C9C963C" w14:textId="77777777" w:rsidR="009764AD" w:rsidRDefault="009764AD" w:rsidP="000E0DBA">
            <w:pPr>
              <w:rPr>
                <w:b/>
                <w:bCs/>
              </w:rPr>
            </w:pPr>
          </w:p>
        </w:tc>
      </w:tr>
      <w:tr w:rsidR="009764AD" w14:paraId="2B15FCA8" w14:textId="5E3C4F6A" w:rsidTr="000E0DBA">
        <w:trPr>
          <w:trHeight w:val="397"/>
          <w:jc w:val="center"/>
        </w:trPr>
        <w:tc>
          <w:tcPr>
            <w:tcW w:w="605" w:type="pct"/>
            <w:vAlign w:val="center"/>
          </w:tcPr>
          <w:p w14:paraId="5D757477" w14:textId="77777777" w:rsidR="009764AD" w:rsidRDefault="009764AD" w:rsidP="009764AD">
            <w:pPr>
              <w:jc w:val="center"/>
            </w:pPr>
            <w:r>
              <w:t>苏州固锝</w:t>
            </w:r>
          </w:p>
        </w:tc>
        <w:tc>
          <w:tcPr>
            <w:tcW w:w="2972" w:type="pct"/>
            <w:vAlign w:val="center"/>
          </w:tcPr>
          <w:p w14:paraId="7E01EE0A" w14:textId="77777777" w:rsidR="009764AD" w:rsidRDefault="009764AD" w:rsidP="009764AD">
            <w:r>
              <w:t>在海外开拓生产基地</w:t>
            </w:r>
          </w:p>
        </w:tc>
        <w:tc>
          <w:tcPr>
            <w:tcW w:w="1423" w:type="pct"/>
            <w:vAlign w:val="center"/>
          </w:tcPr>
          <w:p w14:paraId="4ABF8A9F" w14:textId="48779B1B" w:rsidR="009764AD" w:rsidRDefault="009764AD" w:rsidP="000E0DBA">
            <w:r w:rsidRPr="00113A26">
              <w:rPr>
                <w:rFonts w:hint="eastAsia"/>
              </w:rPr>
              <w:t>已于</w:t>
            </w:r>
            <w:r w:rsidRPr="00113A26">
              <w:rPr>
                <w:rFonts w:hint="eastAsia"/>
              </w:rPr>
              <w:t>2</w:t>
            </w:r>
            <w:r w:rsidRPr="00113A26">
              <w:t>023</w:t>
            </w:r>
            <w:r w:rsidRPr="00113A26">
              <w:t>年</w:t>
            </w:r>
            <w:r w:rsidRPr="00113A26">
              <w:rPr>
                <w:rFonts w:hint="eastAsia"/>
              </w:rPr>
              <w:t>8</w:t>
            </w:r>
            <w:r w:rsidRPr="00113A26">
              <w:t>月</w:t>
            </w:r>
            <w:r w:rsidRPr="00113A26">
              <w:rPr>
                <w:rFonts w:hint="eastAsia"/>
              </w:rPr>
              <w:t>完成马来西亚公司对外投资所涉境外投资项目相关备案、登记手续</w:t>
            </w:r>
            <w:r w:rsidR="009B0D8B">
              <w:rPr>
                <w:rFonts w:hint="eastAsia"/>
              </w:rPr>
              <w:t>，</w:t>
            </w:r>
            <w:r w:rsidR="009B0D8B" w:rsidRPr="00113A26">
              <w:t>暂未披露具体投产日期</w:t>
            </w:r>
          </w:p>
        </w:tc>
      </w:tr>
      <w:tr w:rsidR="009764AD" w14:paraId="05B98F04" w14:textId="3135CBEE" w:rsidTr="000E0DBA">
        <w:trPr>
          <w:trHeight w:val="397"/>
          <w:jc w:val="center"/>
        </w:trPr>
        <w:tc>
          <w:tcPr>
            <w:tcW w:w="605" w:type="pct"/>
            <w:vAlign w:val="center"/>
          </w:tcPr>
          <w:p w14:paraId="058A78CD" w14:textId="77777777" w:rsidR="009764AD" w:rsidRDefault="009764AD" w:rsidP="009764AD">
            <w:pPr>
              <w:jc w:val="center"/>
            </w:pPr>
            <w:proofErr w:type="gramStart"/>
            <w:r>
              <w:t>聚和材料</w:t>
            </w:r>
            <w:proofErr w:type="gramEnd"/>
          </w:p>
        </w:tc>
        <w:tc>
          <w:tcPr>
            <w:tcW w:w="2972" w:type="pct"/>
            <w:vAlign w:val="center"/>
          </w:tcPr>
          <w:p w14:paraId="2C48F3B1" w14:textId="77777777" w:rsidR="009764AD" w:rsidRDefault="009764AD" w:rsidP="009764AD">
            <w:r>
              <w:t>在泰国新设工厂，年产能约</w:t>
            </w:r>
            <w:r>
              <w:t>600</w:t>
            </w:r>
            <w:r>
              <w:t>吨</w:t>
            </w:r>
          </w:p>
        </w:tc>
        <w:tc>
          <w:tcPr>
            <w:tcW w:w="1423" w:type="pct"/>
            <w:vAlign w:val="center"/>
          </w:tcPr>
          <w:p w14:paraId="77DD3EF3" w14:textId="20523240" w:rsidR="009764AD" w:rsidRDefault="009764AD" w:rsidP="000E0DBA">
            <w:r w:rsidRPr="00113A26">
              <w:t>预计</w:t>
            </w:r>
            <w:r w:rsidRPr="00113A26">
              <w:rPr>
                <w:rFonts w:hint="eastAsia"/>
              </w:rPr>
              <w:t>2</w:t>
            </w:r>
            <w:r w:rsidRPr="00113A26">
              <w:t>023</w:t>
            </w:r>
            <w:r w:rsidRPr="00113A26">
              <w:t>年</w:t>
            </w:r>
            <w:r w:rsidRPr="00113A26">
              <w:rPr>
                <w:rFonts w:hint="eastAsia"/>
              </w:rPr>
              <w:t>4</w:t>
            </w:r>
            <w:r w:rsidRPr="00113A26">
              <w:t>季度投入使用</w:t>
            </w:r>
          </w:p>
        </w:tc>
      </w:tr>
    </w:tbl>
    <w:p w14:paraId="3AB04B65" w14:textId="77777777" w:rsidR="00FC5A62" w:rsidRDefault="00C76273" w:rsidP="008A1A3A">
      <w:pPr>
        <w:jc w:val="left"/>
        <w:rPr>
          <w:sz w:val="24"/>
        </w:rPr>
      </w:pPr>
      <w:r>
        <w:t>（信息来源：公开信息、公司官网、</w:t>
      </w:r>
      <w:r>
        <w:t>Wind</w:t>
      </w:r>
      <w:r>
        <w:t>、年度报告）</w:t>
      </w:r>
    </w:p>
    <w:p w14:paraId="75D31B32" w14:textId="632DFBC1" w:rsidR="009B0D8B" w:rsidRDefault="009B0D8B" w:rsidP="00371B02">
      <w:pPr>
        <w:spacing w:beforeLines="50" w:before="156" w:afterLines="50" w:after="156" w:line="360" w:lineRule="auto"/>
        <w:ind w:firstLineChars="200" w:firstLine="480"/>
        <w:rPr>
          <w:sz w:val="24"/>
        </w:rPr>
      </w:pPr>
      <w:r>
        <w:rPr>
          <w:rFonts w:hint="eastAsia"/>
          <w:sz w:val="24"/>
        </w:rPr>
        <w:t>如上表所示，境内主要头部辅材供应商均已在海外布局生产基地，多数供应商已于</w:t>
      </w:r>
      <w:r>
        <w:rPr>
          <w:rFonts w:hint="eastAsia"/>
          <w:sz w:val="24"/>
        </w:rPr>
        <w:t>2</w:t>
      </w:r>
      <w:r>
        <w:rPr>
          <w:sz w:val="24"/>
        </w:rPr>
        <w:t>023</w:t>
      </w:r>
      <w:r>
        <w:rPr>
          <w:rFonts w:hint="eastAsia"/>
          <w:sz w:val="24"/>
        </w:rPr>
        <w:t>年内或于</w:t>
      </w:r>
      <w:r>
        <w:rPr>
          <w:sz w:val="24"/>
        </w:rPr>
        <w:t>2024</w:t>
      </w:r>
      <w:r>
        <w:rPr>
          <w:sz w:val="24"/>
        </w:rPr>
        <w:t>年</w:t>
      </w:r>
      <w:r>
        <w:rPr>
          <w:sz w:val="24"/>
        </w:rPr>
        <w:t>6</w:t>
      </w:r>
      <w:r>
        <w:rPr>
          <w:sz w:val="24"/>
        </w:rPr>
        <w:t>月</w:t>
      </w:r>
      <w:r>
        <w:rPr>
          <w:sz w:val="24"/>
        </w:rPr>
        <w:t>6</w:t>
      </w:r>
      <w:r>
        <w:rPr>
          <w:sz w:val="24"/>
        </w:rPr>
        <w:t>日</w:t>
      </w:r>
      <w:r>
        <w:rPr>
          <w:rFonts w:hint="eastAsia"/>
          <w:sz w:val="24"/>
        </w:rPr>
        <w:t>美国</w:t>
      </w:r>
      <w:proofErr w:type="gramStart"/>
      <w:r>
        <w:rPr>
          <w:sz w:val="24"/>
        </w:rPr>
        <w:t>双反税</w:t>
      </w:r>
      <w:proofErr w:type="gramEnd"/>
      <w:r>
        <w:rPr>
          <w:sz w:val="24"/>
        </w:rPr>
        <w:t>豁免期</w:t>
      </w:r>
      <w:r>
        <w:rPr>
          <w:rFonts w:hint="eastAsia"/>
          <w:sz w:val="24"/>
        </w:rPr>
        <w:t>结束前实现投产。</w:t>
      </w:r>
    </w:p>
    <w:p w14:paraId="18492B59" w14:textId="781AF60D" w:rsidR="00FC5A62" w:rsidRDefault="009B0D8B" w:rsidP="00371B02">
      <w:pPr>
        <w:spacing w:beforeLines="50" w:before="156" w:afterLines="50" w:after="156" w:line="360" w:lineRule="auto"/>
        <w:ind w:firstLineChars="200" w:firstLine="480"/>
        <w:rPr>
          <w:sz w:val="24"/>
        </w:rPr>
      </w:pPr>
      <w:r>
        <w:rPr>
          <w:rFonts w:hint="eastAsia"/>
          <w:sz w:val="24"/>
        </w:rPr>
        <w:t>此外，</w:t>
      </w:r>
      <w:r>
        <w:rPr>
          <w:sz w:val="24"/>
        </w:rPr>
        <w:t>标的公司</w:t>
      </w:r>
      <w:r>
        <w:rPr>
          <w:rFonts w:hint="eastAsia"/>
          <w:sz w:val="24"/>
        </w:rPr>
        <w:t>亦</w:t>
      </w:r>
      <w:r>
        <w:rPr>
          <w:sz w:val="24"/>
        </w:rPr>
        <w:t>正在积极建立海外供应</w:t>
      </w:r>
      <w:proofErr w:type="gramStart"/>
      <w:r>
        <w:rPr>
          <w:sz w:val="24"/>
        </w:rPr>
        <w:t>商资源</w:t>
      </w:r>
      <w:proofErr w:type="gramEnd"/>
      <w:r>
        <w:rPr>
          <w:sz w:val="24"/>
        </w:rPr>
        <w:t>库，截止本回复出具之日，</w:t>
      </w:r>
      <w:r>
        <w:rPr>
          <w:rFonts w:hint="eastAsia"/>
          <w:sz w:val="24"/>
        </w:rPr>
        <w:t>标的公司</w:t>
      </w:r>
      <w:r>
        <w:rPr>
          <w:sz w:val="24"/>
        </w:rPr>
        <w:t>已经确定了一批新的供应商提供未来的供应链服务。根据现有供应商的海外产能建设进度，标的公司预计在</w:t>
      </w:r>
      <w:r>
        <w:rPr>
          <w:sz w:val="24"/>
        </w:rPr>
        <w:t>2024</w:t>
      </w:r>
      <w:r>
        <w:rPr>
          <w:sz w:val="24"/>
        </w:rPr>
        <w:t>年第</w:t>
      </w:r>
      <w:r>
        <w:rPr>
          <w:rFonts w:hint="eastAsia"/>
          <w:sz w:val="24"/>
        </w:rPr>
        <w:t>一</w:t>
      </w:r>
      <w:r>
        <w:rPr>
          <w:sz w:val="24"/>
        </w:rPr>
        <w:t>季度完成</w:t>
      </w:r>
      <w:r>
        <w:rPr>
          <w:sz w:val="24"/>
        </w:rPr>
        <w:t>4</w:t>
      </w:r>
      <w:r>
        <w:rPr>
          <w:sz w:val="24"/>
        </w:rPr>
        <w:t>种以上辅材的海外采购供应链布局调整。该等布局调整完成后，</w:t>
      </w:r>
      <w:r>
        <w:rPr>
          <w:rFonts w:hint="eastAsia"/>
          <w:sz w:val="24"/>
        </w:rPr>
        <w:t>标的公司</w:t>
      </w:r>
      <w:r>
        <w:rPr>
          <w:sz w:val="24"/>
        </w:rPr>
        <w:t>将符合最终裁定中确认的不会被认</w:t>
      </w:r>
      <w:r>
        <w:rPr>
          <w:rFonts w:hint="eastAsia"/>
          <w:sz w:val="24"/>
        </w:rPr>
        <w:t>定</w:t>
      </w:r>
      <w:r>
        <w:rPr>
          <w:sz w:val="24"/>
        </w:rPr>
        <w:t>存在</w:t>
      </w:r>
      <w:proofErr w:type="gramStart"/>
      <w:r>
        <w:rPr>
          <w:rFonts w:hint="eastAsia"/>
          <w:sz w:val="24"/>
        </w:rPr>
        <w:t>双</w:t>
      </w:r>
      <w:r>
        <w:rPr>
          <w:sz w:val="24"/>
        </w:rPr>
        <w:t>反规避</w:t>
      </w:r>
      <w:proofErr w:type="gramEnd"/>
      <w:r>
        <w:rPr>
          <w:sz w:val="24"/>
        </w:rPr>
        <w:t>行为</w:t>
      </w:r>
      <w:r>
        <w:rPr>
          <w:rFonts w:hint="eastAsia"/>
          <w:sz w:val="24"/>
        </w:rPr>
        <w:t>的</w:t>
      </w:r>
      <w:r>
        <w:rPr>
          <w:sz w:val="24"/>
        </w:rPr>
        <w:t>要求，从而免于被征收</w:t>
      </w:r>
      <w:proofErr w:type="gramStart"/>
      <w:r>
        <w:rPr>
          <w:sz w:val="24"/>
        </w:rPr>
        <w:t>双反税</w:t>
      </w:r>
      <w:proofErr w:type="gramEnd"/>
      <w:r>
        <w:rPr>
          <w:sz w:val="24"/>
        </w:rPr>
        <w:t>。</w:t>
      </w:r>
    </w:p>
    <w:p w14:paraId="4A10BE03" w14:textId="77777777" w:rsidR="00FC5A62" w:rsidRDefault="00C76273" w:rsidP="00D97102">
      <w:pPr>
        <w:spacing w:beforeLines="50" w:before="156" w:afterLines="50" w:after="156" w:line="360" w:lineRule="auto"/>
        <w:ind w:firstLineChars="200" w:firstLine="482"/>
        <w:outlineLvl w:val="4"/>
        <w:rPr>
          <w:b/>
          <w:bCs/>
          <w:sz w:val="24"/>
        </w:rPr>
      </w:pPr>
      <w:r>
        <w:rPr>
          <w:b/>
          <w:bCs/>
          <w:sz w:val="24"/>
        </w:rPr>
        <w:t>3</w:t>
      </w:r>
      <w:r>
        <w:rPr>
          <w:b/>
          <w:bCs/>
          <w:sz w:val="24"/>
        </w:rPr>
        <w:t>、其他措施</w:t>
      </w:r>
    </w:p>
    <w:p w14:paraId="7F565A45" w14:textId="03760856" w:rsidR="00FC5A62" w:rsidRDefault="00C76273" w:rsidP="00D97102">
      <w:pPr>
        <w:spacing w:beforeLines="50" w:before="156" w:afterLines="50" w:after="156" w:line="360" w:lineRule="auto"/>
        <w:ind w:firstLineChars="200" w:firstLine="480"/>
        <w:rPr>
          <w:sz w:val="24"/>
        </w:rPr>
      </w:pPr>
      <w:r>
        <w:rPr>
          <w:sz w:val="24"/>
        </w:rPr>
        <w:t>为应对贸易摩擦带来的影响，标的公司积极在产品差异化、市场全球化、产业海外化方面</w:t>
      </w:r>
      <w:r>
        <w:rPr>
          <w:rFonts w:hint="eastAsia"/>
          <w:sz w:val="24"/>
        </w:rPr>
        <w:t>进行加强</w:t>
      </w:r>
      <w:r>
        <w:rPr>
          <w:sz w:val="24"/>
        </w:rPr>
        <w:t>。</w:t>
      </w:r>
    </w:p>
    <w:p w14:paraId="2ED1F976" w14:textId="77777777" w:rsidR="00FC5A62" w:rsidRPr="008A1A3A" w:rsidRDefault="00C76273" w:rsidP="00D97102">
      <w:pPr>
        <w:spacing w:beforeLines="50" w:before="156" w:afterLines="50" w:after="156" w:line="360" w:lineRule="auto"/>
        <w:ind w:firstLineChars="200" w:firstLine="482"/>
        <w:rPr>
          <w:b/>
          <w:bCs/>
          <w:sz w:val="24"/>
        </w:rPr>
      </w:pPr>
      <w:r w:rsidRPr="008A1A3A">
        <w:rPr>
          <w:rFonts w:hint="eastAsia"/>
          <w:b/>
          <w:bCs/>
          <w:sz w:val="24"/>
        </w:rPr>
        <w:t>（</w:t>
      </w:r>
      <w:r w:rsidRPr="008A1A3A">
        <w:rPr>
          <w:b/>
          <w:bCs/>
          <w:sz w:val="24"/>
        </w:rPr>
        <w:t>1</w:t>
      </w:r>
      <w:r w:rsidRPr="008A1A3A">
        <w:rPr>
          <w:rFonts w:hint="eastAsia"/>
          <w:b/>
          <w:bCs/>
          <w:sz w:val="24"/>
        </w:rPr>
        <w:t>）加强研发能力</w:t>
      </w:r>
    </w:p>
    <w:p w14:paraId="485BE907" w14:textId="5B15A304" w:rsidR="00FC5A62" w:rsidRDefault="00C76273" w:rsidP="00D97102">
      <w:pPr>
        <w:spacing w:beforeLines="50" w:before="156" w:afterLines="50" w:after="156" w:line="360" w:lineRule="auto"/>
        <w:ind w:firstLineChars="200" w:firstLine="480"/>
        <w:rPr>
          <w:sz w:val="24"/>
        </w:rPr>
      </w:pPr>
      <w:r>
        <w:rPr>
          <w:sz w:val="24"/>
        </w:rPr>
        <w:t>标的公司不断完善其技术研发体系，包括但不限于</w:t>
      </w:r>
      <w:r>
        <w:rPr>
          <w:rFonts w:hint="eastAsia"/>
          <w:sz w:val="24"/>
        </w:rPr>
        <w:t>建立</w:t>
      </w:r>
      <w:r>
        <w:rPr>
          <w:sz w:val="24"/>
        </w:rPr>
        <w:t>硅片、电池、组件的研发中心，持续开展光</w:t>
      </w:r>
      <w:proofErr w:type="gramStart"/>
      <w:r>
        <w:rPr>
          <w:sz w:val="24"/>
        </w:rPr>
        <w:t>伏领域</w:t>
      </w:r>
      <w:proofErr w:type="gramEnd"/>
      <w:r>
        <w:rPr>
          <w:sz w:val="24"/>
        </w:rPr>
        <w:t>的技术开发及工艺改进工作。</w:t>
      </w:r>
      <w:r>
        <w:rPr>
          <w:rFonts w:hint="eastAsia"/>
          <w:sz w:val="24"/>
        </w:rPr>
        <w:t>通过</w:t>
      </w:r>
      <w:r>
        <w:rPr>
          <w:sz w:val="24"/>
        </w:rPr>
        <w:t>技术</w:t>
      </w:r>
      <w:r>
        <w:rPr>
          <w:rFonts w:hint="eastAsia"/>
          <w:sz w:val="24"/>
        </w:rPr>
        <w:t>提升</w:t>
      </w:r>
      <w:r>
        <w:rPr>
          <w:sz w:val="24"/>
        </w:rPr>
        <w:t>有效应对美国反规避关税政策带来的不利影响。</w:t>
      </w:r>
    </w:p>
    <w:p w14:paraId="09077E20" w14:textId="77777777" w:rsidR="00FC5A62" w:rsidRPr="008A1A3A" w:rsidRDefault="00C76273" w:rsidP="00D97102">
      <w:pPr>
        <w:spacing w:beforeLines="50" w:before="156" w:afterLines="50" w:after="156" w:line="360" w:lineRule="auto"/>
        <w:ind w:firstLineChars="200" w:firstLine="482"/>
        <w:rPr>
          <w:b/>
          <w:bCs/>
          <w:sz w:val="24"/>
        </w:rPr>
      </w:pPr>
      <w:r w:rsidRPr="008A1A3A">
        <w:rPr>
          <w:rFonts w:hint="eastAsia"/>
          <w:b/>
          <w:bCs/>
          <w:sz w:val="24"/>
        </w:rPr>
        <w:t>（</w:t>
      </w:r>
      <w:r w:rsidRPr="008A1A3A">
        <w:rPr>
          <w:b/>
          <w:bCs/>
          <w:sz w:val="24"/>
        </w:rPr>
        <w:t>2</w:t>
      </w:r>
      <w:r w:rsidRPr="008A1A3A">
        <w:rPr>
          <w:rFonts w:hint="eastAsia"/>
          <w:b/>
          <w:bCs/>
          <w:sz w:val="24"/>
        </w:rPr>
        <w:t>）推进全球化市场布局</w:t>
      </w:r>
    </w:p>
    <w:p w14:paraId="7F7E3729" w14:textId="664992C6" w:rsidR="00FC5A62" w:rsidRDefault="00C76273" w:rsidP="00D97102">
      <w:pPr>
        <w:spacing w:beforeLines="50" w:before="156" w:afterLines="50" w:after="156" w:line="360" w:lineRule="auto"/>
        <w:ind w:firstLineChars="200" w:firstLine="480"/>
        <w:rPr>
          <w:sz w:val="24"/>
        </w:rPr>
      </w:pPr>
      <w:r>
        <w:rPr>
          <w:sz w:val="24"/>
        </w:rPr>
        <w:t>标的公司持续推进全球化的发展战略，基于美国、欧洲等传统市场的同时，积极布局东南亚、</w:t>
      </w:r>
      <w:r w:rsidR="006720EC">
        <w:rPr>
          <w:sz w:val="24"/>
        </w:rPr>
        <w:t>中</w:t>
      </w:r>
      <w:r w:rsidR="006720EC">
        <w:rPr>
          <w:rFonts w:hint="eastAsia"/>
          <w:sz w:val="24"/>
        </w:rPr>
        <w:t>东、印度</w:t>
      </w:r>
      <w:r>
        <w:rPr>
          <w:sz w:val="24"/>
        </w:rPr>
        <w:t>等地区新兴市场。标的公司全球化的市场布局策略有利于抵消部分国家或地区市场关税政策波动，以及美国反规避关税政策等因素</w:t>
      </w:r>
      <w:r>
        <w:rPr>
          <w:sz w:val="24"/>
        </w:rPr>
        <w:lastRenderedPageBreak/>
        <w:t>的影响，使标的公司的业务保持长期健康稳定的发展。</w:t>
      </w:r>
    </w:p>
    <w:p w14:paraId="2817202C" w14:textId="77777777" w:rsidR="00FC5A62" w:rsidRPr="008A1A3A" w:rsidRDefault="00C76273" w:rsidP="00D97102">
      <w:pPr>
        <w:spacing w:beforeLines="50" w:before="156" w:afterLines="50" w:after="156" w:line="360" w:lineRule="auto"/>
        <w:ind w:firstLineChars="200" w:firstLine="482"/>
        <w:rPr>
          <w:b/>
          <w:bCs/>
          <w:sz w:val="24"/>
        </w:rPr>
      </w:pPr>
      <w:r w:rsidRPr="008A1A3A">
        <w:rPr>
          <w:rFonts w:hint="eastAsia"/>
          <w:b/>
          <w:bCs/>
          <w:sz w:val="24"/>
        </w:rPr>
        <w:t>（</w:t>
      </w:r>
      <w:r w:rsidRPr="008A1A3A">
        <w:rPr>
          <w:b/>
          <w:bCs/>
          <w:sz w:val="24"/>
        </w:rPr>
        <w:t>3</w:t>
      </w:r>
      <w:r w:rsidRPr="008A1A3A">
        <w:rPr>
          <w:rFonts w:hint="eastAsia"/>
          <w:b/>
          <w:bCs/>
          <w:sz w:val="24"/>
        </w:rPr>
        <w:t>）建立海外生产基地</w:t>
      </w:r>
    </w:p>
    <w:p w14:paraId="1A3A10A1" w14:textId="4F560854" w:rsidR="00FC5A62" w:rsidRDefault="00C76273" w:rsidP="00D97102">
      <w:pPr>
        <w:spacing w:beforeLines="50" w:before="156" w:afterLines="50" w:after="156" w:line="360" w:lineRule="auto"/>
        <w:ind w:firstLineChars="200" w:firstLine="480"/>
        <w:rPr>
          <w:sz w:val="24"/>
        </w:rPr>
      </w:pPr>
      <w:r>
        <w:rPr>
          <w:sz w:val="24"/>
        </w:rPr>
        <w:t>标的公司生产基地覆盖越南、柬埔寨等海外国家</w:t>
      </w:r>
      <w:r>
        <w:rPr>
          <w:rFonts w:hint="eastAsia"/>
          <w:sz w:val="24"/>
        </w:rPr>
        <w:t>，并</w:t>
      </w:r>
      <w:r>
        <w:rPr>
          <w:sz w:val="24"/>
        </w:rPr>
        <w:t>充分利用越南、柬埔寨在政策、物流等方面的优势，不断提升硅片、组件产能</w:t>
      </w:r>
      <w:r>
        <w:rPr>
          <w:rFonts w:hint="eastAsia"/>
          <w:sz w:val="24"/>
        </w:rPr>
        <w:t>。持续增加的海外产能</w:t>
      </w:r>
      <w:r>
        <w:rPr>
          <w:sz w:val="24"/>
        </w:rPr>
        <w:t>有利于增强标的公司应对关税政策和贸易摩擦的影响，</w:t>
      </w:r>
      <w:r>
        <w:rPr>
          <w:rFonts w:hint="eastAsia"/>
          <w:sz w:val="24"/>
        </w:rPr>
        <w:t>进而</w:t>
      </w:r>
      <w:r>
        <w:rPr>
          <w:sz w:val="24"/>
        </w:rPr>
        <w:t>提高标的公司抵抗风险的能力。</w:t>
      </w:r>
    </w:p>
    <w:p w14:paraId="409C9F65" w14:textId="77777777" w:rsidR="00FC5A62" w:rsidRPr="008A1A3A" w:rsidRDefault="00C76273" w:rsidP="00D97102">
      <w:pPr>
        <w:spacing w:beforeLines="50" w:before="156" w:afterLines="50" w:after="156" w:line="360" w:lineRule="auto"/>
        <w:ind w:firstLineChars="200" w:firstLine="482"/>
        <w:rPr>
          <w:b/>
          <w:bCs/>
          <w:sz w:val="24"/>
        </w:rPr>
      </w:pPr>
      <w:r w:rsidRPr="008A1A3A">
        <w:rPr>
          <w:rFonts w:hint="eastAsia"/>
          <w:b/>
          <w:bCs/>
          <w:sz w:val="24"/>
        </w:rPr>
        <w:t>（</w:t>
      </w:r>
      <w:r w:rsidRPr="008A1A3A">
        <w:rPr>
          <w:b/>
          <w:bCs/>
          <w:sz w:val="24"/>
        </w:rPr>
        <w:t>4</w:t>
      </w:r>
      <w:r w:rsidRPr="008A1A3A">
        <w:rPr>
          <w:rFonts w:hint="eastAsia"/>
          <w:b/>
          <w:bCs/>
          <w:sz w:val="24"/>
        </w:rPr>
        <w:t>）加强海外风险管控</w:t>
      </w:r>
    </w:p>
    <w:p w14:paraId="539BB44A" w14:textId="77777777" w:rsidR="00FC5A62" w:rsidRDefault="00C76273" w:rsidP="00D97102">
      <w:pPr>
        <w:spacing w:beforeLines="50" w:before="156" w:afterLines="50" w:after="156" w:line="360" w:lineRule="auto"/>
        <w:ind w:firstLineChars="200" w:firstLine="480"/>
        <w:rPr>
          <w:sz w:val="24"/>
        </w:rPr>
      </w:pPr>
      <w:r>
        <w:rPr>
          <w:sz w:val="24"/>
        </w:rPr>
        <w:t>标的公司在积极加强海外业务经营管理的同时，不断建立健全内部风险管控机制，密切关注海外项目所在国政府的政策等变化，提前对所在地区风险进行及时识别和判断，做好风险防控，积极加强防范以及应对境外经营所在国的关税及行业政策风险的能力。</w:t>
      </w:r>
    </w:p>
    <w:p w14:paraId="68BB4B0E" w14:textId="77777777" w:rsidR="00FC5A62" w:rsidRDefault="00C76273" w:rsidP="00D97102">
      <w:pPr>
        <w:spacing w:beforeLines="50" w:before="156" w:afterLines="50" w:after="156" w:line="360" w:lineRule="auto"/>
        <w:ind w:firstLineChars="200" w:firstLine="482"/>
        <w:outlineLvl w:val="3"/>
        <w:rPr>
          <w:b/>
          <w:bCs/>
          <w:sz w:val="24"/>
        </w:rPr>
      </w:pPr>
      <w:r>
        <w:rPr>
          <w:b/>
          <w:bCs/>
          <w:sz w:val="24"/>
        </w:rPr>
        <w:t>（三）</w:t>
      </w:r>
      <w:r>
        <w:rPr>
          <w:rFonts w:hint="eastAsia"/>
          <w:b/>
          <w:bCs/>
          <w:sz w:val="24"/>
        </w:rPr>
        <w:t>未来关税政策变化对</w:t>
      </w:r>
      <w:r>
        <w:rPr>
          <w:b/>
          <w:bCs/>
          <w:sz w:val="24"/>
        </w:rPr>
        <w:t>相关客户的采购意愿影响有限</w:t>
      </w:r>
    </w:p>
    <w:p w14:paraId="743B3AD7" w14:textId="77777777" w:rsidR="00FC5A62" w:rsidRDefault="00C76273" w:rsidP="00D97102">
      <w:pPr>
        <w:spacing w:beforeLines="50" w:before="156" w:afterLines="50" w:after="156" w:line="360" w:lineRule="auto"/>
        <w:ind w:firstLineChars="200" w:firstLine="482"/>
        <w:outlineLvl w:val="4"/>
        <w:rPr>
          <w:b/>
          <w:bCs/>
          <w:sz w:val="24"/>
        </w:rPr>
      </w:pPr>
      <w:r>
        <w:rPr>
          <w:b/>
          <w:bCs/>
          <w:sz w:val="24"/>
        </w:rPr>
        <w:t>1</w:t>
      </w:r>
      <w:r>
        <w:rPr>
          <w:b/>
          <w:bCs/>
          <w:sz w:val="24"/>
        </w:rPr>
        <w:t>、</w:t>
      </w:r>
      <w:r>
        <w:rPr>
          <w:rFonts w:hint="eastAsia"/>
          <w:b/>
          <w:bCs/>
          <w:sz w:val="24"/>
        </w:rPr>
        <w:t>标的公司与其客户已在销售</w:t>
      </w:r>
      <w:r>
        <w:rPr>
          <w:b/>
          <w:bCs/>
          <w:sz w:val="24"/>
        </w:rPr>
        <w:t>合同中</w:t>
      </w:r>
      <w:r>
        <w:rPr>
          <w:rFonts w:hint="eastAsia"/>
          <w:b/>
          <w:bCs/>
          <w:sz w:val="24"/>
        </w:rPr>
        <w:t>对</w:t>
      </w:r>
      <w:proofErr w:type="gramStart"/>
      <w:r>
        <w:rPr>
          <w:b/>
          <w:bCs/>
          <w:sz w:val="24"/>
        </w:rPr>
        <w:t>双反税</w:t>
      </w:r>
      <w:proofErr w:type="gramEnd"/>
      <w:r>
        <w:rPr>
          <w:rFonts w:hint="eastAsia"/>
          <w:b/>
          <w:bCs/>
          <w:sz w:val="24"/>
        </w:rPr>
        <w:t>应对措施予以明确</w:t>
      </w:r>
      <w:r>
        <w:rPr>
          <w:b/>
          <w:bCs/>
          <w:sz w:val="24"/>
        </w:rPr>
        <w:t>，保证</w:t>
      </w:r>
      <w:r>
        <w:rPr>
          <w:rFonts w:hint="eastAsia"/>
          <w:b/>
          <w:bCs/>
          <w:sz w:val="24"/>
        </w:rPr>
        <w:t>标的公司</w:t>
      </w:r>
      <w:r>
        <w:rPr>
          <w:b/>
          <w:bCs/>
          <w:sz w:val="24"/>
        </w:rPr>
        <w:t>与其客户间交易的稳定性</w:t>
      </w:r>
    </w:p>
    <w:p w14:paraId="1F4D3362" w14:textId="77777777" w:rsidR="00FC5A62" w:rsidRDefault="00C76273" w:rsidP="00D97102">
      <w:pPr>
        <w:spacing w:beforeLines="50" w:before="156" w:afterLines="50" w:after="156" w:line="360" w:lineRule="auto"/>
        <w:ind w:firstLineChars="200" w:firstLine="480"/>
        <w:rPr>
          <w:sz w:val="24"/>
        </w:rPr>
      </w:pPr>
      <w:r>
        <w:rPr>
          <w:sz w:val="24"/>
        </w:rPr>
        <w:t>截至</w:t>
      </w:r>
      <w:r>
        <w:rPr>
          <w:rFonts w:hint="eastAsia"/>
          <w:sz w:val="24"/>
        </w:rPr>
        <w:t>本回复出具之日</w:t>
      </w:r>
      <w:r>
        <w:rPr>
          <w:sz w:val="24"/>
        </w:rPr>
        <w:t>，</w:t>
      </w:r>
      <w:r>
        <w:rPr>
          <w:rFonts w:hint="eastAsia"/>
          <w:sz w:val="24"/>
        </w:rPr>
        <w:t>ET</w:t>
      </w:r>
      <w:r>
        <w:rPr>
          <w:rFonts w:hint="eastAsia"/>
          <w:sz w:val="24"/>
        </w:rPr>
        <w:t>加州</w:t>
      </w:r>
      <w:r>
        <w:rPr>
          <w:sz w:val="24"/>
        </w:rPr>
        <w:t>与其海外客户均采取</w:t>
      </w:r>
      <w:r>
        <w:rPr>
          <w:sz w:val="24"/>
        </w:rPr>
        <w:t>DDP</w:t>
      </w:r>
      <w:r>
        <w:rPr>
          <w:sz w:val="24"/>
        </w:rPr>
        <w:t>的销售模式，其中</w:t>
      </w:r>
      <w:r>
        <w:rPr>
          <w:rFonts w:hint="eastAsia"/>
          <w:sz w:val="24"/>
        </w:rPr>
        <w:t>ET</w:t>
      </w:r>
      <w:r>
        <w:rPr>
          <w:rFonts w:hint="eastAsia"/>
          <w:sz w:val="24"/>
        </w:rPr>
        <w:t>加州</w:t>
      </w:r>
      <w:r>
        <w:rPr>
          <w:sz w:val="24"/>
        </w:rPr>
        <w:t>作为卖方负责将货物交付给客户，并承担全部运输、清关和税费等方面的责任和成本。同时，</w:t>
      </w:r>
      <w:r>
        <w:rPr>
          <w:sz w:val="24"/>
        </w:rPr>
        <w:t>ET</w:t>
      </w:r>
      <w:r>
        <w:rPr>
          <w:sz w:val="24"/>
        </w:rPr>
        <w:t>加州与其海外客户签署的销售合同中通常都会对</w:t>
      </w:r>
      <w:proofErr w:type="gramStart"/>
      <w:r>
        <w:rPr>
          <w:sz w:val="24"/>
        </w:rPr>
        <w:t>双反</w:t>
      </w:r>
      <w:r>
        <w:rPr>
          <w:rFonts w:hint="eastAsia"/>
          <w:sz w:val="24"/>
        </w:rPr>
        <w:t>税</w:t>
      </w:r>
      <w:proofErr w:type="gramEnd"/>
      <w:r>
        <w:rPr>
          <w:sz w:val="24"/>
        </w:rPr>
        <w:t>应对措施进行相应的约定，即</w:t>
      </w:r>
      <w:r>
        <w:rPr>
          <w:rFonts w:hint="eastAsia"/>
          <w:sz w:val="24"/>
        </w:rPr>
        <w:t>“</w:t>
      </w:r>
      <w:r>
        <w:rPr>
          <w:sz w:val="24"/>
        </w:rPr>
        <w:t>如果产品未能在</w:t>
      </w:r>
      <w:r>
        <w:rPr>
          <w:sz w:val="24"/>
        </w:rPr>
        <w:t>2024</w:t>
      </w:r>
      <w:r>
        <w:rPr>
          <w:sz w:val="24"/>
        </w:rPr>
        <w:t>年</w:t>
      </w:r>
      <w:r>
        <w:rPr>
          <w:sz w:val="24"/>
        </w:rPr>
        <w:t>6</w:t>
      </w:r>
      <w:r>
        <w:rPr>
          <w:sz w:val="24"/>
        </w:rPr>
        <w:t>月</w:t>
      </w:r>
      <w:r>
        <w:rPr>
          <w:sz w:val="24"/>
        </w:rPr>
        <w:t>6</w:t>
      </w:r>
      <w:r>
        <w:rPr>
          <w:sz w:val="24"/>
        </w:rPr>
        <w:t>日之前按照</w:t>
      </w:r>
      <w:r>
        <w:rPr>
          <w:sz w:val="24"/>
        </w:rPr>
        <w:t>DDP</w:t>
      </w:r>
      <w:r>
        <w:rPr>
          <w:sz w:val="24"/>
        </w:rPr>
        <w:t>交货，且</w:t>
      </w:r>
      <w:r>
        <w:rPr>
          <w:rFonts w:hint="eastAsia"/>
          <w:sz w:val="24"/>
        </w:rPr>
        <w:t>美国</w:t>
      </w:r>
      <w:r>
        <w:rPr>
          <w:sz w:val="24"/>
        </w:rPr>
        <w:t>第</w:t>
      </w:r>
      <w:r>
        <w:rPr>
          <w:sz w:val="24"/>
        </w:rPr>
        <w:t>10414</w:t>
      </w:r>
      <w:r>
        <w:rPr>
          <w:sz w:val="24"/>
        </w:rPr>
        <w:t>号</w:t>
      </w:r>
      <w:r>
        <w:rPr>
          <w:rFonts w:hint="eastAsia"/>
          <w:sz w:val="24"/>
        </w:rPr>
        <w:t>总统</w:t>
      </w:r>
      <w:r>
        <w:rPr>
          <w:sz w:val="24"/>
        </w:rPr>
        <w:t>令给予的</w:t>
      </w:r>
      <w:r>
        <w:rPr>
          <w:sz w:val="24"/>
        </w:rPr>
        <w:t>24</w:t>
      </w:r>
      <w:r>
        <w:rPr>
          <w:sz w:val="24"/>
        </w:rPr>
        <w:t>个月的双反税豁免终止、暂停和</w:t>
      </w:r>
      <w:r>
        <w:rPr>
          <w:sz w:val="24"/>
        </w:rPr>
        <w:t>/</w:t>
      </w:r>
      <w:r>
        <w:rPr>
          <w:sz w:val="24"/>
        </w:rPr>
        <w:t>或撤销征收新关税，销售方应承担任何新关税金额</w:t>
      </w:r>
      <w:r>
        <w:rPr>
          <w:rFonts w:hint="eastAsia"/>
          <w:sz w:val="24"/>
        </w:rPr>
        <w:t>”</w:t>
      </w:r>
      <w:r>
        <w:rPr>
          <w:sz w:val="24"/>
        </w:rPr>
        <w:t>。综上，</w:t>
      </w:r>
      <w:r>
        <w:rPr>
          <w:rFonts w:hint="eastAsia"/>
          <w:sz w:val="24"/>
        </w:rPr>
        <w:t>标的公司</w:t>
      </w:r>
      <w:r>
        <w:rPr>
          <w:sz w:val="24"/>
        </w:rPr>
        <w:t>与其美国客户已就美国反规避关税政策相应形成了明确的应对机制，美国反规避关税政策不会成为</w:t>
      </w:r>
      <w:r>
        <w:rPr>
          <w:sz w:val="24"/>
        </w:rPr>
        <w:t>ET</w:t>
      </w:r>
      <w:r>
        <w:rPr>
          <w:sz w:val="24"/>
        </w:rPr>
        <w:t>加州与客户开展交易的实质性障碍。</w:t>
      </w:r>
    </w:p>
    <w:p w14:paraId="6FB8F204" w14:textId="77777777" w:rsidR="00FC5A62" w:rsidRDefault="00C76273" w:rsidP="00D97102">
      <w:pPr>
        <w:spacing w:beforeLines="50" w:before="156" w:afterLines="50" w:after="156" w:line="360" w:lineRule="auto"/>
        <w:ind w:firstLineChars="200" w:firstLine="482"/>
        <w:outlineLvl w:val="4"/>
        <w:rPr>
          <w:b/>
          <w:bCs/>
          <w:sz w:val="24"/>
        </w:rPr>
      </w:pPr>
      <w:r>
        <w:rPr>
          <w:rFonts w:hint="eastAsia"/>
          <w:b/>
          <w:bCs/>
          <w:sz w:val="24"/>
        </w:rPr>
        <w:t>2</w:t>
      </w:r>
      <w:r>
        <w:rPr>
          <w:rFonts w:hint="eastAsia"/>
          <w:b/>
          <w:bCs/>
          <w:sz w:val="24"/>
        </w:rPr>
        <w:t>、标的公司</w:t>
      </w:r>
      <w:r>
        <w:rPr>
          <w:b/>
          <w:bCs/>
          <w:sz w:val="24"/>
        </w:rPr>
        <w:t>在美国本土具有较高的市场地位及</w:t>
      </w:r>
      <w:r>
        <w:rPr>
          <w:rFonts w:hint="eastAsia"/>
          <w:b/>
          <w:bCs/>
          <w:sz w:val="24"/>
        </w:rPr>
        <w:t>市场</w:t>
      </w:r>
      <w:r>
        <w:rPr>
          <w:b/>
          <w:bCs/>
          <w:sz w:val="24"/>
        </w:rPr>
        <w:t>影响力</w:t>
      </w:r>
    </w:p>
    <w:p w14:paraId="2529853B" w14:textId="6CFEC1D2" w:rsidR="00FC5A62" w:rsidRDefault="00C76273" w:rsidP="00D97102">
      <w:pPr>
        <w:spacing w:beforeLines="50" w:before="156" w:afterLines="50" w:after="156" w:line="360" w:lineRule="auto"/>
        <w:ind w:firstLineChars="200" w:firstLine="480"/>
        <w:rPr>
          <w:sz w:val="24"/>
        </w:rPr>
      </w:pPr>
      <w:r>
        <w:rPr>
          <w:sz w:val="24"/>
        </w:rPr>
        <w:t>2022</w:t>
      </w:r>
      <w:r>
        <w:rPr>
          <w:sz w:val="24"/>
        </w:rPr>
        <w:t>年度，</w:t>
      </w:r>
      <w:r>
        <w:rPr>
          <w:rFonts w:hint="eastAsia"/>
          <w:sz w:val="24"/>
        </w:rPr>
        <w:t>标的公司</w:t>
      </w:r>
      <w:r>
        <w:rPr>
          <w:sz w:val="24"/>
        </w:rPr>
        <w:t>在美国市场的组件出货量为</w:t>
      </w:r>
      <w:r>
        <w:rPr>
          <w:rFonts w:hint="eastAsia"/>
          <w:sz w:val="24"/>
        </w:rPr>
        <w:t>8</w:t>
      </w:r>
      <w:r>
        <w:rPr>
          <w:sz w:val="24"/>
        </w:rPr>
        <w:t>15MW</w:t>
      </w:r>
      <w:r>
        <w:rPr>
          <w:sz w:val="24"/>
        </w:rPr>
        <w:t>，当年美国光伏新增装机容量为</w:t>
      </w:r>
      <w:r>
        <w:rPr>
          <w:sz w:val="24"/>
        </w:rPr>
        <w:t>20.2GW</w:t>
      </w:r>
      <w:r>
        <w:rPr>
          <w:sz w:val="24"/>
        </w:rPr>
        <w:t>，</w:t>
      </w:r>
      <w:r>
        <w:rPr>
          <w:rFonts w:hint="eastAsia"/>
          <w:sz w:val="24"/>
        </w:rPr>
        <w:t>标的公司</w:t>
      </w:r>
      <w:r>
        <w:rPr>
          <w:sz w:val="24"/>
        </w:rPr>
        <w:t>在美国的市场占有率约</w:t>
      </w:r>
      <w:r>
        <w:rPr>
          <w:rFonts w:hint="eastAsia"/>
          <w:sz w:val="24"/>
        </w:rPr>
        <w:t>为</w:t>
      </w:r>
      <w:r>
        <w:rPr>
          <w:rFonts w:hint="eastAsia"/>
          <w:sz w:val="24"/>
        </w:rPr>
        <w:t>4</w:t>
      </w:r>
      <w:r>
        <w:rPr>
          <w:sz w:val="24"/>
        </w:rPr>
        <w:t>%</w:t>
      </w:r>
      <w:r>
        <w:rPr>
          <w:sz w:val="24"/>
        </w:rPr>
        <w:t>。自</w:t>
      </w:r>
      <w:r>
        <w:rPr>
          <w:sz w:val="24"/>
        </w:rPr>
        <w:t>2012</w:t>
      </w:r>
      <w:r>
        <w:rPr>
          <w:sz w:val="24"/>
        </w:rPr>
        <w:t>年起，标的公司旗</w:t>
      </w:r>
      <w:proofErr w:type="gramStart"/>
      <w:r>
        <w:rPr>
          <w:sz w:val="24"/>
        </w:rPr>
        <w:t>下品牌</w:t>
      </w:r>
      <w:proofErr w:type="gramEnd"/>
      <w:r>
        <w:rPr>
          <w:sz w:val="24"/>
        </w:rPr>
        <w:t>ET Solar /</w:t>
      </w:r>
      <w:proofErr w:type="spellStart"/>
      <w:r>
        <w:rPr>
          <w:sz w:val="24"/>
        </w:rPr>
        <w:t>EliTe</w:t>
      </w:r>
      <w:proofErr w:type="spellEnd"/>
      <w:r>
        <w:rPr>
          <w:sz w:val="24"/>
        </w:rPr>
        <w:t xml:space="preserve"> Solar</w:t>
      </w:r>
      <w:r>
        <w:rPr>
          <w:sz w:val="24"/>
        </w:rPr>
        <w:t>连续十二年位列彭博新能源财经</w:t>
      </w:r>
      <w:r>
        <w:rPr>
          <w:sz w:val="24"/>
        </w:rPr>
        <w:t>“</w:t>
      </w:r>
      <w:r>
        <w:rPr>
          <w:sz w:val="24"/>
        </w:rPr>
        <w:t>全球一</w:t>
      </w:r>
      <w:r>
        <w:rPr>
          <w:sz w:val="24"/>
        </w:rPr>
        <w:lastRenderedPageBreak/>
        <w:t>线组件制造商</w:t>
      </w:r>
      <w:r>
        <w:rPr>
          <w:sz w:val="24"/>
        </w:rPr>
        <w:t>(BNEF Tier 1)”</w:t>
      </w:r>
      <w:r>
        <w:rPr>
          <w:sz w:val="24"/>
        </w:rPr>
        <w:t>；</w:t>
      </w:r>
      <w:r>
        <w:rPr>
          <w:sz w:val="24"/>
        </w:rPr>
        <w:t>2021-2023</w:t>
      </w:r>
      <w:r>
        <w:rPr>
          <w:sz w:val="24"/>
        </w:rPr>
        <w:t>年，其核心产品连续三年荣获全球权威独立光伏组件性能测试实验室</w:t>
      </w:r>
      <w:r>
        <w:rPr>
          <w:sz w:val="24"/>
        </w:rPr>
        <w:t>PVEL</w:t>
      </w:r>
      <w:r>
        <w:rPr>
          <w:sz w:val="24"/>
        </w:rPr>
        <w:t>认证的</w:t>
      </w:r>
      <w:r>
        <w:rPr>
          <w:sz w:val="24"/>
        </w:rPr>
        <w:t>“</w:t>
      </w:r>
      <w:r>
        <w:rPr>
          <w:sz w:val="24"/>
        </w:rPr>
        <w:t>全球最佳表现</w:t>
      </w:r>
      <w:r>
        <w:rPr>
          <w:sz w:val="24"/>
        </w:rPr>
        <w:t>”</w:t>
      </w:r>
      <w:r>
        <w:rPr>
          <w:sz w:val="24"/>
        </w:rPr>
        <w:t>组件制造商；</w:t>
      </w:r>
      <w:r>
        <w:rPr>
          <w:sz w:val="24"/>
        </w:rPr>
        <w:t>2022</w:t>
      </w:r>
      <w:r>
        <w:rPr>
          <w:sz w:val="24"/>
        </w:rPr>
        <w:t>年荣获全球权威调研机构</w:t>
      </w:r>
      <w:r>
        <w:rPr>
          <w:sz w:val="24"/>
        </w:rPr>
        <w:t>EUPD Research</w:t>
      </w:r>
      <w:r>
        <w:rPr>
          <w:sz w:val="24"/>
        </w:rPr>
        <w:t>认证的</w:t>
      </w:r>
      <w:r>
        <w:rPr>
          <w:sz w:val="24"/>
        </w:rPr>
        <w:t>“</w:t>
      </w:r>
      <w:r>
        <w:rPr>
          <w:sz w:val="24"/>
        </w:rPr>
        <w:t>美国地区顶级光伏品牌</w:t>
      </w:r>
      <w:r>
        <w:rPr>
          <w:sz w:val="24"/>
        </w:rPr>
        <w:t>”</w:t>
      </w:r>
      <w:r>
        <w:rPr>
          <w:sz w:val="24"/>
        </w:rPr>
        <w:t>。</w:t>
      </w:r>
    </w:p>
    <w:p w14:paraId="37BEA37C" w14:textId="77777777" w:rsidR="00FC5A62" w:rsidRDefault="00C76273" w:rsidP="00D97102">
      <w:pPr>
        <w:spacing w:beforeLines="50" w:before="156" w:afterLines="50" w:after="156" w:line="360" w:lineRule="auto"/>
        <w:ind w:firstLineChars="200" w:firstLine="480"/>
        <w:rPr>
          <w:sz w:val="24"/>
        </w:rPr>
      </w:pPr>
      <w:r>
        <w:rPr>
          <w:sz w:val="24"/>
        </w:rPr>
        <w:t>因此，基于自身实力以及自有品牌，</w:t>
      </w:r>
      <w:r>
        <w:rPr>
          <w:rFonts w:hint="eastAsia"/>
          <w:sz w:val="24"/>
        </w:rPr>
        <w:t>标的公司</w:t>
      </w:r>
      <w:r>
        <w:rPr>
          <w:sz w:val="24"/>
        </w:rPr>
        <w:t>在美国本土具有较高的市场地位以及相当的影响力，</w:t>
      </w:r>
      <w:r>
        <w:rPr>
          <w:rFonts w:hint="eastAsia"/>
          <w:sz w:val="24"/>
        </w:rPr>
        <w:t>这有助于其</w:t>
      </w:r>
      <w:r>
        <w:rPr>
          <w:sz w:val="24"/>
        </w:rPr>
        <w:t>维持现有客户群体的稳定，同时增强自身对于新客户的吸引力。</w:t>
      </w:r>
    </w:p>
    <w:p w14:paraId="085CB295" w14:textId="77777777" w:rsidR="00FC5A62" w:rsidRDefault="00C76273" w:rsidP="00D97102">
      <w:pPr>
        <w:spacing w:beforeLines="50" w:before="156" w:afterLines="50" w:after="156" w:line="360" w:lineRule="auto"/>
        <w:ind w:firstLineChars="200" w:firstLine="482"/>
        <w:outlineLvl w:val="3"/>
        <w:rPr>
          <w:b/>
          <w:bCs/>
          <w:sz w:val="24"/>
        </w:rPr>
      </w:pPr>
      <w:r>
        <w:rPr>
          <w:b/>
          <w:bCs/>
          <w:sz w:val="24"/>
        </w:rPr>
        <w:t>（四）标的公司未来业绩预期较为稳定</w:t>
      </w:r>
    </w:p>
    <w:p w14:paraId="673BBDD1" w14:textId="776A047E" w:rsidR="00FC5A62" w:rsidRDefault="00C76273" w:rsidP="00D97102">
      <w:pPr>
        <w:spacing w:beforeLines="50" w:before="156" w:afterLines="50" w:after="156" w:line="360" w:lineRule="auto"/>
        <w:ind w:firstLineChars="200" w:firstLine="482"/>
        <w:outlineLvl w:val="4"/>
        <w:rPr>
          <w:b/>
          <w:bCs/>
          <w:sz w:val="24"/>
        </w:rPr>
      </w:pPr>
      <w:r>
        <w:rPr>
          <w:b/>
          <w:bCs/>
          <w:sz w:val="24"/>
        </w:rPr>
        <w:t>1</w:t>
      </w:r>
      <w:r>
        <w:rPr>
          <w:b/>
          <w:bCs/>
          <w:sz w:val="24"/>
        </w:rPr>
        <w:t>、标的公司预期销售成本波动较为可控</w:t>
      </w:r>
    </w:p>
    <w:p w14:paraId="79EDE3E6" w14:textId="393B46B1" w:rsidR="00FC5A62" w:rsidRDefault="00C76273" w:rsidP="00D97102">
      <w:pPr>
        <w:spacing w:beforeLines="50" w:before="156" w:afterLines="50" w:after="156" w:line="360" w:lineRule="auto"/>
        <w:ind w:firstLineChars="200" w:firstLine="480"/>
        <w:rPr>
          <w:sz w:val="24"/>
        </w:rPr>
      </w:pPr>
      <w:r>
        <w:rPr>
          <w:sz w:val="24"/>
        </w:rPr>
        <w:t>由于标的公司在美国的光伏组件的销售采用</w:t>
      </w:r>
      <w:r>
        <w:rPr>
          <w:sz w:val="24"/>
        </w:rPr>
        <w:t>DDP</w:t>
      </w:r>
      <w:r>
        <w:rPr>
          <w:sz w:val="24"/>
        </w:rPr>
        <w:t>模式，由标的公司承担全部运输、清关和税费等方面的责任和成本。若标的公司受到</w:t>
      </w:r>
      <w:r>
        <w:rPr>
          <w:rFonts w:hint="eastAsia"/>
          <w:sz w:val="24"/>
        </w:rPr>
        <w:t>美国</w:t>
      </w:r>
      <w:proofErr w:type="gramStart"/>
      <w:r>
        <w:rPr>
          <w:sz w:val="24"/>
        </w:rPr>
        <w:t>双反税</w:t>
      </w:r>
      <w:proofErr w:type="gramEnd"/>
      <w:r>
        <w:rPr>
          <w:sz w:val="24"/>
        </w:rPr>
        <w:t>影响，则其在</w:t>
      </w:r>
      <w:r>
        <w:rPr>
          <w:rFonts w:hint="eastAsia"/>
          <w:sz w:val="24"/>
        </w:rPr>
        <w:t>对美</w:t>
      </w:r>
      <w:r>
        <w:rPr>
          <w:sz w:val="24"/>
        </w:rPr>
        <w:t>贸易过程中所应承担的成本将大幅增加，进而影响到标的公司短期内的预期成本。</w:t>
      </w:r>
    </w:p>
    <w:p w14:paraId="364CDAC1" w14:textId="2B7DABE8" w:rsidR="00FC5A62" w:rsidRDefault="00C76273" w:rsidP="00D97102">
      <w:pPr>
        <w:spacing w:beforeLines="50" w:before="156" w:afterLines="50" w:after="156" w:line="360" w:lineRule="auto"/>
        <w:ind w:firstLineChars="200" w:firstLine="480"/>
        <w:rPr>
          <w:sz w:val="24"/>
        </w:rPr>
      </w:pPr>
      <w:r>
        <w:rPr>
          <w:sz w:val="24"/>
        </w:rPr>
        <w:t>但就</w:t>
      </w:r>
      <w:r>
        <w:rPr>
          <w:sz w:val="24"/>
        </w:rPr>
        <w:t>2024</w:t>
      </w:r>
      <w:r>
        <w:rPr>
          <w:sz w:val="24"/>
        </w:rPr>
        <w:t>年</w:t>
      </w:r>
      <w:r>
        <w:rPr>
          <w:sz w:val="24"/>
        </w:rPr>
        <w:t>6</w:t>
      </w:r>
      <w:r>
        <w:rPr>
          <w:sz w:val="24"/>
        </w:rPr>
        <w:t>月</w:t>
      </w:r>
      <w:r>
        <w:rPr>
          <w:sz w:val="24"/>
        </w:rPr>
        <w:t>6</w:t>
      </w:r>
      <w:r>
        <w:rPr>
          <w:sz w:val="24"/>
        </w:rPr>
        <w:t>日之前进入美国的产品，标的公司将通过豁免政策以避免遭受</w:t>
      </w:r>
      <w:r>
        <w:rPr>
          <w:rFonts w:hint="eastAsia"/>
          <w:sz w:val="24"/>
        </w:rPr>
        <w:t>美国</w:t>
      </w:r>
      <w:proofErr w:type="gramStart"/>
      <w:r>
        <w:rPr>
          <w:sz w:val="24"/>
        </w:rPr>
        <w:t>双反税</w:t>
      </w:r>
      <w:proofErr w:type="gramEnd"/>
      <w:r>
        <w:rPr>
          <w:sz w:val="24"/>
        </w:rPr>
        <w:t>影响的风险；同时，标的公司已开始进行产业调整以应对</w:t>
      </w:r>
      <w:r>
        <w:rPr>
          <w:sz w:val="24"/>
        </w:rPr>
        <w:t>2024</w:t>
      </w:r>
      <w:r>
        <w:rPr>
          <w:sz w:val="24"/>
        </w:rPr>
        <w:t>年</w:t>
      </w:r>
      <w:r>
        <w:rPr>
          <w:sz w:val="24"/>
        </w:rPr>
        <w:t>6</w:t>
      </w:r>
      <w:r>
        <w:rPr>
          <w:sz w:val="24"/>
        </w:rPr>
        <w:t>月</w:t>
      </w:r>
      <w:r>
        <w:rPr>
          <w:sz w:val="24"/>
        </w:rPr>
        <w:t>6</w:t>
      </w:r>
      <w:r>
        <w:rPr>
          <w:sz w:val="24"/>
        </w:rPr>
        <w:t>日豁免期过</w:t>
      </w:r>
      <w:r>
        <w:rPr>
          <w:rFonts w:hint="eastAsia"/>
          <w:sz w:val="24"/>
        </w:rPr>
        <w:t>后美国</w:t>
      </w:r>
      <w:proofErr w:type="gramStart"/>
      <w:r>
        <w:rPr>
          <w:sz w:val="24"/>
        </w:rPr>
        <w:t>双反税</w:t>
      </w:r>
      <w:proofErr w:type="gramEnd"/>
      <w:r>
        <w:rPr>
          <w:sz w:val="24"/>
        </w:rPr>
        <w:t>的相关风险。</w:t>
      </w:r>
    </w:p>
    <w:p w14:paraId="3D70DCAE" w14:textId="77777777" w:rsidR="00FC5A62" w:rsidRDefault="00C76273" w:rsidP="00D97102">
      <w:pPr>
        <w:spacing w:beforeLines="50" w:before="156" w:afterLines="50" w:after="156" w:line="360" w:lineRule="auto"/>
        <w:ind w:firstLineChars="200" w:firstLine="480"/>
        <w:rPr>
          <w:sz w:val="24"/>
        </w:rPr>
      </w:pPr>
      <w:r>
        <w:rPr>
          <w:sz w:val="24"/>
        </w:rPr>
        <w:t>因此，在</w:t>
      </w:r>
      <w:r>
        <w:rPr>
          <w:sz w:val="24"/>
        </w:rPr>
        <w:t>2024</w:t>
      </w:r>
      <w:r>
        <w:rPr>
          <w:sz w:val="24"/>
        </w:rPr>
        <w:t>年</w:t>
      </w:r>
      <w:r>
        <w:rPr>
          <w:sz w:val="24"/>
        </w:rPr>
        <w:t>6</w:t>
      </w:r>
      <w:r>
        <w:rPr>
          <w:sz w:val="24"/>
        </w:rPr>
        <w:t>月</w:t>
      </w:r>
      <w:r>
        <w:rPr>
          <w:sz w:val="24"/>
        </w:rPr>
        <w:t>6</w:t>
      </w:r>
      <w:r>
        <w:rPr>
          <w:sz w:val="24"/>
        </w:rPr>
        <w:t>日前后，标的公司均有切实可行的应对方案，以解决</w:t>
      </w:r>
      <w:r>
        <w:rPr>
          <w:rFonts w:hint="eastAsia"/>
          <w:sz w:val="24"/>
        </w:rPr>
        <w:t>美国</w:t>
      </w:r>
      <w:proofErr w:type="gramStart"/>
      <w:r>
        <w:rPr>
          <w:sz w:val="24"/>
        </w:rPr>
        <w:t>双反税</w:t>
      </w:r>
      <w:proofErr w:type="gramEnd"/>
      <w:r>
        <w:rPr>
          <w:sz w:val="24"/>
        </w:rPr>
        <w:t>带来的销售成本波动的风险。</w:t>
      </w:r>
    </w:p>
    <w:p w14:paraId="2DCECC63" w14:textId="51F6BB99" w:rsidR="00FC5A62" w:rsidRDefault="00C76273" w:rsidP="00D97102">
      <w:pPr>
        <w:spacing w:beforeLines="50" w:before="156" w:afterLines="50" w:after="156" w:line="360" w:lineRule="auto"/>
        <w:ind w:firstLineChars="200" w:firstLine="482"/>
        <w:outlineLvl w:val="4"/>
        <w:rPr>
          <w:b/>
          <w:bCs/>
          <w:sz w:val="24"/>
        </w:rPr>
      </w:pPr>
      <w:r>
        <w:rPr>
          <w:b/>
          <w:bCs/>
          <w:sz w:val="24"/>
        </w:rPr>
        <w:t>2</w:t>
      </w:r>
      <w:r>
        <w:rPr>
          <w:b/>
          <w:bCs/>
          <w:sz w:val="24"/>
        </w:rPr>
        <w:t>、标的公司</w:t>
      </w:r>
      <w:r>
        <w:rPr>
          <w:rFonts w:hint="eastAsia"/>
          <w:b/>
          <w:bCs/>
          <w:sz w:val="24"/>
        </w:rPr>
        <w:t>在手订单充足，市场</w:t>
      </w:r>
      <w:r>
        <w:rPr>
          <w:b/>
          <w:bCs/>
          <w:sz w:val="24"/>
        </w:rPr>
        <w:t>预期</w:t>
      </w:r>
      <w:r>
        <w:rPr>
          <w:rFonts w:hint="eastAsia"/>
          <w:b/>
          <w:bCs/>
          <w:sz w:val="24"/>
        </w:rPr>
        <w:t>良好</w:t>
      </w:r>
    </w:p>
    <w:p w14:paraId="7183CF3F" w14:textId="4F0BCCF5" w:rsidR="00FC5A62" w:rsidRDefault="00C76273" w:rsidP="00D97102">
      <w:pPr>
        <w:spacing w:beforeLines="50" w:before="156" w:afterLines="50" w:after="156" w:line="360" w:lineRule="auto"/>
        <w:ind w:firstLineChars="200" w:firstLine="480"/>
        <w:rPr>
          <w:b/>
          <w:bCs/>
          <w:sz w:val="24"/>
        </w:rPr>
      </w:pPr>
      <w:r>
        <w:rPr>
          <w:sz w:val="24"/>
        </w:rPr>
        <w:t>基于标的公司的自身实力以及自有品牌，</w:t>
      </w:r>
      <w:r>
        <w:rPr>
          <w:sz w:val="24"/>
        </w:rPr>
        <w:t>ET</w:t>
      </w:r>
      <w:r>
        <w:rPr>
          <w:sz w:val="24"/>
        </w:rPr>
        <w:t>加州在美国本土具有较高的市场地位及</w:t>
      </w:r>
      <w:r>
        <w:rPr>
          <w:rFonts w:hint="eastAsia"/>
          <w:sz w:val="24"/>
        </w:rPr>
        <w:t>市场</w:t>
      </w:r>
      <w:r>
        <w:rPr>
          <w:sz w:val="24"/>
        </w:rPr>
        <w:t>影响力。</w:t>
      </w:r>
      <w:r>
        <w:rPr>
          <w:rFonts w:hint="eastAsia"/>
          <w:sz w:val="24"/>
        </w:rPr>
        <w:t>截至</w:t>
      </w:r>
      <w:r>
        <w:rPr>
          <w:rFonts w:hint="eastAsia"/>
          <w:sz w:val="24"/>
        </w:rPr>
        <w:t>2023</w:t>
      </w:r>
      <w:r>
        <w:rPr>
          <w:rFonts w:hint="eastAsia"/>
          <w:sz w:val="24"/>
        </w:rPr>
        <w:t>年</w:t>
      </w:r>
      <w:r>
        <w:rPr>
          <w:rFonts w:hint="eastAsia"/>
          <w:sz w:val="24"/>
        </w:rPr>
        <w:t>8</w:t>
      </w:r>
      <w:r>
        <w:rPr>
          <w:rFonts w:hint="eastAsia"/>
          <w:sz w:val="24"/>
        </w:rPr>
        <w:t>月末，标的公司在手订单量约为</w:t>
      </w:r>
      <w:r>
        <w:rPr>
          <w:rFonts w:hint="eastAsia"/>
          <w:sz w:val="24"/>
        </w:rPr>
        <w:t>2,053MW</w:t>
      </w:r>
      <w:r>
        <w:rPr>
          <w:rFonts w:hint="eastAsia"/>
          <w:sz w:val="24"/>
        </w:rPr>
        <w:t>，公司对上述在手订单的排</w:t>
      </w:r>
      <w:proofErr w:type="gramStart"/>
      <w:r>
        <w:rPr>
          <w:rFonts w:hint="eastAsia"/>
          <w:sz w:val="24"/>
        </w:rPr>
        <w:t>产计划</w:t>
      </w:r>
      <w:proofErr w:type="gramEnd"/>
      <w:r>
        <w:rPr>
          <w:rFonts w:hint="eastAsia"/>
          <w:sz w:val="24"/>
        </w:rPr>
        <w:t>已至</w:t>
      </w:r>
      <w:r>
        <w:rPr>
          <w:rFonts w:hint="eastAsia"/>
          <w:sz w:val="24"/>
        </w:rPr>
        <w:t>2024</w:t>
      </w:r>
      <w:r>
        <w:rPr>
          <w:rFonts w:hint="eastAsia"/>
          <w:sz w:val="24"/>
        </w:rPr>
        <w:t>年上半年，短期业绩确定性较高。</w:t>
      </w:r>
    </w:p>
    <w:p w14:paraId="146EF06A" w14:textId="5240ADE3" w:rsidR="00FC5A62" w:rsidRDefault="00C76273" w:rsidP="00D97102">
      <w:pPr>
        <w:spacing w:beforeLines="50" w:before="156" w:afterLines="50" w:after="156" w:line="360" w:lineRule="auto"/>
        <w:ind w:firstLineChars="200" w:firstLine="480"/>
        <w:rPr>
          <w:sz w:val="24"/>
        </w:rPr>
      </w:pPr>
      <w:r>
        <w:rPr>
          <w:sz w:val="24"/>
        </w:rPr>
        <w:t>此外，</w:t>
      </w:r>
      <w:r>
        <w:rPr>
          <w:rFonts w:hint="eastAsia"/>
          <w:sz w:val="24"/>
        </w:rPr>
        <w:t>标的公司产品主要面向美国市场，目前</w:t>
      </w:r>
      <w:r>
        <w:rPr>
          <w:sz w:val="24"/>
        </w:rPr>
        <w:t>美国是除中国之外全球第二大的光伏装机国家</w:t>
      </w:r>
      <w:r>
        <w:rPr>
          <w:rFonts w:hint="eastAsia"/>
          <w:sz w:val="24"/>
        </w:rPr>
        <w:t>，</w:t>
      </w:r>
      <w:r>
        <w:rPr>
          <w:sz w:val="24"/>
        </w:rPr>
        <w:t>2022</w:t>
      </w:r>
      <w:r>
        <w:rPr>
          <w:sz w:val="24"/>
        </w:rPr>
        <w:t>年</w:t>
      </w:r>
      <w:r>
        <w:rPr>
          <w:rFonts w:hint="eastAsia"/>
          <w:sz w:val="24"/>
        </w:rPr>
        <w:t>度</w:t>
      </w:r>
      <w:r>
        <w:rPr>
          <w:sz w:val="24"/>
        </w:rPr>
        <w:t>美国新增光</w:t>
      </w:r>
      <w:proofErr w:type="gramStart"/>
      <w:r>
        <w:rPr>
          <w:sz w:val="24"/>
        </w:rPr>
        <w:t>伏</w:t>
      </w:r>
      <w:proofErr w:type="gramEnd"/>
      <w:r>
        <w:rPr>
          <w:sz w:val="24"/>
        </w:rPr>
        <w:t>装机</w:t>
      </w:r>
      <w:r>
        <w:rPr>
          <w:sz w:val="24"/>
        </w:rPr>
        <w:t>20.2GW</w:t>
      </w:r>
      <w:r>
        <w:rPr>
          <w:sz w:val="24"/>
        </w:rPr>
        <w:t>，占全球新增装机的</w:t>
      </w:r>
      <w:r>
        <w:rPr>
          <w:sz w:val="24"/>
        </w:rPr>
        <w:t>8.78%</w:t>
      </w:r>
      <w:r>
        <w:rPr>
          <w:sz w:val="24"/>
        </w:rPr>
        <w:t>。在碳中和战略和</w:t>
      </w:r>
      <w:r>
        <w:rPr>
          <w:sz w:val="24"/>
        </w:rPr>
        <w:t>IRA</w:t>
      </w:r>
      <w:r>
        <w:rPr>
          <w:sz w:val="24"/>
        </w:rPr>
        <w:t>法案的刺激下，美国光</w:t>
      </w:r>
      <w:proofErr w:type="gramStart"/>
      <w:r>
        <w:rPr>
          <w:sz w:val="24"/>
        </w:rPr>
        <w:t>伏市场</w:t>
      </w:r>
      <w:proofErr w:type="gramEnd"/>
      <w:r>
        <w:rPr>
          <w:sz w:val="24"/>
        </w:rPr>
        <w:t>将迎来持续增长态势。</w:t>
      </w:r>
      <w:r>
        <w:rPr>
          <w:rFonts w:hint="eastAsia"/>
          <w:sz w:val="24"/>
        </w:rPr>
        <w:t>因此预计</w:t>
      </w:r>
      <w:r>
        <w:rPr>
          <w:sz w:val="24"/>
        </w:rPr>
        <w:t>标的公司未来的销售额也将呈现积极向上且可控的趋势。</w:t>
      </w:r>
    </w:p>
    <w:p w14:paraId="7F09D677" w14:textId="5BEF732A" w:rsidR="00FC5A62" w:rsidRDefault="00C76273" w:rsidP="00D97102">
      <w:pPr>
        <w:spacing w:beforeLines="50" w:before="156" w:afterLines="50" w:after="156" w:line="360" w:lineRule="auto"/>
        <w:ind w:firstLineChars="200" w:firstLine="480"/>
        <w:rPr>
          <w:sz w:val="24"/>
        </w:rPr>
      </w:pPr>
      <w:r>
        <w:rPr>
          <w:sz w:val="24"/>
        </w:rPr>
        <w:t>综上所述，标的公司</w:t>
      </w:r>
      <w:r>
        <w:rPr>
          <w:rFonts w:hint="eastAsia"/>
          <w:sz w:val="24"/>
        </w:rPr>
        <w:t>已</w:t>
      </w:r>
      <w:r>
        <w:rPr>
          <w:sz w:val="24"/>
        </w:rPr>
        <w:t>有切实可行的应对方案以解决</w:t>
      </w:r>
      <w:r>
        <w:rPr>
          <w:rFonts w:hint="eastAsia"/>
          <w:sz w:val="24"/>
        </w:rPr>
        <w:t>美国</w:t>
      </w:r>
      <w:proofErr w:type="gramStart"/>
      <w:r>
        <w:rPr>
          <w:sz w:val="24"/>
        </w:rPr>
        <w:t>双反税</w:t>
      </w:r>
      <w:proofErr w:type="gramEnd"/>
      <w:r>
        <w:rPr>
          <w:sz w:val="24"/>
        </w:rPr>
        <w:t>带来的销售</w:t>
      </w:r>
      <w:r>
        <w:rPr>
          <w:sz w:val="24"/>
        </w:rPr>
        <w:lastRenderedPageBreak/>
        <w:t>成本波动的风险</w:t>
      </w:r>
      <w:r>
        <w:rPr>
          <w:rFonts w:hint="eastAsia"/>
          <w:sz w:val="24"/>
        </w:rPr>
        <w:t>，且在手订单充足，市场预期良好，预计标的公司未来业绩将较为稳定。</w:t>
      </w:r>
    </w:p>
    <w:p w14:paraId="377589C5" w14:textId="77777777" w:rsidR="00FC5A62" w:rsidRDefault="00C76273" w:rsidP="00D97102">
      <w:pPr>
        <w:spacing w:beforeLines="50" w:before="156" w:afterLines="50" w:after="156" w:line="360" w:lineRule="auto"/>
        <w:ind w:firstLineChars="200" w:firstLine="482"/>
        <w:outlineLvl w:val="3"/>
        <w:rPr>
          <w:b/>
          <w:bCs/>
          <w:sz w:val="24"/>
        </w:rPr>
      </w:pPr>
      <w:r>
        <w:rPr>
          <w:rFonts w:hint="eastAsia"/>
          <w:b/>
          <w:bCs/>
          <w:sz w:val="24"/>
        </w:rPr>
        <w:t>（五）补充风险提示</w:t>
      </w:r>
    </w:p>
    <w:p w14:paraId="33330BD4" w14:textId="5631FB1A" w:rsidR="00FC5A62" w:rsidRDefault="00C76273" w:rsidP="00D97102">
      <w:pPr>
        <w:spacing w:beforeLines="50" w:before="156" w:afterLines="50" w:after="156" w:line="360" w:lineRule="auto"/>
        <w:ind w:firstLineChars="200" w:firstLine="480"/>
        <w:rPr>
          <w:sz w:val="24"/>
        </w:rPr>
      </w:pPr>
      <w:r>
        <w:rPr>
          <w:rFonts w:hint="eastAsia"/>
          <w:sz w:val="24"/>
        </w:rPr>
        <w:t>上市公司已于《安徽省交通建设股份有限公司发行股份购买资产并募集配套资金暨关联交易预案（修订稿）》“重大风险提示”之“二、与标的公司相关的风险”之“（三）国际贸易保护风险”</w:t>
      </w:r>
      <w:r w:rsidR="00F228F3">
        <w:rPr>
          <w:rFonts w:hint="eastAsia"/>
          <w:sz w:val="24"/>
        </w:rPr>
        <w:t>和“第八节</w:t>
      </w:r>
      <w:r w:rsidR="00F228F3">
        <w:rPr>
          <w:rFonts w:hint="eastAsia"/>
          <w:sz w:val="24"/>
        </w:rPr>
        <w:t xml:space="preserve"> </w:t>
      </w:r>
      <w:r w:rsidR="00F228F3">
        <w:rPr>
          <w:rFonts w:hint="eastAsia"/>
          <w:sz w:val="24"/>
        </w:rPr>
        <w:t>风险因素”</w:t>
      </w:r>
      <w:r w:rsidR="00F228F3" w:rsidRPr="00F228F3">
        <w:rPr>
          <w:rFonts w:hint="eastAsia"/>
          <w:sz w:val="24"/>
        </w:rPr>
        <w:t xml:space="preserve"> </w:t>
      </w:r>
      <w:r w:rsidR="00F228F3">
        <w:rPr>
          <w:rFonts w:hint="eastAsia"/>
          <w:sz w:val="24"/>
        </w:rPr>
        <w:t>之“二、与标的公司相关的风险”之“（三）国际贸易保护风险”</w:t>
      </w:r>
      <w:r>
        <w:rPr>
          <w:rFonts w:hint="eastAsia"/>
          <w:sz w:val="24"/>
        </w:rPr>
        <w:t>中</w:t>
      </w:r>
      <w:r w:rsidR="00F228F3">
        <w:rPr>
          <w:rFonts w:hint="eastAsia"/>
          <w:sz w:val="24"/>
        </w:rPr>
        <w:t>均</w:t>
      </w:r>
      <w:r>
        <w:rPr>
          <w:rFonts w:hint="eastAsia"/>
          <w:sz w:val="24"/>
        </w:rPr>
        <w:t>进行了补充风险提示。具体如下：</w:t>
      </w:r>
    </w:p>
    <w:p w14:paraId="5AD0CB8B" w14:textId="72DB1958" w:rsidR="00102554" w:rsidRPr="00102554" w:rsidRDefault="00C76273" w:rsidP="00102554">
      <w:pPr>
        <w:spacing w:beforeLines="50" w:before="156" w:afterLines="50" w:after="156" w:line="360" w:lineRule="auto"/>
        <w:ind w:firstLineChars="200" w:firstLine="480"/>
        <w:rPr>
          <w:sz w:val="24"/>
        </w:rPr>
      </w:pPr>
      <w:r>
        <w:rPr>
          <w:rFonts w:hint="eastAsia"/>
          <w:sz w:val="24"/>
        </w:rPr>
        <w:t>“</w:t>
      </w:r>
      <w:r w:rsidR="00102554" w:rsidRPr="00102554">
        <w:rPr>
          <w:rFonts w:hint="eastAsia"/>
          <w:sz w:val="24"/>
        </w:rPr>
        <w:t>但在</w:t>
      </w:r>
      <w:r w:rsidR="00102554">
        <w:rPr>
          <w:rFonts w:hint="eastAsia"/>
          <w:sz w:val="24"/>
        </w:rPr>
        <w:t>2</w:t>
      </w:r>
      <w:r w:rsidR="00102554">
        <w:rPr>
          <w:sz w:val="24"/>
        </w:rPr>
        <w:t>4</w:t>
      </w:r>
      <w:r w:rsidR="00102554">
        <w:rPr>
          <w:rFonts w:hint="eastAsia"/>
          <w:sz w:val="24"/>
        </w:rPr>
        <w:t>个月</w:t>
      </w:r>
      <w:r w:rsidR="00102554" w:rsidRPr="00102554">
        <w:rPr>
          <w:rFonts w:hint="eastAsia"/>
          <w:sz w:val="24"/>
        </w:rPr>
        <w:t>豁免期过后，前述东南亚四国未使用我国硅片制造的太阳能电池或虽使用我国硅片制造的太阳能电池但同时使用指定</w:t>
      </w:r>
      <w:r w:rsidR="00102554" w:rsidRPr="00102554">
        <w:rPr>
          <w:rFonts w:hint="eastAsia"/>
          <w:sz w:val="24"/>
        </w:rPr>
        <w:t xml:space="preserve"> 6 </w:t>
      </w:r>
      <w:r w:rsidR="00102554" w:rsidRPr="00102554">
        <w:rPr>
          <w:rFonts w:hint="eastAsia"/>
          <w:sz w:val="24"/>
        </w:rPr>
        <w:t>种组件辅材（银浆、铝框、玻璃、背板、胶膜、接线盒）中不超过</w:t>
      </w:r>
      <w:r w:rsidR="00102554" w:rsidRPr="00102554">
        <w:rPr>
          <w:rFonts w:hint="eastAsia"/>
          <w:sz w:val="24"/>
        </w:rPr>
        <w:t xml:space="preserve"> 2 </w:t>
      </w:r>
      <w:r w:rsidR="00102554" w:rsidRPr="00102554">
        <w:rPr>
          <w:rFonts w:hint="eastAsia"/>
          <w:sz w:val="24"/>
        </w:rPr>
        <w:t>种我国组件辅材而制造的光伏组件出口到美国，才能认定不构成规避行为，否则将被征收双反关税。目前，我国以外的硅片及部分指定组件辅材产能较少，在豁免期过后，若位于上述东南亚四国的光伏产能无法获得稳定且能满足要求的硅片或指定组件辅材，将对标的公司及我国光伏产品的出口贸易造成一定不利影响。</w:t>
      </w:r>
    </w:p>
    <w:p w14:paraId="171D822B" w14:textId="77777777" w:rsidR="00102554" w:rsidRPr="00102554" w:rsidRDefault="00102554" w:rsidP="00102554">
      <w:pPr>
        <w:spacing w:beforeLines="50" w:before="156" w:afterLines="50" w:after="156" w:line="360" w:lineRule="auto"/>
        <w:ind w:firstLineChars="200" w:firstLine="480"/>
        <w:rPr>
          <w:sz w:val="24"/>
        </w:rPr>
      </w:pPr>
      <w:r w:rsidRPr="00102554">
        <w:rPr>
          <w:rFonts w:hint="eastAsia"/>
          <w:sz w:val="24"/>
        </w:rPr>
        <w:t>针对</w:t>
      </w:r>
      <w:proofErr w:type="gramStart"/>
      <w:r w:rsidRPr="00102554">
        <w:rPr>
          <w:rFonts w:hint="eastAsia"/>
          <w:sz w:val="24"/>
        </w:rPr>
        <w:t>上述双反调查</w:t>
      </w:r>
      <w:proofErr w:type="gramEnd"/>
      <w:r w:rsidRPr="00102554">
        <w:rPr>
          <w:rFonts w:hint="eastAsia"/>
          <w:sz w:val="24"/>
        </w:rPr>
        <w:t>，包括标的公司在内的光</w:t>
      </w:r>
      <w:proofErr w:type="gramStart"/>
      <w:r w:rsidRPr="00102554">
        <w:rPr>
          <w:rFonts w:hint="eastAsia"/>
          <w:sz w:val="24"/>
        </w:rPr>
        <w:t>伏企业</w:t>
      </w:r>
      <w:proofErr w:type="gramEnd"/>
      <w:r w:rsidRPr="00102554">
        <w:rPr>
          <w:rFonts w:hint="eastAsia"/>
          <w:sz w:val="24"/>
        </w:rPr>
        <w:t>纷纷采取了积极有效的应对：一是加强技术创新，进行上下游多个环节的生产工艺优化，有效降低成本和提高竞争力；二是在越南、柬埔寨等东南亚国家建设了光伏产品的直接生产基地，生产“全球制造”的光伏产品，并持续将产业链在全球范围内向上游拉棒、切片甚至硅料环节延伸；三是配套产业链的海外布局，在全球市场进一步布局玻璃、背板、浆料、</w:t>
      </w:r>
      <w:r w:rsidRPr="00102554">
        <w:rPr>
          <w:rFonts w:hint="eastAsia"/>
          <w:sz w:val="24"/>
        </w:rPr>
        <w:t>EVA</w:t>
      </w:r>
      <w:r w:rsidRPr="00102554">
        <w:rPr>
          <w:rFonts w:hint="eastAsia"/>
          <w:sz w:val="24"/>
        </w:rPr>
        <w:t>、边框、接线盒等核心辅材，提升“全球制造”的供应</w:t>
      </w:r>
      <w:proofErr w:type="gramStart"/>
      <w:r w:rsidRPr="00102554">
        <w:rPr>
          <w:rFonts w:hint="eastAsia"/>
          <w:sz w:val="24"/>
        </w:rPr>
        <w:t>链价值</w:t>
      </w:r>
      <w:proofErr w:type="gramEnd"/>
      <w:r w:rsidRPr="00102554">
        <w:rPr>
          <w:rFonts w:hint="eastAsia"/>
          <w:sz w:val="24"/>
        </w:rPr>
        <w:t>占比。上述应对措施将从根本上降低并消除部分国家和地区所提出的“双反调查”的影响。</w:t>
      </w:r>
    </w:p>
    <w:p w14:paraId="4859A5DF" w14:textId="2CC6DCF0" w:rsidR="00FC5A62" w:rsidRPr="008A1A3A" w:rsidRDefault="00102554" w:rsidP="00D97102">
      <w:pPr>
        <w:spacing w:beforeLines="50" w:before="156" w:afterLines="50" w:after="156" w:line="360" w:lineRule="auto"/>
        <w:ind w:firstLineChars="200" w:firstLine="480"/>
        <w:rPr>
          <w:sz w:val="24"/>
          <w:lang w:val="zh-CN"/>
        </w:rPr>
      </w:pPr>
      <w:r w:rsidRPr="00102554">
        <w:rPr>
          <w:rFonts w:hint="eastAsia"/>
          <w:sz w:val="24"/>
        </w:rPr>
        <w:t>尽管如此，这种国际间不断挑起的贸易摩擦，对光</w:t>
      </w:r>
      <w:proofErr w:type="gramStart"/>
      <w:r w:rsidRPr="00102554">
        <w:rPr>
          <w:rFonts w:hint="eastAsia"/>
          <w:sz w:val="24"/>
        </w:rPr>
        <w:t>伏</w:t>
      </w:r>
      <w:proofErr w:type="gramEnd"/>
      <w:r w:rsidRPr="00102554">
        <w:rPr>
          <w:rFonts w:hint="eastAsia"/>
          <w:sz w:val="24"/>
        </w:rPr>
        <w:t>产业发展造成了一定的冲击，未来不排除其他国家仿效，从而导致更多贸易摩擦（包括但不限于反倾销及反补贴调查、保障措施调查、新增关税及其他调查等），该等事项要求标的公司对全球市场贸易政策保持高度关注和灵活的战略应变。如果应对不及时，贸易摩擦可能会使得标的公司未来销售产品面临关税税率上升风险，影响相关客户的</w:t>
      </w:r>
      <w:r w:rsidRPr="00102554">
        <w:rPr>
          <w:rFonts w:hint="eastAsia"/>
          <w:sz w:val="24"/>
        </w:rPr>
        <w:lastRenderedPageBreak/>
        <w:t>采购意愿，进而对标的公司经营业绩造成影响，甚至存在受到相关处罚的风险。</w:t>
      </w:r>
      <w:r>
        <w:rPr>
          <w:rFonts w:hint="eastAsia"/>
          <w:sz w:val="24"/>
        </w:rPr>
        <w:t>”</w:t>
      </w:r>
    </w:p>
    <w:p w14:paraId="728F6F1F" w14:textId="77777777" w:rsidR="00FC5A62" w:rsidRDefault="00FC5A62" w:rsidP="00D97102">
      <w:pPr>
        <w:spacing w:beforeLines="50" w:before="156" w:afterLines="50" w:after="156" w:line="360" w:lineRule="auto"/>
        <w:ind w:firstLineChars="200" w:firstLine="480"/>
        <w:rPr>
          <w:sz w:val="24"/>
        </w:rPr>
      </w:pPr>
    </w:p>
    <w:p w14:paraId="03A6EE94" w14:textId="77777777" w:rsidR="00FC5A62" w:rsidRDefault="00C76273" w:rsidP="00D97102">
      <w:pPr>
        <w:spacing w:beforeLines="50" w:before="156" w:afterLines="50" w:after="156" w:line="360" w:lineRule="auto"/>
        <w:ind w:firstLineChars="200" w:firstLine="480"/>
        <w:outlineLvl w:val="1"/>
        <w:rPr>
          <w:rFonts w:eastAsia="黑体"/>
          <w:sz w:val="24"/>
        </w:rPr>
      </w:pPr>
      <w:r>
        <w:rPr>
          <w:rFonts w:eastAsia="黑体" w:hint="eastAsia"/>
          <w:sz w:val="24"/>
        </w:rPr>
        <w:t>问题三</w:t>
      </w:r>
      <w:r>
        <w:rPr>
          <w:rFonts w:eastAsia="黑体"/>
          <w:sz w:val="24"/>
        </w:rPr>
        <w:t>、预案披露，标的公司部分产品出口、原材料进口以美元结算，汇率波动会引起标的公司产品、原材料价格变动，进而影响标的公司业绩；</w:t>
      </w:r>
      <w:r>
        <w:rPr>
          <w:rFonts w:eastAsia="黑体"/>
          <w:sz w:val="24"/>
        </w:rPr>
        <w:t>2022</w:t>
      </w:r>
      <w:r>
        <w:rPr>
          <w:rFonts w:eastAsia="黑体"/>
          <w:sz w:val="24"/>
        </w:rPr>
        <w:t>年以来，标的公司业绩大幅增长。公开数据显示，</w:t>
      </w:r>
      <w:r>
        <w:rPr>
          <w:rFonts w:eastAsia="黑体"/>
          <w:sz w:val="24"/>
        </w:rPr>
        <w:t>2022</w:t>
      </w:r>
      <w:r>
        <w:rPr>
          <w:rFonts w:eastAsia="黑体"/>
          <w:sz w:val="24"/>
        </w:rPr>
        <w:t>年来人民币对美元汇率波动较大。请公司结合标的公司最近两年又一期的利润构成，量化说明汇兑损益对标的公司净利润的影响，是否存在净利润主要来自汇兑损益的情况。</w:t>
      </w:r>
    </w:p>
    <w:p w14:paraId="361B500D" w14:textId="77777777" w:rsidR="00FC5A62" w:rsidRDefault="00C76273" w:rsidP="00D97102">
      <w:pPr>
        <w:spacing w:beforeLines="50" w:before="156" w:afterLines="50" w:after="156" w:line="360" w:lineRule="auto"/>
        <w:ind w:firstLineChars="200" w:firstLine="482"/>
        <w:rPr>
          <w:rFonts w:eastAsiaTheme="minorEastAsia"/>
          <w:b/>
          <w:bCs/>
          <w:color w:val="000000"/>
          <w:sz w:val="24"/>
        </w:rPr>
      </w:pPr>
      <w:r>
        <w:rPr>
          <w:rFonts w:eastAsiaTheme="minorEastAsia"/>
          <w:b/>
          <w:bCs/>
          <w:color w:val="000000"/>
          <w:sz w:val="24"/>
        </w:rPr>
        <w:t>回复：</w:t>
      </w:r>
    </w:p>
    <w:p w14:paraId="50DAC39C" w14:textId="77777777" w:rsidR="00FC5A62" w:rsidRDefault="00C76273" w:rsidP="00D97102">
      <w:pPr>
        <w:spacing w:beforeLines="50" w:before="156" w:afterLines="50" w:after="156" w:line="360" w:lineRule="auto"/>
        <w:ind w:firstLineChars="200" w:firstLine="482"/>
        <w:outlineLvl w:val="2"/>
        <w:rPr>
          <w:sz w:val="24"/>
        </w:rPr>
      </w:pPr>
      <w:r>
        <w:rPr>
          <w:rFonts w:hint="eastAsia"/>
          <w:b/>
          <w:bCs/>
          <w:color w:val="000000"/>
          <w:sz w:val="24"/>
        </w:rPr>
        <w:t>一、标的公司主要生产经营主体位于境外，结算币种与记账本位币一致，涉及的汇兑损益情况较少</w:t>
      </w:r>
    </w:p>
    <w:p w14:paraId="738F1D0C" w14:textId="77777777" w:rsidR="00FC5A62" w:rsidRDefault="00C76273" w:rsidP="00D97102">
      <w:pPr>
        <w:spacing w:beforeLines="50" w:before="156" w:afterLines="50" w:after="156" w:line="360" w:lineRule="auto"/>
        <w:ind w:firstLineChars="200" w:firstLine="480"/>
        <w:rPr>
          <w:sz w:val="24"/>
        </w:rPr>
      </w:pPr>
      <w:r>
        <w:rPr>
          <w:rFonts w:hint="eastAsia"/>
          <w:sz w:val="24"/>
        </w:rPr>
        <w:t>标的公司主要销售主体为</w:t>
      </w:r>
      <w:r>
        <w:rPr>
          <w:sz w:val="24"/>
        </w:rPr>
        <w:t>ET</w:t>
      </w:r>
      <w:r>
        <w:rPr>
          <w:sz w:val="24"/>
        </w:rPr>
        <w:t>加州</w:t>
      </w:r>
      <w:r>
        <w:rPr>
          <w:rFonts w:hint="eastAsia"/>
          <w:sz w:val="24"/>
        </w:rPr>
        <w:t>，主要中转销售主体为</w:t>
      </w:r>
      <w:r>
        <w:rPr>
          <w:sz w:val="24"/>
        </w:rPr>
        <w:t>HK2</w:t>
      </w:r>
      <w:r>
        <w:rPr>
          <w:rFonts w:hint="eastAsia"/>
          <w:sz w:val="24"/>
        </w:rPr>
        <w:t>，主要生产主体为</w:t>
      </w:r>
      <w:r>
        <w:rPr>
          <w:rFonts w:hint="eastAsia"/>
          <w:sz w:val="24"/>
        </w:rPr>
        <w:t>E</w:t>
      </w:r>
      <w:r>
        <w:rPr>
          <w:sz w:val="24"/>
        </w:rPr>
        <w:t>T</w:t>
      </w:r>
      <w:r>
        <w:rPr>
          <w:rFonts w:hint="eastAsia"/>
          <w:sz w:val="24"/>
        </w:rPr>
        <w:t>越南及</w:t>
      </w:r>
      <w:r>
        <w:rPr>
          <w:rFonts w:hint="eastAsia"/>
          <w:sz w:val="24"/>
        </w:rPr>
        <w:t>E</w:t>
      </w:r>
      <w:r>
        <w:rPr>
          <w:sz w:val="24"/>
        </w:rPr>
        <w:t>T</w:t>
      </w:r>
      <w:r>
        <w:rPr>
          <w:rFonts w:hint="eastAsia"/>
          <w:sz w:val="24"/>
        </w:rPr>
        <w:t>柬埔寨，记账本位币均为美元，与客户供应商进行结算时一般均按照美元结算，涉及的汇兑损益情况较少。</w:t>
      </w:r>
    </w:p>
    <w:p w14:paraId="49C64F85" w14:textId="77777777" w:rsidR="005E3322" w:rsidRPr="0001477F" w:rsidRDefault="005E3322" w:rsidP="0001477F">
      <w:pPr>
        <w:spacing w:beforeLines="50" w:before="156" w:afterLines="50" w:after="156" w:line="360" w:lineRule="auto"/>
        <w:ind w:firstLineChars="200" w:firstLine="482"/>
        <w:outlineLvl w:val="2"/>
        <w:rPr>
          <w:b/>
          <w:bCs/>
          <w:color w:val="000000"/>
          <w:sz w:val="24"/>
        </w:rPr>
      </w:pPr>
      <w:r w:rsidRPr="0001477F">
        <w:rPr>
          <w:rFonts w:hint="eastAsia"/>
          <w:b/>
          <w:bCs/>
          <w:color w:val="000000"/>
          <w:sz w:val="24"/>
        </w:rPr>
        <w:t>二、标的公司组件产品销售主要签订美元合同，汇率变动风险可控</w:t>
      </w:r>
    </w:p>
    <w:p w14:paraId="1E82AEA7" w14:textId="6416A546" w:rsidR="005E3322" w:rsidRPr="005E3322" w:rsidRDefault="005E3322" w:rsidP="005D37EA">
      <w:pPr>
        <w:spacing w:line="500" w:lineRule="exact"/>
        <w:ind w:firstLineChars="200" w:firstLine="480"/>
        <w:rPr>
          <w:sz w:val="24"/>
        </w:rPr>
      </w:pPr>
      <w:r>
        <w:rPr>
          <w:rFonts w:hint="eastAsia"/>
          <w:sz w:val="24"/>
        </w:rPr>
        <w:t>标的公司光伏组件产品在东南亚完成生产后，主要通过</w:t>
      </w:r>
      <w:r w:rsidRPr="0074670F">
        <w:rPr>
          <w:rFonts w:hint="eastAsia"/>
          <w:sz w:val="24"/>
        </w:rPr>
        <w:t>中转销售主体</w:t>
      </w:r>
      <w:r w:rsidRPr="0074670F">
        <w:rPr>
          <w:sz w:val="24"/>
        </w:rPr>
        <w:t>HK2</w:t>
      </w:r>
      <w:r>
        <w:rPr>
          <w:rFonts w:hint="eastAsia"/>
          <w:sz w:val="24"/>
        </w:rPr>
        <w:t>销往</w:t>
      </w:r>
      <w:r>
        <w:rPr>
          <w:rFonts w:hint="eastAsia"/>
          <w:sz w:val="24"/>
        </w:rPr>
        <w:t>E</w:t>
      </w:r>
      <w:r>
        <w:rPr>
          <w:sz w:val="24"/>
        </w:rPr>
        <w:t>T</w:t>
      </w:r>
      <w:r>
        <w:rPr>
          <w:rFonts w:hint="eastAsia"/>
          <w:sz w:val="24"/>
        </w:rPr>
        <w:t>加州，</w:t>
      </w:r>
      <w:r>
        <w:rPr>
          <w:rFonts w:hint="eastAsia"/>
          <w:sz w:val="24"/>
        </w:rPr>
        <w:t>E</w:t>
      </w:r>
      <w:r>
        <w:rPr>
          <w:sz w:val="24"/>
        </w:rPr>
        <w:t>T</w:t>
      </w:r>
      <w:r>
        <w:rPr>
          <w:rFonts w:hint="eastAsia"/>
          <w:sz w:val="24"/>
        </w:rPr>
        <w:t>加州完成在美国地区的销售。该流程各主体主要签订美元合同，以美元进行结算。</w:t>
      </w:r>
    </w:p>
    <w:p w14:paraId="545A4C58" w14:textId="53CF5036" w:rsidR="00FC5A62" w:rsidRDefault="005E3322" w:rsidP="00D97102">
      <w:pPr>
        <w:spacing w:beforeLines="50" w:before="156" w:afterLines="50" w:after="156" w:line="360" w:lineRule="auto"/>
        <w:ind w:firstLineChars="200" w:firstLine="482"/>
        <w:outlineLvl w:val="2"/>
        <w:rPr>
          <w:b/>
          <w:bCs/>
          <w:color w:val="000000"/>
          <w:sz w:val="24"/>
        </w:rPr>
      </w:pPr>
      <w:r>
        <w:rPr>
          <w:rFonts w:hint="eastAsia"/>
          <w:b/>
          <w:bCs/>
          <w:color w:val="000000"/>
          <w:sz w:val="24"/>
        </w:rPr>
        <w:t>三</w:t>
      </w:r>
      <w:r w:rsidR="00C76273">
        <w:rPr>
          <w:rFonts w:hint="eastAsia"/>
          <w:b/>
          <w:bCs/>
          <w:color w:val="000000"/>
          <w:sz w:val="24"/>
        </w:rPr>
        <w:t>、标的公司原材料出口与货</w:t>
      </w:r>
      <w:proofErr w:type="gramStart"/>
      <w:r w:rsidR="00C76273">
        <w:rPr>
          <w:rFonts w:hint="eastAsia"/>
          <w:b/>
          <w:bCs/>
          <w:color w:val="000000"/>
          <w:sz w:val="24"/>
        </w:rPr>
        <w:t>代主要</w:t>
      </w:r>
      <w:proofErr w:type="gramEnd"/>
      <w:r w:rsidR="00C76273">
        <w:rPr>
          <w:rFonts w:hint="eastAsia"/>
          <w:b/>
          <w:bCs/>
          <w:color w:val="000000"/>
          <w:sz w:val="24"/>
        </w:rPr>
        <w:t>签订人民币合同，汇率变动风险可控</w:t>
      </w:r>
    </w:p>
    <w:p w14:paraId="272FB6E5" w14:textId="253A8CD1" w:rsidR="00FC5A62" w:rsidRDefault="00C76273" w:rsidP="00D97102">
      <w:pPr>
        <w:spacing w:beforeLines="50" w:before="156" w:afterLines="50" w:after="156" w:line="360" w:lineRule="auto"/>
        <w:ind w:firstLineChars="200" w:firstLine="480"/>
        <w:rPr>
          <w:sz w:val="24"/>
        </w:rPr>
      </w:pPr>
      <w:r>
        <w:rPr>
          <w:rFonts w:hint="eastAsia"/>
          <w:sz w:val="24"/>
        </w:rPr>
        <w:t>标的公司境内经营主体博达新能、江西达本主要从事硅片、光伏辅料及光</w:t>
      </w:r>
      <w:proofErr w:type="gramStart"/>
      <w:r>
        <w:rPr>
          <w:rFonts w:hint="eastAsia"/>
          <w:sz w:val="24"/>
        </w:rPr>
        <w:t>伏设备</w:t>
      </w:r>
      <w:proofErr w:type="gramEnd"/>
      <w:r>
        <w:rPr>
          <w:rFonts w:hint="eastAsia"/>
          <w:sz w:val="24"/>
        </w:rPr>
        <w:t>的采购业务，上述物料采购后</w:t>
      </w:r>
      <w:r w:rsidR="005E3322">
        <w:rPr>
          <w:rFonts w:hint="eastAsia"/>
          <w:sz w:val="24"/>
        </w:rPr>
        <w:t>主要</w:t>
      </w:r>
      <w:r>
        <w:rPr>
          <w:rFonts w:hint="eastAsia"/>
          <w:sz w:val="24"/>
        </w:rPr>
        <w:t>通过出口代理机构对外出口至境外经营实体。境内经营主体与出口代理机构主要签订人民币合同，以人民币进行结算，境外经营主体与出口代理机构主要签订美元合同，以美元进行结算，标的</w:t>
      </w:r>
      <w:proofErr w:type="gramStart"/>
      <w:r>
        <w:rPr>
          <w:rFonts w:hint="eastAsia"/>
          <w:sz w:val="24"/>
        </w:rPr>
        <w:t>公司汇率</w:t>
      </w:r>
      <w:proofErr w:type="gramEnd"/>
      <w:r>
        <w:rPr>
          <w:rFonts w:hint="eastAsia"/>
          <w:sz w:val="24"/>
        </w:rPr>
        <w:t>变动风险可控。</w:t>
      </w:r>
    </w:p>
    <w:p w14:paraId="109D7297" w14:textId="77777777" w:rsidR="005E3322" w:rsidRDefault="005E3322" w:rsidP="005E3322">
      <w:pPr>
        <w:spacing w:line="500" w:lineRule="exact"/>
        <w:ind w:firstLineChars="200" w:firstLine="480"/>
        <w:rPr>
          <w:sz w:val="24"/>
        </w:rPr>
      </w:pPr>
      <w:r>
        <w:rPr>
          <w:rFonts w:hint="eastAsia"/>
          <w:sz w:val="24"/>
        </w:rPr>
        <w:t>标的公司采购流程及具体结算方式对应如下：</w:t>
      </w:r>
    </w:p>
    <w:tbl>
      <w:tblPr>
        <w:tblStyle w:val="ae"/>
        <w:tblW w:w="8642" w:type="dxa"/>
        <w:tblLook w:val="04A0" w:firstRow="1" w:lastRow="0" w:firstColumn="1" w:lastColumn="0" w:noHBand="0" w:noVBand="1"/>
      </w:tblPr>
      <w:tblGrid>
        <w:gridCol w:w="3114"/>
        <w:gridCol w:w="5528"/>
      </w:tblGrid>
      <w:tr w:rsidR="005E3322" w14:paraId="21E532F0" w14:textId="77777777" w:rsidTr="00CC73AE">
        <w:tc>
          <w:tcPr>
            <w:tcW w:w="3114" w:type="dxa"/>
            <w:vAlign w:val="center"/>
          </w:tcPr>
          <w:p w14:paraId="0341CBD3" w14:textId="77777777" w:rsidR="005E3322" w:rsidRPr="005D37EA" w:rsidRDefault="005E3322" w:rsidP="00CC73AE">
            <w:pPr>
              <w:jc w:val="center"/>
              <w:rPr>
                <w:b/>
                <w:bCs/>
              </w:rPr>
            </w:pPr>
            <w:r w:rsidRPr="005D37EA">
              <w:rPr>
                <w:rFonts w:hint="eastAsia"/>
                <w:b/>
                <w:bCs/>
              </w:rPr>
              <w:t>采购流程</w:t>
            </w:r>
          </w:p>
        </w:tc>
        <w:tc>
          <w:tcPr>
            <w:tcW w:w="5528" w:type="dxa"/>
            <w:vAlign w:val="center"/>
          </w:tcPr>
          <w:p w14:paraId="0E34FD47" w14:textId="77777777" w:rsidR="005E3322" w:rsidRPr="005D37EA" w:rsidRDefault="005E3322" w:rsidP="00CC73AE">
            <w:pPr>
              <w:jc w:val="center"/>
              <w:rPr>
                <w:b/>
                <w:bCs/>
              </w:rPr>
            </w:pPr>
            <w:r w:rsidRPr="005D37EA">
              <w:rPr>
                <w:rFonts w:hint="eastAsia"/>
                <w:b/>
                <w:bCs/>
              </w:rPr>
              <w:t>结算方式</w:t>
            </w:r>
          </w:p>
        </w:tc>
      </w:tr>
      <w:tr w:rsidR="005E3322" w14:paraId="421D9D70" w14:textId="77777777" w:rsidTr="00CC73AE">
        <w:trPr>
          <w:trHeight w:val="540"/>
        </w:trPr>
        <w:tc>
          <w:tcPr>
            <w:tcW w:w="3114" w:type="dxa"/>
            <w:vMerge w:val="restart"/>
            <w:vAlign w:val="center"/>
          </w:tcPr>
          <w:p w14:paraId="70DFD6C2" w14:textId="77777777" w:rsidR="005E3322" w:rsidRDefault="005E3322" w:rsidP="00CC73AE">
            <w:pPr>
              <w:jc w:val="center"/>
            </w:pPr>
            <w:r>
              <w:rPr>
                <w:rFonts w:hint="eastAsia"/>
              </w:rPr>
              <w:t>境内原材料供应商</w:t>
            </w:r>
            <w:r>
              <w:rPr>
                <w:rFonts w:hint="eastAsia"/>
              </w:rPr>
              <w:t>-</w:t>
            </w:r>
            <w:r>
              <w:rPr>
                <w:rFonts w:hint="eastAsia"/>
              </w:rPr>
              <w:t>博达新能、江西达本</w:t>
            </w:r>
            <w:r>
              <w:rPr>
                <w:rFonts w:hint="eastAsia"/>
              </w:rPr>
              <w:t>-</w:t>
            </w:r>
            <w:r>
              <w:rPr>
                <w:rFonts w:hint="eastAsia"/>
              </w:rPr>
              <w:t>出口代理机构</w:t>
            </w:r>
            <w:r>
              <w:rPr>
                <w:rFonts w:hint="eastAsia"/>
              </w:rPr>
              <w:t>-</w:t>
            </w:r>
            <w:r>
              <w:rPr>
                <w:rFonts w:hint="eastAsia"/>
              </w:rPr>
              <w:t>境外经</w:t>
            </w:r>
            <w:r>
              <w:rPr>
                <w:rFonts w:hint="eastAsia"/>
              </w:rPr>
              <w:lastRenderedPageBreak/>
              <w:t>营主体</w:t>
            </w:r>
          </w:p>
        </w:tc>
        <w:tc>
          <w:tcPr>
            <w:tcW w:w="5528" w:type="dxa"/>
            <w:vAlign w:val="center"/>
          </w:tcPr>
          <w:p w14:paraId="563ECBCF" w14:textId="77777777" w:rsidR="005E3322" w:rsidRDefault="005E3322" w:rsidP="00CC73AE">
            <w:r>
              <w:rPr>
                <w:rFonts w:hint="eastAsia"/>
              </w:rPr>
              <w:lastRenderedPageBreak/>
              <w:t>博达新能、江西达本分别与境内原材料供应商、贸易商签订人民币合同，以人民币进行结算</w:t>
            </w:r>
          </w:p>
        </w:tc>
      </w:tr>
      <w:tr w:rsidR="005E3322" w14:paraId="6414A02C" w14:textId="77777777" w:rsidTr="00CC73AE">
        <w:trPr>
          <w:trHeight w:val="540"/>
        </w:trPr>
        <w:tc>
          <w:tcPr>
            <w:tcW w:w="3114" w:type="dxa"/>
            <w:vMerge/>
            <w:vAlign w:val="center"/>
          </w:tcPr>
          <w:p w14:paraId="052DB858" w14:textId="77777777" w:rsidR="005E3322" w:rsidRDefault="005E3322" w:rsidP="00CC73AE">
            <w:pPr>
              <w:jc w:val="center"/>
            </w:pPr>
          </w:p>
        </w:tc>
        <w:tc>
          <w:tcPr>
            <w:tcW w:w="5528" w:type="dxa"/>
            <w:vAlign w:val="center"/>
          </w:tcPr>
          <w:p w14:paraId="4605B59A" w14:textId="77777777" w:rsidR="005E3322" w:rsidRDefault="005E3322" w:rsidP="00CC73AE">
            <w:r>
              <w:rPr>
                <w:rFonts w:hint="eastAsia"/>
              </w:rPr>
              <w:t>境外经营主体与出口代理机构主要签订美元合同，以美元进行结算</w:t>
            </w:r>
          </w:p>
        </w:tc>
      </w:tr>
      <w:tr w:rsidR="005E3322" w14:paraId="6BAB95FC" w14:textId="77777777" w:rsidTr="00CC73AE">
        <w:trPr>
          <w:trHeight w:val="684"/>
        </w:trPr>
        <w:tc>
          <w:tcPr>
            <w:tcW w:w="3114" w:type="dxa"/>
            <w:vMerge w:val="restart"/>
            <w:vAlign w:val="center"/>
          </w:tcPr>
          <w:p w14:paraId="06519FEA" w14:textId="77777777" w:rsidR="005E3322" w:rsidRPr="00765EA8" w:rsidRDefault="005E3322" w:rsidP="00CC73AE">
            <w:pPr>
              <w:jc w:val="center"/>
            </w:pPr>
            <w:r>
              <w:rPr>
                <w:rFonts w:hint="eastAsia"/>
              </w:rPr>
              <w:lastRenderedPageBreak/>
              <w:t>境内原材料供应商</w:t>
            </w:r>
            <w:r>
              <w:rPr>
                <w:rFonts w:hint="eastAsia"/>
              </w:rPr>
              <w:t>-</w:t>
            </w:r>
            <w:r>
              <w:rPr>
                <w:rFonts w:hint="eastAsia"/>
              </w:rPr>
              <w:t>江西达本</w:t>
            </w:r>
            <w:r>
              <w:rPr>
                <w:rFonts w:hint="eastAsia"/>
              </w:rPr>
              <w:t>-</w:t>
            </w:r>
            <w:r>
              <w:rPr>
                <w:rFonts w:hint="eastAsia"/>
              </w:rPr>
              <w:t>境外经营主体</w:t>
            </w:r>
          </w:p>
        </w:tc>
        <w:tc>
          <w:tcPr>
            <w:tcW w:w="5528" w:type="dxa"/>
            <w:vAlign w:val="center"/>
          </w:tcPr>
          <w:p w14:paraId="04708504" w14:textId="77777777" w:rsidR="005E3322" w:rsidRPr="00765EA8" w:rsidRDefault="005E3322" w:rsidP="00CC73AE">
            <w:r>
              <w:rPr>
                <w:rFonts w:hint="eastAsia"/>
              </w:rPr>
              <w:t>江西达本与</w:t>
            </w:r>
            <w:proofErr w:type="gramStart"/>
            <w:r>
              <w:rPr>
                <w:rFonts w:hint="eastAsia"/>
              </w:rPr>
              <w:t>与</w:t>
            </w:r>
            <w:proofErr w:type="gramEnd"/>
            <w:r>
              <w:rPr>
                <w:rFonts w:hint="eastAsia"/>
              </w:rPr>
              <w:t>境内原材料供应商签订人民币合同，以人民币进行结算</w:t>
            </w:r>
          </w:p>
        </w:tc>
      </w:tr>
      <w:tr w:rsidR="005E3322" w14:paraId="797A0BC1" w14:textId="77777777" w:rsidTr="00CC73AE">
        <w:trPr>
          <w:trHeight w:val="684"/>
        </w:trPr>
        <w:tc>
          <w:tcPr>
            <w:tcW w:w="3114" w:type="dxa"/>
            <w:vMerge/>
            <w:vAlign w:val="center"/>
          </w:tcPr>
          <w:p w14:paraId="30A5D2D8" w14:textId="77777777" w:rsidR="005E3322" w:rsidRDefault="005E3322" w:rsidP="00CC73AE">
            <w:pPr>
              <w:jc w:val="center"/>
            </w:pPr>
          </w:p>
        </w:tc>
        <w:tc>
          <w:tcPr>
            <w:tcW w:w="5528" w:type="dxa"/>
            <w:vAlign w:val="center"/>
          </w:tcPr>
          <w:p w14:paraId="64966A54" w14:textId="77777777" w:rsidR="005E3322" w:rsidRPr="00765EA8" w:rsidRDefault="005E3322" w:rsidP="00CC73AE">
            <w:r>
              <w:rPr>
                <w:rFonts w:hint="eastAsia"/>
              </w:rPr>
              <w:t>江西达本与境外经营主体主要签订美元合同，以美元进行结算</w:t>
            </w:r>
          </w:p>
        </w:tc>
      </w:tr>
      <w:tr w:rsidR="005E3322" w14:paraId="5DF823FC" w14:textId="77777777" w:rsidTr="00CC73AE">
        <w:tc>
          <w:tcPr>
            <w:tcW w:w="3114" w:type="dxa"/>
            <w:vAlign w:val="center"/>
          </w:tcPr>
          <w:p w14:paraId="5A21D2E3" w14:textId="77777777" w:rsidR="005E3322" w:rsidRPr="00765EA8" w:rsidRDefault="005E3322" w:rsidP="00CC73AE">
            <w:pPr>
              <w:jc w:val="center"/>
            </w:pPr>
            <w:r>
              <w:rPr>
                <w:rFonts w:hint="eastAsia"/>
              </w:rPr>
              <w:t>境内原材料供应商</w:t>
            </w:r>
            <w:r>
              <w:rPr>
                <w:rFonts w:hint="eastAsia"/>
              </w:rPr>
              <w:t>-</w:t>
            </w:r>
            <w:r>
              <w:rPr>
                <w:rFonts w:hint="eastAsia"/>
              </w:rPr>
              <w:t>境外经营主体</w:t>
            </w:r>
          </w:p>
        </w:tc>
        <w:tc>
          <w:tcPr>
            <w:tcW w:w="5528" w:type="dxa"/>
            <w:vAlign w:val="center"/>
          </w:tcPr>
          <w:p w14:paraId="5EA43E55" w14:textId="77777777" w:rsidR="005E3322" w:rsidRPr="00765EA8" w:rsidRDefault="005E3322" w:rsidP="00CC73AE">
            <w:r>
              <w:rPr>
                <w:rFonts w:hint="eastAsia"/>
              </w:rPr>
              <w:t>境外经营主体与境内原材料供应商主要签订美元合同，以美元进行结算</w:t>
            </w:r>
          </w:p>
        </w:tc>
      </w:tr>
      <w:tr w:rsidR="005E3322" w14:paraId="0E07EEDE" w14:textId="77777777" w:rsidTr="00CC73AE">
        <w:tc>
          <w:tcPr>
            <w:tcW w:w="3114" w:type="dxa"/>
            <w:vAlign w:val="center"/>
          </w:tcPr>
          <w:p w14:paraId="138963F9" w14:textId="77777777" w:rsidR="005E3322" w:rsidRDefault="005E3322" w:rsidP="00CC73AE">
            <w:pPr>
              <w:jc w:val="center"/>
            </w:pPr>
            <w:r>
              <w:rPr>
                <w:rFonts w:hint="eastAsia"/>
              </w:rPr>
              <w:t>境外原材料供应商</w:t>
            </w:r>
            <w:r>
              <w:rPr>
                <w:rFonts w:hint="eastAsia"/>
              </w:rPr>
              <w:t>-</w:t>
            </w:r>
            <w:r>
              <w:rPr>
                <w:rFonts w:hint="eastAsia"/>
              </w:rPr>
              <w:t>境外经营主体</w:t>
            </w:r>
          </w:p>
        </w:tc>
        <w:tc>
          <w:tcPr>
            <w:tcW w:w="5528" w:type="dxa"/>
            <w:vAlign w:val="center"/>
          </w:tcPr>
          <w:p w14:paraId="18CD10BD" w14:textId="77777777" w:rsidR="005E3322" w:rsidRDefault="005E3322" w:rsidP="00CC73AE">
            <w:r>
              <w:rPr>
                <w:rFonts w:hint="eastAsia"/>
              </w:rPr>
              <w:t>境外经营主体与境外原材料供应商主要签订美元合同，以美元进行结算</w:t>
            </w:r>
          </w:p>
        </w:tc>
      </w:tr>
    </w:tbl>
    <w:p w14:paraId="6C882A62" w14:textId="53450307" w:rsidR="00FC5A62" w:rsidRDefault="005E3322" w:rsidP="00D97102">
      <w:pPr>
        <w:spacing w:beforeLines="50" w:before="156" w:afterLines="50" w:after="156" w:line="360" w:lineRule="auto"/>
        <w:ind w:firstLineChars="200" w:firstLine="482"/>
        <w:outlineLvl w:val="2"/>
        <w:rPr>
          <w:rFonts w:ascii="宋体" w:hAnsi="宋体"/>
          <w:b/>
          <w:bCs/>
          <w:color w:val="000000"/>
          <w:sz w:val="24"/>
        </w:rPr>
      </w:pPr>
      <w:r>
        <w:rPr>
          <w:rFonts w:ascii="宋体" w:hAnsi="宋体" w:hint="eastAsia"/>
          <w:b/>
          <w:bCs/>
          <w:color w:val="000000"/>
          <w:sz w:val="24"/>
        </w:rPr>
        <w:t>四</w:t>
      </w:r>
      <w:r w:rsidR="00C76273">
        <w:rPr>
          <w:rFonts w:ascii="宋体" w:hAnsi="宋体" w:hint="eastAsia"/>
          <w:b/>
          <w:bCs/>
          <w:color w:val="000000"/>
          <w:sz w:val="24"/>
        </w:rPr>
        <w:t>、汇兑损益对标的公司净利润的影响较小，不存在</w:t>
      </w:r>
      <w:r w:rsidR="00C76273">
        <w:rPr>
          <w:rFonts w:ascii="宋体" w:hAnsi="宋体" w:hint="eastAsia"/>
          <w:b/>
          <w:bCs/>
          <w:sz w:val="24"/>
        </w:rPr>
        <w:t>净利润主要来自汇兑损益的情况</w:t>
      </w:r>
    </w:p>
    <w:p w14:paraId="0C5E9561" w14:textId="77777777" w:rsidR="005E3322" w:rsidRDefault="005E3322" w:rsidP="005E3322">
      <w:pPr>
        <w:spacing w:line="500" w:lineRule="exact"/>
        <w:ind w:firstLineChars="200" w:firstLine="480"/>
        <w:rPr>
          <w:sz w:val="24"/>
        </w:rPr>
      </w:pPr>
      <w:r>
        <w:rPr>
          <w:rFonts w:hint="eastAsia"/>
          <w:sz w:val="24"/>
        </w:rPr>
        <w:t>标的公司合并财务报表中银行存款、应收账款等外币货币性项目主要为境外经营主体的以美元计价的货币性项目，相应项目的汇率变动在编制合并报表时经由外币报表折算体现为其他综合收益，不会对标的公司合并财务报表的净利润产生影响，仅部分经营主体持有的少量币种与其记账本位</w:t>
      </w:r>
      <w:proofErr w:type="gramStart"/>
      <w:r>
        <w:rPr>
          <w:rFonts w:hint="eastAsia"/>
          <w:sz w:val="24"/>
        </w:rPr>
        <w:t>币不同</w:t>
      </w:r>
      <w:proofErr w:type="gramEnd"/>
      <w:r>
        <w:rPr>
          <w:rFonts w:hint="eastAsia"/>
          <w:sz w:val="24"/>
        </w:rPr>
        <w:t>的货币性项目因汇率变动产生的汇兑损益对合并财务报表净利润产生影响。</w:t>
      </w:r>
    </w:p>
    <w:p w14:paraId="3ECEDE79" w14:textId="1769D58C" w:rsidR="00FC5A62" w:rsidRDefault="00C76273" w:rsidP="00D97102">
      <w:pPr>
        <w:spacing w:beforeLines="50" w:before="156" w:afterLines="50" w:after="156" w:line="360" w:lineRule="auto"/>
        <w:ind w:firstLineChars="200" w:firstLine="480"/>
        <w:rPr>
          <w:sz w:val="24"/>
        </w:rPr>
      </w:pPr>
      <w:r>
        <w:rPr>
          <w:rFonts w:hint="eastAsia"/>
          <w:sz w:val="24"/>
        </w:rPr>
        <w:t>2</w:t>
      </w:r>
      <w:r>
        <w:rPr>
          <w:sz w:val="24"/>
        </w:rPr>
        <w:t>021</w:t>
      </w:r>
      <w:r>
        <w:rPr>
          <w:rFonts w:hint="eastAsia"/>
          <w:sz w:val="24"/>
        </w:rPr>
        <w:t>年度、</w:t>
      </w:r>
      <w:r>
        <w:rPr>
          <w:rFonts w:hint="eastAsia"/>
          <w:sz w:val="24"/>
        </w:rPr>
        <w:t>2</w:t>
      </w:r>
      <w:r>
        <w:rPr>
          <w:sz w:val="24"/>
        </w:rPr>
        <w:t>022</w:t>
      </w:r>
      <w:r>
        <w:rPr>
          <w:rFonts w:hint="eastAsia"/>
          <w:sz w:val="24"/>
        </w:rPr>
        <w:t>年度及</w:t>
      </w:r>
      <w:r>
        <w:rPr>
          <w:rFonts w:hint="eastAsia"/>
          <w:sz w:val="24"/>
        </w:rPr>
        <w:t>2</w:t>
      </w:r>
      <w:r>
        <w:rPr>
          <w:sz w:val="24"/>
        </w:rPr>
        <w:t>023</w:t>
      </w:r>
      <w:r>
        <w:rPr>
          <w:rFonts w:hint="eastAsia"/>
          <w:sz w:val="24"/>
        </w:rPr>
        <w:t>年一季度标的公司汇兑损益对净利润的影响情况如下：</w:t>
      </w:r>
    </w:p>
    <w:p w14:paraId="21399EF3" w14:textId="77777777" w:rsidR="00FC5A62" w:rsidRDefault="00C76273">
      <w:pPr>
        <w:ind w:firstLineChars="200" w:firstLine="420"/>
        <w:jc w:val="right"/>
      </w:pPr>
      <w:r>
        <w:rPr>
          <w:rFonts w:hint="eastAsia"/>
        </w:rPr>
        <w:t>单位：万元</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734"/>
        <w:gridCol w:w="1918"/>
        <w:gridCol w:w="1435"/>
        <w:gridCol w:w="1435"/>
      </w:tblGrid>
      <w:tr w:rsidR="00FC5A62" w14:paraId="7802A07E" w14:textId="77777777">
        <w:trPr>
          <w:cantSplit/>
          <w:trHeight w:val="397"/>
          <w:tblHeader/>
          <w:jc w:val="center"/>
        </w:trPr>
        <w:tc>
          <w:tcPr>
            <w:tcW w:w="2190" w:type="pct"/>
            <w:shd w:val="clear" w:color="auto" w:fill="FFFFFF"/>
            <w:vAlign w:val="center"/>
          </w:tcPr>
          <w:p w14:paraId="3A93A5B2" w14:textId="77777777" w:rsidR="00FC5A62" w:rsidRDefault="00C76273">
            <w:pPr>
              <w:jc w:val="center"/>
              <w:rPr>
                <w:b/>
                <w:color w:val="000000"/>
              </w:rPr>
            </w:pPr>
            <w:r>
              <w:rPr>
                <w:b/>
                <w:color w:val="000000"/>
              </w:rPr>
              <w:t>期间</w:t>
            </w:r>
          </w:p>
        </w:tc>
        <w:tc>
          <w:tcPr>
            <w:tcW w:w="1125" w:type="pct"/>
            <w:shd w:val="clear" w:color="auto" w:fill="FFFFFF"/>
            <w:vAlign w:val="center"/>
          </w:tcPr>
          <w:p w14:paraId="4D487A33" w14:textId="77777777" w:rsidR="00FC5A62" w:rsidRDefault="00C76273">
            <w:pPr>
              <w:jc w:val="center"/>
              <w:rPr>
                <w:b/>
                <w:color w:val="000000"/>
              </w:rPr>
            </w:pPr>
            <w:r>
              <w:rPr>
                <w:b/>
                <w:color w:val="000000"/>
              </w:rPr>
              <w:t>2023</w:t>
            </w:r>
            <w:r>
              <w:rPr>
                <w:b/>
                <w:color w:val="000000"/>
              </w:rPr>
              <w:t>年</w:t>
            </w:r>
            <w:r>
              <w:rPr>
                <w:b/>
                <w:color w:val="000000"/>
              </w:rPr>
              <w:t>1-3</w:t>
            </w:r>
            <w:r>
              <w:rPr>
                <w:b/>
                <w:color w:val="000000"/>
              </w:rPr>
              <w:t>月</w:t>
            </w:r>
          </w:p>
        </w:tc>
        <w:tc>
          <w:tcPr>
            <w:tcW w:w="842" w:type="pct"/>
            <w:shd w:val="clear" w:color="auto" w:fill="FFFFFF"/>
            <w:vAlign w:val="center"/>
          </w:tcPr>
          <w:p w14:paraId="7084DCE0" w14:textId="77777777" w:rsidR="00FC5A62" w:rsidRDefault="00C76273">
            <w:pPr>
              <w:jc w:val="center"/>
              <w:rPr>
                <w:b/>
                <w:color w:val="000000"/>
              </w:rPr>
            </w:pPr>
            <w:r>
              <w:rPr>
                <w:b/>
                <w:color w:val="000000"/>
              </w:rPr>
              <w:t>2022</w:t>
            </w:r>
            <w:r>
              <w:rPr>
                <w:b/>
                <w:color w:val="000000"/>
              </w:rPr>
              <w:t>年度</w:t>
            </w:r>
          </w:p>
        </w:tc>
        <w:tc>
          <w:tcPr>
            <w:tcW w:w="842" w:type="pct"/>
            <w:shd w:val="clear" w:color="auto" w:fill="FFFFFF"/>
            <w:vAlign w:val="center"/>
          </w:tcPr>
          <w:p w14:paraId="341A8239" w14:textId="77777777" w:rsidR="00FC5A62" w:rsidRDefault="00C76273">
            <w:pPr>
              <w:jc w:val="center"/>
              <w:rPr>
                <w:b/>
                <w:color w:val="000000"/>
              </w:rPr>
            </w:pPr>
            <w:r>
              <w:rPr>
                <w:b/>
                <w:color w:val="000000"/>
              </w:rPr>
              <w:t>2021</w:t>
            </w:r>
            <w:r>
              <w:rPr>
                <w:b/>
                <w:color w:val="000000"/>
              </w:rPr>
              <w:t>年度</w:t>
            </w:r>
          </w:p>
        </w:tc>
      </w:tr>
      <w:tr w:rsidR="00FC5A62" w14:paraId="0DC2582F" w14:textId="77777777">
        <w:trPr>
          <w:cantSplit/>
          <w:trHeight w:val="397"/>
          <w:jc w:val="center"/>
        </w:trPr>
        <w:tc>
          <w:tcPr>
            <w:tcW w:w="2190" w:type="pct"/>
            <w:shd w:val="clear" w:color="auto" w:fill="FFFFFF"/>
            <w:vAlign w:val="center"/>
          </w:tcPr>
          <w:p w14:paraId="17D3EF2C" w14:textId="0B80D711" w:rsidR="00FC5A62" w:rsidRDefault="00C76273">
            <w:pPr>
              <w:jc w:val="left"/>
              <w:rPr>
                <w:color w:val="000000"/>
              </w:rPr>
            </w:pPr>
            <w:r>
              <w:rPr>
                <w:rFonts w:hint="eastAsia"/>
                <w:color w:val="000000"/>
              </w:rPr>
              <w:t>汇兑损失（收益用</w:t>
            </w:r>
            <w:r w:rsidR="0001477F">
              <w:rPr>
                <w:rFonts w:hint="eastAsia"/>
                <w:color w:val="000000"/>
              </w:rPr>
              <w:t>负</w:t>
            </w:r>
            <w:r>
              <w:rPr>
                <w:rFonts w:hint="eastAsia"/>
                <w:color w:val="000000"/>
              </w:rPr>
              <w:t>数表示）</w:t>
            </w:r>
          </w:p>
        </w:tc>
        <w:tc>
          <w:tcPr>
            <w:tcW w:w="1125" w:type="pct"/>
            <w:shd w:val="clear" w:color="auto" w:fill="FFFFFF"/>
            <w:vAlign w:val="center"/>
          </w:tcPr>
          <w:p w14:paraId="388B25F4" w14:textId="77777777" w:rsidR="00FC5A62" w:rsidRDefault="00C76273">
            <w:pPr>
              <w:jc w:val="right"/>
              <w:rPr>
                <w:color w:val="000000"/>
              </w:rPr>
            </w:pPr>
            <w:r>
              <w:rPr>
                <w:color w:val="000000"/>
              </w:rPr>
              <w:t>193.70</w:t>
            </w:r>
          </w:p>
        </w:tc>
        <w:tc>
          <w:tcPr>
            <w:tcW w:w="842" w:type="pct"/>
            <w:shd w:val="clear" w:color="auto" w:fill="FFFFFF"/>
            <w:vAlign w:val="center"/>
          </w:tcPr>
          <w:p w14:paraId="4D3BD99B" w14:textId="77777777" w:rsidR="00FC5A62" w:rsidRDefault="00C76273">
            <w:pPr>
              <w:jc w:val="right"/>
              <w:rPr>
                <w:color w:val="000000"/>
              </w:rPr>
            </w:pPr>
            <w:r>
              <w:rPr>
                <w:color w:val="000000"/>
              </w:rPr>
              <w:t>-321.61</w:t>
            </w:r>
          </w:p>
        </w:tc>
        <w:tc>
          <w:tcPr>
            <w:tcW w:w="842" w:type="pct"/>
            <w:shd w:val="clear" w:color="auto" w:fill="FFFFFF"/>
            <w:vAlign w:val="center"/>
          </w:tcPr>
          <w:p w14:paraId="0C17F298" w14:textId="77777777" w:rsidR="00FC5A62" w:rsidRDefault="00C76273">
            <w:pPr>
              <w:jc w:val="right"/>
              <w:rPr>
                <w:color w:val="000000"/>
              </w:rPr>
            </w:pPr>
            <w:r>
              <w:rPr>
                <w:color w:val="000000"/>
              </w:rPr>
              <w:t>161.07</w:t>
            </w:r>
          </w:p>
        </w:tc>
      </w:tr>
      <w:tr w:rsidR="00FC5A62" w14:paraId="21191434" w14:textId="77777777">
        <w:trPr>
          <w:cantSplit/>
          <w:trHeight w:val="397"/>
          <w:jc w:val="center"/>
        </w:trPr>
        <w:tc>
          <w:tcPr>
            <w:tcW w:w="2190" w:type="pct"/>
            <w:shd w:val="clear" w:color="auto" w:fill="FFFFFF"/>
            <w:vAlign w:val="center"/>
          </w:tcPr>
          <w:p w14:paraId="73BDC7EE" w14:textId="77777777" w:rsidR="00FC5A62" w:rsidRDefault="00C76273">
            <w:pPr>
              <w:jc w:val="left"/>
              <w:rPr>
                <w:color w:val="000000"/>
              </w:rPr>
            </w:pPr>
            <w:r>
              <w:rPr>
                <w:rFonts w:hint="eastAsia"/>
                <w:color w:val="000000"/>
              </w:rPr>
              <w:t>净利润</w:t>
            </w:r>
          </w:p>
        </w:tc>
        <w:tc>
          <w:tcPr>
            <w:tcW w:w="1125" w:type="pct"/>
            <w:shd w:val="clear" w:color="auto" w:fill="FFFFFF"/>
            <w:vAlign w:val="center"/>
          </w:tcPr>
          <w:p w14:paraId="52ABF2E4" w14:textId="77777777" w:rsidR="00FC5A62" w:rsidRDefault="00C76273">
            <w:pPr>
              <w:jc w:val="right"/>
              <w:rPr>
                <w:color w:val="000000"/>
              </w:rPr>
            </w:pPr>
            <w:r>
              <w:rPr>
                <w:color w:val="000000"/>
              </w:rPr>
              <w:t>16,386.20</w:t>
            </w:r>
          </w:p>
        </w:tc>
        <w:tc>
          <w:tcPr>
            <w:tcW w:w="842" w:type="pct"/>
            <w:shd w:val="clear" w:color="auto" w:fill="FFFFFF"/>
            <w:vAlign w:val="center"/>
          </w:tcPr>
          <w:p w14:paraId="2991F15E" w14:textId="77777777" w:rsidR="00FC5A62" w:rsidRDefault="00C76273">
            <w:pPr>
              <w:jc w:val="right"/>
              <w:rPr>
                <w:color w:val="000000"/>
              </w:rPr>
            </w:pPr>
            <w:r>
              <w:rPr>
                <w:color w:val="000000"/>
              </w:rPr>
              <w:t>20,404.54</w:t>
            </w:r>
          </w:p>
        </w:tc>
        <w:tc>
          <w:tcPr>
            <w:tcW w:w="842" w:type="pct"/>
            <w:shd w:val="clear" w:color="auto" w:fill="FFFFFF"/>
            <w:vAlign w:val="center"/>
          </w:tcPr>
          <w:p w14:paraId="5EE56323" w14:textId="77777777" w:rsidR="00FC5A62" w:rsidRDefault="00C76273">
            <w:pPr>
              <w:jc w:val="right"/>
              <w:rPr>
                <w:color w:val="000000"/>
              </w:rPr>
            </w:pPr>
            <w:r>
              <w:rPr>
                <w:color w:val="000000"/>
              </w:rPr>
              <w:t>-7,634.88</w:t>
            </w:r>
          </w:p>
        </w:tc>
      </w:tr>
      <w:tr w:rsidR="00FC5A62" w14:paraId="1243D7AB" w14:textId="77777777">
        <w:trPr>
          <w:cantSplit/>
          <w:trHeight w:val="397"/>
          <w:jc w:val="center"/>
        </w:trPr>
        <w:tc>
          <w:tcPr>
            <w:tcW w:w="2190" w:type="pct"/>
            <w:shd w:val="clear" w:color="auto" w:fill="FFFFFF"/>
            <w:vAlign w:val="center"/>
          </w:tcPr>
          <w:p w14:paraId="5A28C43D" w14:textId="77777777" w:rsidR="00FC5A62" w:rsidRDefault="00C76273">
            <w:pPr>
              <w:jc w:val="left"/>
              <w:rPr>
                <w:color w:val="000000"/>
              </w:rPr>
            </w:pPr>
            <w:r>
              <w:rPr>
                <w:rFonts w:hint="eastAsia"/>
                <w:color w:val="000000"/>
              </w:rPr>
              <w:t>占比</w:t>
            </w:r>
          </w:p>
        </w:tc>
        <w:tc>
          <w:tcPr>
            <w:tcW w:w="1125" w:type="pct"/>
            <w:shd w:val="clear" w:color="auto" w:fill="FFFFFF"/>
            <w:vAlign w:val="center"/>
          </w:tcPr>
          <w:p w14:paraId="68FD3E96" w14:textId="77777777" w:rsidR="00FC5A62" w:rsidRDefault="00C76273">
            <w:pPr>
              <w:jc w:val="right"/>
              <w:rPr>
                <w:color w:val="000000"/>
              </w:rPr>
            </w:pPr>
            <w:r>
              <w:rPr>
                <w:color w:val="000000"/>
              </w:rPr>
              <w:t>1.18%</w:t>
            </w:r>
          </w:p>
        </w:tc>
        <w:tc>
          <w:tcPr>
            <w:tcW w:w="842" w:type="pct"/>
            <w:shd w:val="clear" w:color="auto" w:fill="FFFFFF"/>
            <w:vAlign w:val="center"/>
          </w:tcPr>
          <w:p w14:paraId="5656E5F2" w14:textId="77777777" w:rsidR="00FC5A62" w:rsidRDefault="00C76273">
            <w:pPr>
              <w:jc w:val="right"/>
              <w:rPr>
                <w:color w:val="000000"/>
              </w:rPr>
            </w:pPr>
            <w:r>
              <w:rPr>
                <w:color w:val="000000"/>
              </w:rPr>
              <w:t>-1.58%</w:t>
            </w:r>
          </w:p>
        </w:tc>
        <w:tc>
          <w:tcPr>
            <w:tcW w:w="842" w:type="pct"/>
            <w:shd w:val="clear" w:color="auto" w:fill="FFFFFF"/>
            <w:vAlign w:val="center"/>
          </w:tcPr>
          <w:p w14:paraId="5EC04C81" w14:textId="77777777" w:rsidR="00FC5A62" w:rsidRDefault="00C76273">
            <w:pPr>
              <w:jc w:val="right"/>
              <w:rPr>
                <w:color w:val="000000"/>
              </w:rPr>
            </w:pPr>
            <w:r>
              <w:rPr>
                <w:color w:val="000000"/>
              </w:rPr>
              <w:t>-2.11%</w:t>
            </w:r>
          </w:p>
        </w:tc>
      </w:tr>
    </w:tbl>
    <w:p w14:paraId="4FB576B0" w14:textId="77777777" w:rsidR="00FC5A62" w:rsidRDefault="00C76273">
      <w:pPr>
        <w:pStyle w:val="af3"/>
      </w:pPr>
      <w:r>
        <w:rPr>
          <w:rFonts w:hint="eastAsia"/>
        </w:rPr>
        <w:t>注：以上财务数据未经审计</w:t>
      </w:r>
    </w:p>
    <w:p w14:paraId="7F972748" w14:textId="77777777" w:rsidR="00FC5A62" w:rsidRDefault="00C76273" w:rsidP="00557F40">
      <w:pPr>
        <w:spacing w:beforeLines="50" w:before="156" w:afterLines="50" w:after="156" w:line="360" w:lineRule="auto"/>
        <w:ind w:firstLineChars="200" w:firstLine="480"/>
        <w:rPr>
          <w:sz w:val="24"/>
        </w:rPr>
      </w:pPr>
      <w:r>
        <w:rPr>
          <w:rFonts w:hint="eastAsia"/>
          <w:sz w:val="24"/>
        </w:rPr>
        <w:t>2021</w:t>
      </w:r>
      <w:r>
        <w:rPr>
          <w:rFonts w:hint="eastAsia"/>
          <w:sz w:val="24"/>
        </w:rPr>
        <w:t>年度、</w:t>
      </w:r>
      <w:r>
        <w:rPr>
          <w:rFonts w:hint="eastAsia"/>
          <w:sz w:val="24"/>
        </w:rPr>
        <w:t>2022</w:t>
      </w:r>
      <w:r>
        <w:rPr>
          <w:rFonts w:hint="eastAsia"/>
          <w:sz w:val="24"/>
        </w:rPr>
        <w:t>年度及</w:t>
      </w:r>
      <w:r>
        <w:rPr>
          <w:rFonts w:hint="eastAsia"/>
          <w:sz w:val="24"/>
        </w:rPr>
        <w:t>2023</w:t>
      </w:r>
      <w:r>
        <w:rPr>
          <w:rFonts w:hint="eastAsia"/>
          <w:sz w:val="24"/>
        </w:rPr>
        <w:t>年一季度，标的公司汇兑</w:t>
      </w:r>
      <w:proofErr w:type="gramStart"/>
      <w:r>
        <w:rPr>
          <w:rFonts w:hint="eastAsia"/>
          <w:sz w:val="24"/>
        </w:rPr>
        <w:t>损益占</w:t>
      </w:r>
      <w:proofErr w:type="gramEnd"/>
      <w:r>
        <w:rPr>
          <w:rFonts w:hint="eastAsia"/>
          <w:sz w:val="24"/>
        </w:rPr>
        <w:t>净利润的比例分别为</w:t>
      </w:r>
      <w:r>
        <w:rPr>
          <w:sz w:val="24"/>
        </w:rPr>
        <w:t>-2.11%</w:t>
      </w:r>
      <w:r>
        <w:rPr>
          <w:rFonts w:hint="eastAsia"/>
          <w:sz w:val="24"/>
        </w:rPr>
        <w:t>、</w:t>
      </w:r>
      <w:r>
        <w:rPr>
          <w:sz w:val="24"/>
        </w:rPr>
        <w:t>-1.58%</w:t>
      </w:r>
      <w:r>
        <w:rPr>
          <w:rFonts w:hint="eastAsia"/>
          <w:sz w:val="24"/>
        </w:rPr>
        <w:t>和</w:t>
      </w:r>
      <w:r>
        <w:rPr>
          <w:sz w:val="24"/>
        </w:rPr>
        <w:t>1.18%</w:t>
      </w:r>
      <w:r>
        <w:rPr>
          <w:rFonts w:hint="eastAsia"/>
          <w:sz w:val="24"/>
        </w:rPr>
        <w:t>，</w:t>
      </w:r>
      <w:proofErr w:type="gramStart"/>
      <w:r>
        <w:rPr>
          <w:rFonts w:hint="eastAsia"/>
          <w:sz w:val="24"/>
        </w:rPr>
        <w:t>占比较</w:t>
      </w:r>
      <w:proofErr w:type="gramEnd"/>
      <w:r>
        <w:rPr>
          <w:rFonts w:hint="eastAsia"/>
          <w:sz w:val="24"/>
        </w:rPr>
        <w:t>小，不存在净利润主要来自汇兑损益的情况。</w:t>
      </w:r>
    </w:p>
    <w:p w14:paraId="64CB0431" w14:textId="77777777" w:rsidR="00FC5A62" w:rsidRDefault="00FC5A62">
      <w:pPr>
        <w:spacing w:line="500" w:lineRule="exact"/>
        <w:ind w:firstLineChars="200" w:firstLine="480"/>
        <w:rPr>
          <w:sz w:val="24"/>
        </w:rPr>
      </w:pPr>
    </w:p>
    <w:p w14:paraId="5B6CC290" w14:textId="77777777" w:rsidR="00FC5A62" w:rsidRDefault="00C76273" w:rsidP="003A161E">
      <w:pPr>
        <w:spacing w:beforeLines="50" w:before="156" w:afterLines="50" w:after="156" w:line="360" w:lineRule="auto"/>
        <w:ind w:firstLineChars="200" w:firstLine="480"/>
        <w:outlineLvl w:val="1"/>
        <w:rPr>
          <w:rFonts w:eastAsia="黑体"/>
          <w:sz w:val="24"/>
        </w:rPr>
      </w:pPr>
      <w:r>
        <w:rPr>
          <w:rFonts w:eastAsia="黑体" w:hint="eastAsia"/>
          <w:sz w:val="24"/>
        </w:rPr>
        <w:t>问题四</w:t>
      </w:r>
      <w:r>
        <w:rPr>
          <w:rFonts w:eastAsia="黑体"/>
          <w:sz w:val="24"/>
        </w:rPr>
        <w:t>、预案披露，标的公司资产负债率较高。</w:t>
      </w:r>
      <w:r>
        <w:rPr>
          <w:rFonts w:eastAsia="黑体"/>
          <w:sz w:val="24"/>
        </w:rPr>
        <w:t>2021</w:t>
      </w:r>
      <w:r>
        <w:rPr>
          <w:rFonts w:eastAsia="黑体"/>
          <w:sz w:val="24"/>
        </w:rPr>
        <w:t>年、</w:t>
      </w:r>
      <w:r>
        <w:rPr>
          <w:rFonts w:eastAsia="黑体"/>
          <w:sz w:val="24"/>
        </w:rPr>
        <w:t>2022</w:t>
      </w:r>
      <w:r>
        <w:rPr>
          <w:rFonts w:eastAsia="黑体"/>
          <w:sz w:val="24"/>
        </w:rPr>
        <w:t>年、</w:t>
      </w:r>
      <w:r>
        <w:rPr>
          <w:rFonts w:eastAsia="黑体"/>
          <w:sz w:val="24"/>
        </w:rPr>
        <w:t>2023</w:t>
      </w:r>
      <w:r>
        <w:rPr>
          <w:rFonts w:eastAsia="黑体"/>
          <w:sz w:val="24"/>
        </w:rPr>
        <w:t>年一季度资产负债率分别达到</w:t>
      </w:r>
      <w:r>
        <w:rPr>
          <w:rFonts w:eastAsia="黑体"/>
          <w:sz w:val="24"/>
        </w:rPr>
        <w:t>107.47%</w:t>
      </w:r>
      <w:r>
        <w:rPr>
          <w:rFonts w:eastAsia="黑体"/>
          <w:sz w:val="24"/>
        </w:rPr>
        <w:t>、</w:t>
      </w:r>
      <w:r>
        <w:rPr>
          <w:rFonts w:eastAsia="黑体"/>
          <w:sz w:val="24"/>
        </w:rPr>
        <w:t>93.63%</w:t>
      </w:r>
      <w:r>
        <w:rPr>
          <w:rFonts w:eastAsia="黑体"/>
          <w:sz w:val="24"/>
        </w:rPr>
        <w:t>、</w:t>
      </w:r>
      <w:r>
        <w:rPr>
          <w:rFonts w:eastAsia="黑体"/>
          <w:sz w:val="24"/>
        </w:rPr>
        <w:t>86.38%</w:t>
      </w:r>
      <w:r>
        <w:rPr>
          <w:rFonts w:eastAsia="黑体"/>
          <w:sz w:val="24"/>
        </w:rPr>
        <w:t>。定期报告显示，上市公</w:t>
      </w:r>
      <w:r>
        <w:rPr>
          <w:rFonts w:eastAsia="黑体"/>
          <w:sz w:val="24"/>
        </w:rPr>
        <w:lastRenderedPageBreak/>
        <w:t>司</w:t>
      </w:r>
      <w:r>
        <w:rPr>
          <w:rFonts w:eastAsia="黑体"/>
          <w:sz w:val="24"/>
        </w:rPr>
        <w:t>2023</w:t>
      </w:r>
      <w:r>
        <w:rPr>
          <w:rFonts w:eastAsia="黑体"/>
          <w:sz w:val="24"/>
        </w:rPr>
        <w:t>年上半年末资产负债率为</w:t>
      </w:r>
      <w:r>
        <w:rPr>
          <w:rFonts w:eastAsia="黑体"/>
          <w:sz w:val="24"/>
        </w:rPr>
        <w:t>77.12%</w:t>
      </w:r>
      <w:r>
        <w:rPr>
          <w:rFonts w:eastAsia="黑体"/>
          <w:sz w:val="24"/>
        </w:rPr>
        <w:t>，</w:t>
      </w:r>
      <w:proofErr w:type="gramStart"/>
      <w:r>
        <w:rPr>
          <w:rFonts w:eastAsia="黑体"/>
          <w:sz w:val="24"/>
        </w:rPr>
        <w:t>较期初</w:t>
      </w:r>
      <w:proofErr w:type="gramEnd"/>
      <w:r>
        <w:rPr>
          <w:rFonts w:eastAsia="黑体"/>
          <w:sz w:val="24"/>
        </w:rPr>
        <w:t>增长</w:t>
      </w:r>
      <w:r>
        <w:rPr>
          <w:rFonts w:eastAsia="黑体"/>
          <w:sz w:val="24"/>
        </w:rPr>
        <w:t>0.74</w:t>
      </w:r>
      <w:r>
        <w:rPr>
          <w:rFonts w:eastAsia="黑体"/>
          <w:sz w:val="24"/>
        </w:rPr>
        <w:t>个百分点。请公司：（</w:t>
      </w:r>
      <w:r>
        <w:rPr>
          <w:rFonts w:eastAsia="黑体"/>
          <w:sz w:val="24"/>
        </w:rPr>
        <w:t>1</w:t>
      </w:r>
      <w:r>
        <w:rPr>
          <w:rFonts w:eastAsia="黑体"/>
          <w:sz w:val="24"/>
        </w:rPr>
        <w:t>）补充披露标的公司负债构成，并结合标的公司所处行业、行业地位、负债情况，分析说明标的公司资产负债率较高的原因；（</w:t>
      </w:r>
      <w:r>
        <w:rPr>
          <w:rFonts w:eastAsia="黑体"/>
          <w:sz w:val="24"/>
        </w:rPr>
        <w:t>2</w:t>
      </w:r>
      <w:r>
        <w:rPr>
          <w:rFonts w:eastAsia="黑体"/>
          <w:sz w:val="24"/>
        </w:rPr>
        <w:t>）结合问题（</w:t>
      </w:r>
      <w:r>
        <w:rPr>
          <w:rFonts w:eastAsia="黑体"/>
          <w:sz w:val="24"/>
        </w:rPr>
        <w:t>1</w:t>
      </w:r>
      <w:r>
        <w:rPr>
          <w:rFonts w:eastAsia="黑体"/>
          <w:sz w:val="24"/>
        </w:rPr>
        <w:t>），说明本次交易对公司财务稳定性的影响，是否可能影响公司正常经营，说明公司拟采取的应对措施，并充分提示风险。</w:t>
      </w:r>
    </w:p>
    <w:p w14:paraId="7670E454" w14:textId="77777777" w:rsidR="00FC5A62" w:rsidRDefault="00C76273" w:rsidP="003A161E">
      <w:pPr>
        <w:spacing w:beforeLines="50" w:before="156" w:afterLines="50" w:after="156" w:line="360" w:lineRule="auto"/>
        <w:ind w:firstLineChars="200" w:firstLine="482"/>
        <w:rPr>
          <w:rFonts w:eastAsiaTheme="minorEastAsia"/>
          <w:b/>
          <w:bCs/>
          <w:color w:val="000000"/>
          <w:sz w:val="24"/>
        </w:rPr>
      </w:pPr>
      <w:r>
        <w:rPr>
          <w:rFonts w:eastAsiaTheme="minorEastAsia"/>
          <w:b/>
          <w:bCs/>
          <w:color w:val="000000"/>
          <w:sz w:val="24"/>
        </w:rPr>
        <w:t>回复：</w:t>
      </w:r>
    </w:p>
    <w:p w14:paraId="63F4586F" w14:textId="77777777" w:rsidR="00FC5A62" w:rsidRDefault="00C76273" w:rsidP="003A161E">
      <w:pPr>
        <w:spacing w:beforeLines="50" w:before="156" w:afterLines="50" w:after="156" w:line="360" w:lineRule="auto"/>
        <w:ind w:firstLineChars="200" w:firstLine="482"/>
        <w:outlineLvl w:val="2"/>
        <w:rPr>
          <w:b/>
          <w:bCs/>
          <w:color w:val="000000"/>
          <w:sz w:val="24"/>
        </w:rPr>
      </w:pPr>
      <w:r>
        <w:rPr>
          <w:rFonts w:hint="eastAsia"/>
          <w:b/>
          <w:bCs/>
          <w:color w:val="000000"/>
          <w:sz w:val="24"/>
        </w:rPr>
        <w:t>一、补充披露标的公司负债构成，并结合标的公司所处行业、行业地位、负债情况，分析说明标的公司资产负债率较高的原因；</w:t>
      </w:r>
    </w:p>
    <w:p w14:paraId="2FF18626" w14:textId="77777777" w:rsidR="00FC5A62" w:rsidRDefault="00C76273" w:rsidP="003A161E">
      <w:pPr>
        <w:spacing w:beforeLines="50" w:before="156" w:afterLines="50" w:after="156" w:line="360" w:lineRule="auto"/>
        <w:ind w:firstLineChars="200" w:firstLine="482"/>
        <w:outlineLvl w:val="3"/>
        <w:rPr>
          <w:b/>
          <w:bCs/>
          <w:sz w:val="24"/>
        </w:rPr>
      </w:pPr>
      <w:r>
        <w:rPr>
          <w:rFonts w:hint="eastAsia"/>
          <w:b/>
          <w:bCs/>
          <w:sz w:val="24"/>
        </w:rPr>
        <w:t>（一）标的公司负债构成情况</w:t>
      </w:r>
    </w:p>
    <w:p w14:paraId="5FB421E4" w14:textId="77777777" w:rsidR="00FC5A62" w:rsidRDefault="00C76273" w:rsidP="003A161E">
      <w:pPr>
        <w:spacing w:beforeLines="50" w:before="156" w:afterLines="50" w:after="156" w:line="360" w:lineRule="auto"/>
        <w:ind w:firstLineChars="200" w:firstLine="480"/>
        <w:rPr>
          <w:sz w:val="24"/>
        </w:rPr>
      </w:pPr>
      <w:r>
        <w:rPr>
          <w:rFonts w:hint="eastAsia"/>
          <w:sz w:val="24"/>
        </w:rPr>
        <w:t>标的公司</w:t>
      </w:r>
      <w:r>
        <w:rPr>
          <w:rFonts w:hint="eastAsia"/>
          <w:sz w:val="24"/>
        </w:rPr>
        <w:t>2021</w:t>
      </w:r>
      <w:r>
        <w:rPr>
          <w:rFonts w:hint="eastAsia"/>
          <w:sz w:val="24"/>
        </w:rPr>
        <w:t>年末、</w:t>
      </w:r>
      <w:r>
        <w:rPr>
          <w:rFonts w:hint="eastAsia"/>
          <w:sz w:val="24"/>
        </w:rPr>
        <w:t>2022</w:t>
      </w:r>
      <w:r>
        <w:rPr>
          <w:rFonts w:hint="eastAsia"/>
          <w:sz w:val="24"/>
        </w:rPr>
        <w:t>年末及</w:t>
      </w:r>
      <w:r>
        <w:rPr>
          <w:rFonts w:hint="eastAsia"/>
          <w:sz w:val="24"/>
        </w:rPr>
        <w:t>2023</w:t>
      </w:r>
      <w:r>
        <w:rPr>
          <w:rFonts w:hint="eastAsia"/>
          <w:sz w:val="24"/>
        </w:rPr>
        <w:t>年一季度末负债构成情况如下：</w:t>
      </w:r>
    </w:p>
    <w:p w14:paraId="1C85099D" w14:textId="77777777" w:rsidR="00FC5A62" w:rsidRDefault="00C76273" w:rsidP="000207C7">
      <w:pPr>
        <w:ind w:firstLineChars="200" w:firstLine="420"/>
        <w:jc w:val="right"/>
        <w:rPr>
          <w:szCs w:val="21"/>
        </w:rPr>
      </w:pPr>
      <w:r>
        <w:rPr>
          <w:rFonts w:hint="eastAsia"/>
          <w:szCs w:val="21"/>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FC5A62" w14:paraId="7949C865" w14:textId="77777777">
        <w:trPr>
          <w:trHeight w:val="397"/>
        </w:trPr>
        <w:tc>
          <w:tcPr>
            <w:tcW w:w="1250" w:type="pct"/>
            <w:shd w:val="clear" w:color="auto" w:fill="auto"/>
            <w:noWrap/>
            <w:vAlign w:val="center"/>
          </w:tcPr>
          <w:p w14:paraId="36CE8116" w14:textId="77777777" w:rsidR="00FC5A62" w:rsidRDefault="00C76273">
            <w:pPr>
              <w:widowControl/>
              <w:jc w:val="center"/>
              <w:rPr>
                <w:b/>
                <w:bCs/>
                <w:szCs w:val="21"/>
              </w:rPr>
            </w:pPr>
            <w:r>
              <w:rPr>
                <w:rFonts w:hint="eastAsia"/>
                <w:b/>
                <w:bCs/>
                <w:szCs w:val="21"/>
              </w:rPr>
              <w:t>项目</w:t>
            </w:r>
          </w:p>
        </w:tc>
        <w:tc>
          <w:tcPr>
            <w:tcW w:w="1250" w:type="pct"/>
            <w:shd w:val="clear" w:color="auto" w:fill="auto"/>
            <w:vAlign w:val="center"/>
          </w:tcPr>
          <w:p w14:paraId="2B3AF38C" w14:textId="77777777" w:rsidR="00FC5A62" w:rsidRDefault="00C76273">
            <w:pPr>
              <w:widowControl/>
              <w:jc w:val="center"/>
              <w:rPr>
                <w:b/>
                <w:bCs/>
                <w:szCs w:val="21"/>
              </w:rPr>
            </w:pPr>
            <w:r>
              <w:rPr>
                <w:b/>
                <w:bCs/>
                <w:szCs w:val="21"/>
              </w:rPr>
              <w:t>2023</w:t>
            </w:r>
            <w:r>
              <w:rPr>
                <w:rFonts w:hint="eastAsia"/>
                <w:b/>
                <w:bCs/>
                <w:szCs w:val="21"/>
              </w:rPr>
              <w:t>年</w:t>
            </w:r>
            <w:r>
              <w:rPr>
                <w:b/>
                <w:bCs/>
                <w:szCs w:val="21"/>
              </w:rPr>
              <w:t>3</w:t>
            </w:r>
            <w:r>
              <w:rPr>
                <w:rFonts w:hint="eastAsia"/>
                <w:b/>
                <w:bCs/>
                <w:szCs w:val="21"/>
              </w:rPr>
              <w:t>月</w:t>
            </w:r>
            <w:r>
              <w:rPr>
                <w:b/>
                <w:bCs/>
                <w:szCs w:val="21"/>
              </w:rPr>
              <w:t>31</w:t>
            </w:r>
            <w:r>
              <w:rPr>
                <w:rFonts w:hint="eastAsia"/>
                <w:b/>
                <w:bCs/>
                <w:szCs w:val="21"/>
              </w:rPr>
              <w:t>日</w:t>
            </w:r>
          </w:p>
        </w:tc>
        <w:tc>
          <w:tcPr>
            <w:tcW w:w="1250" w:type="pct"/>
            <w:shd w:val="clear" w:color="auto" w:fill="auto"/>
            <w:vAlign w:val="center"/>
          </w:tcPr>
          <w:p w14:paraId="0F9E1170" w14:textId="77777777" w:rsidR="00FC5A62" w:rsidRDefault="00C76273">
            <w:pPr>
              <w:widowControl/>
              <w:jc w:val="center"/>
              <w:rPr>
                <w:b/>
                <w:bCs/>
                <w:szCs w:val="21"/>
              </w:rPr>
            </w:pPr>
            <w:r>
              <w:rPr>
                <w:b/>
                <w:bCs/>
                <w:szCs w:val="21"/>
              </w:rPr>
              <w:t>2022</w:t>
            </w:r>
            <w:r>
              <w:rPr>
                <w:rFonts w:hint="eastAsia"/>
                <w:b/>
                <w:bCs/>
                <w:szCs w:val="21"/>
              </w:rPr>
              <w:t>年</w:t>
            </w:r>
            <w:r>
              <w:rPr>
                <w:b/>
                <w:bCs/>
                <w:szCs w:val="21"/>
              </w:rPr>
              <w:t>12</w:t>
            </w:r>
            <w:r>
              <w:rPr>
                <w:rFonts w:hint="eastAsia"/>
                <w:b/>
                <w:bCs/>
                <w:szCs w:val="21"/>
              </w:rPr>
              <w:t>月</w:t>
            </w:r>
            <w:r>
              <w:rPr>
                <w:b/>
                <w:bCs/>
                <w:szCs w:val="21"/>
              </w:rPr>
              <w:t>31</w:t>
            </w:r>
            <w:r>
              <w:rPr>
                <w:rFonts w:hint="eastAsia"/>
                <w:b/>
                <w:bCs/>
                <w:szCs w:val="21"/>
              </w:rPr>
              <w:t>日</w:t>
            </w:r>
          </w:p>
        </w:tc>
        <w:tc>
          <w:tcPr>
            <w:tcW w:w="1250" w:type="pct"/>
            <w:shd w:val="clear" w:color="auto" w:fill="auto"/>
            <w:vAlign w:val="center"/>
          </w:tcPr>
          <w:p w14:paraId="3E0FA56B" w14:textId="77777777" w:rsidR="00FC5A62" w:rsidRDefault="00C76273">
            <w:pPr>
              <w:widowControl/>
              <w:jc w:val="center"/>
              <w:rPr>
                <w:b/>
                <w:bCs/>
                <w:szCs w:val="21"/>
              </w:rPr>
            </w:pPr>
            <w:r>
              <w:rPr>
                <w:b/>
                <w:bCs/>
                <w:szCs w:val="21"/>
              </w:rPr>
              <w:t>2021</w:t>
            </w:r>
            <w:r>
              <w:rPr>
                <w:rFonts w:hint="eastAsia"/>
                <w:b/>
                <w:bCs/>
                <w:szCs w:val="21"/>
              </w:rPr>
              <w:t>年</w:t>
            </w:r>
            <w:r>
              <w:rPr>
                <w:b/>
                <w:bCs/>
                <w:szCs w:val="21"/>
              </w:rPr>
              <w:t>12</w:t>
            </w:r>
            <w:r>
              <w:rPr>
                <w:rFonts w:hint="eastAsia"/>
                <w:b/>
                <w:bCs/>
                <w:szCs w:val="21"/>
              </w:rPr>
              <w:t>月</w:t>
            </w:r>
            <w:r>
              <w:rPr>
                <w:b/>
                <w:bCs/>
                <w:szCs w:val="21"/>
              </w:rPr>
              <w:t>31</w:t>
            </w:r>
            <w:r>
              <w:rPr>
                <w:rFonts w:hint="eastAsia"/>
                <w:b/>
                <w:bCs/>
                <w:szCs w:val="21"/>
              </w:rPr>
              <w:t>日</w:t>
            </w:r>
          </w:p>
        </w:tc>
      </w:tr>
      <w:tr w:rsidR="00FC5A62" w14:paraId="48DD75E7" w14:textId="77777777">
        <w:trPr>
          <w:trHeight w:val="397"/>
        </w:trPr>
        <w:tc>
          <w:tcPr>
            <w:tcW w:w="1250" w:type="pct"/>
            <w:shd w:val="clear" w:color="auto" w:fill="auto"/>
            <w:noWrap/>
            <w:vAlign w:val="center"/>
          </w:tcPr>
          <w:p w14:paraId="1E99B252" w14:textId="77777777" w:rsidR="00FC5A62" w:rsidRDefault="00C76273">
            <w:pPr>
              <w:widowControl/>
              <w:jc w:val="center"/>
              <w:rPr>
                <w:szCs w:val="21"/>
              </w:rPr>
            </w:pPr>
            <w:r>
              <w:rPr>
                <w:rFonts w:hint="eastAsia"/>
                <w:szCs w:val="21"/>
              </w:rPr>
              <w:t>合同负债</w:t>
            </w:r>
          </w:p>
        </w:tc>
        <w:tc>
          <w:tcPr>
            <w:tcW w:w="1250" w:type="pct"/>
            <w:shd w:val="clear" w:color="auto" w:fill="auto"/>
            <w:noWrap/>
            <w:vAlign w:val="center"/>
          </w:tcPr>
          <w:p w14:paraId="095AAF5C" w14:textId="77777777" w:rsidR="00FC5A62" w:rsidRDefault="00C76273">
            <w:pPr>
              <w:widowControl/>
              <w:jc w:val="right"/>
              <w:rPr>
                <w:szCs w:val="21"/>
              </w:rPr>
            </w:pPr>
            <w:r>
              <w:rPr>
                <w:rFonts w:eastAsia="等线"/>
                <w:color w:val="000000"/>
                <w:szCs w:val="21"/>
              </w:rPr>
              <w:t>101,491.83</w:t>
            </w:r>
          </w:p>
        </w:tc>
        <w:tc>
          <w:tcPr>
            <w:tcW w:w="1250" w:type="pct"/>
            <w:shd w:val="clear" w:color="auto" w:fill="auto"/>
            <w:noWrap/>
            <w:vAlign w:val="center"/>
          </w:tcPr>
          <w:p w14:paraId="77061F68" w14:textId="77777777" w:rsidR="00FC5A62" w:rsidRDefault="00C76273">
            <w:pPr>
              <w:widowControl/>
              <w:jc w:val="right"/>
              <w:rPr>
                <w:szCs w:val="21"/>
              </w:rPr>
            </w:pPr>
            <w:r>
              <w:rPr>
                <w:rFonts w:eastAsia="等线"/>
                <w:color w:val="000000"/>
                <w:szCs w:val="21"/>
              </w:rPr>
              <w:t>142,380.70</w:t>
            </w:r>
          </w:p>
        </w:tc>
        <w:tc>
          <w:tcPr>
            <w:tcW w:w="1250" w:type="pct"/>
            <w:shd w:val="clear" w:color="auto" w:fill="auto"/>
            <w:noWrap/>
            <w:vAlign w:val="center"/>
          </w:tcPr>
          <w:p w14:paraId="40EFC175" w14:textId="77777777" w:rsidR="00FC5A62" w:rsidRDefault="00C76273">
            <w:pPr>
              <w:widowControl/>
              <w:jc w:val="right"/>
              <w:rPr>
                <w:szCs w:val="21"/>
              </w:rPr>
            </w:pPr>
            <w:r>
              <w:rPr>
                <w:rFonts w:eastAsia="等线"/>
                <w:color w:val="000000"/>
                <w:szCs w:val="21"/>
              </w:rPr>
              <w:t>42,427.95</w:t>
            </w:r>
          </w:p>
        </w:tc>
      </w:tr>
      <w:tr w:rsidR="00FC5A62" w14:paraId="2DB0F527" w14:textId="77777777">
        <w:trPr>
          <w:trHeight w:val="397"/>
        </w:trPr>
        <w:tc>
          <w:tcPr>
            <w:tcW w:w="1250" w:type="pct"/>
            <w:shd w:val="clear" w:color="auto" w:fill="auto"/>
            <w:noWrap/>
            <w:vAlign w:val="center"/>
          </w:tcPr>
          <w:p w14:paraId="7300F4EF" w14:textId="77777777" w:rsidR="00FC5A62" w:rsidRDefault="00C76273">
            <w:pPr>
              <w:widowControl/>
              <w:jc w:val="center"/>
              <w:rPr>
                <w:szCs w:val="21"/>
              </w:rPr>
            </w:pPr>
            <w:r>
              <w:rPr>
                <w:rFonts w:hint="eastAsia"/>
                <w:szCs w:val="21"/>
              </w:rPr>
              <w:t>应付</w:t>
            </w:r>
            <w:proofErr w:type="gramStart"/>
            <w:r>
              <w:rPr>
                <w:rFonts w:hint="eastAsia"/>
                <w:szCs w:val="21"/>
              </w:rPr>
              <w:t>帐款</w:t>
            </w:r>
            <w:proofErr w:type="gramEnd"/>
          </w:p>
        </w:tc>
        <w:tc>
          <w:tcPr>
            <w:tcW w:w="1250" w:type="pct"/>
            <w:shd w:val="clear" w:color="auto" w:fill="auto"/>
            <w:noWrap/>
            <w:vAlign w:val="center"/>
          </w:tcPr>
          <w:p w14:paraId="06C162BF" w14:textId="77777777" w:rsidR="00FC5A62" w:rsidRDefault="00C76273">
            <w:pPr>
              <w:widowControl/>
              <w:jc w:val="right"/>
              <w:rPr>
                <w:szCs w:val="21"/>
              </w:rPr>
            </w:pPr>
            <w:r>
              <w:rPr>
                <w:rFonts w:eastAsia="等线"/>
                <w:color w:val="000000"/>
                <w:szCs w:val="21"/>
              </w:rPr>
              <w:t>63,939.90</w:t>
            </w:r>
          </w:p>
        </w:tc>
        <w:tc>
          <w:tcPr>
            <w:tcW w:w="1250" w:type="pct"/>
            <w:shd w:val="clear" w:color="auto" w:fill="auto"/>
            <w:noWrap/>
            <w:vAlign w:val="center"/>
          </w:tcPr>
          <w:p w14:paraId="43F5FED8" w14:textId="77777777" w:rsidR="00FC5A62" w:rsidRDefault="00C76273">
            <w:pPr>
              <w:widowControl/>
              <w:jc w:val="right"/>
              <w:rPr>
                <w:szCs w:val="21"/>
              </w:rPr>
            </w:pPr>
            <w:r>
              <w:rPr>
                <w:rFonts w:eastAsia="等线"/>
                <w:color w:val="000000"/>
                <w:szCs w:val="21"/>
              </w:rPr>
              <w:t>49,762.94</w:t>
            </w:r>
          </w:p>
        </w:tc>
        <w:tc>
          <w:tcPr>
            <w:tcW w:w="1250" w:type="pct"/>
            <w:shd w:val="clear" w:color="auto" w:fill="auto"/>
            <w:noWrap/>
            <w:vAlign w:val="center"/>
          </w:tcPr>
          <w:p w14:paraId="4F3E8CEB" w14:textId="77777777" w:rsidR="00FC5A62" w:rsidRDefault="00C76273">
            <w:pPr>
              <w:widowControl/>
              <w:jc w:val="right"/>
              <w:rPr>
                <w:szCs w:val="21"/>
              </w:rPr>
            </w:pPr>
            <w:r>
              <w:rPr>
                <w:rFonts w:eastAsia="等线"/>
                <w:color w:val="000000"/>
                <w:szCs w:val="21"/>
              </w:rPr>
              <w:t>36,667.75</w:t>
            </w:r>
          </w:p>
        </w:tc>
      </w:tr>
      <w:tr w:rsidR="00FC5A62" w14:paraId="71AD55F8" w14:textId="77777777">
        <w:trPr>
          <w:trHeight w:val="397"/>
        </w:trPr>
        <w:tc>
          <w:tcPr>
            <w:tcW w:w="1250" w:type="pct"/>
            <w:shd w:val="clear" w:color="auto" w:fill="auto"/>
            <w:noWrap/>
            <w:vAlign w:val="center"/>
          </w:tcPr>
          <w:p w14:paraId="78B9B494" w14:textId="77777777" w:rsidR="00FC5A62" w:rsidRDefault="00C76273">
            <w:pPr>
              <w:widowControl/>
              <w:jc w:val="center"/>
              <w:rPr>
                <w:b/>
                <w:bCs/>
                <w:szCs w:val="21"/>
              </w:rPr>
            </w:pPr>
            <w:r>
              <w:rPr>
                <w:rFonts w:hint="eastAsia"/>
                <w:b/>
                <w:bCs/>
                <w:szCs w:val="21"/>
              </w:rPr>
              <w:t>小计</w:t>
            </w:r>
          </w:p>
        </w:tc>
        <w:tc>
          <w:tcPr>
            <w:tcW w:w="1250" w:type="pct"/>
            <w:shd w:val="clear" w:color="auto" w:fill="auto"/>
            <w:noWrap/>
            <w:vAlign w:val="center"/>
          </w:tcPr>
          <w:p w14:paraId="075182B0" w14:textId="77777777" w:rsidR="00FC5A62" w:rsidRDefault="00C76273">
            <w:pPr>
              <w:widowControl/>
              <w:jc w:val="right"/>
              <w:rPr>
                <w:b/>
                <w:bCs/>
                <w:szCs w:val="21"/>
              </w:rPr>
            </w:pPr>
            <w:r>
              <w:rPr>
                <w:b/>
                <w:bCs/>
                <w:szCs w:val="21"/>
              </w:rPr>
              <w:t>165,431.73</w:t>
            </w:r>
          </w:p>
        </w:tc>
        <w:tc>
          <w:tcPr>
            <w:tcW w:w="1250" w:type="pct"/>
            <w:shd w:val="clear" w:color="auto" w:fill="auto"/>
            <w:noWrap/>
            <w:vAlign w:val="center"/>
          </w:tcPr>
          <w:p w14:paraId="5D0F4339" w14:textId="77777777" w:rsidR="00FC5A62" w:rsidRDefault="00C76273">
            <w:pPr>
              <w:widowControl/>
              <w:jc w:val="right"/>
              <w:rPr>
                <w:b/>
                <w:bCs/>
                <w:szCs w:val="21"/>
              </w:rPr>
            </w:pPr>
            <w:r>
              <w:rPr>
                <w:b/>
                <w:bCs/>
                <w:szCs w:val="21"/>
              </w:rPr>
              <w:t>192,143.64</w:t>
            </w:r>
          </w:p>
        </w:tc>
        <w:tc>
          <w:tcPr>
            <w:tcW w:w="1250" w:type="pct"/>
            <w:shd w:val="clear" w:color="auto" w:fill="auto"/>
            <w:noWrap/>
            <w:vAlign w:val="center"/>
          </w:tcPr>
          <w:p w14:paraId="2D92BEC5" w14:textId="77777777" w:rsidR="00FC5A62" w:rsidRDefault="00C76273">
            <w:pPr>
              <w:widowControl/>
              <w:jc w:val="right"/>
              <w:rPr>
                <w:b/>
                <w:bCs/>
                <w:szCs w:val="21"/>
              </w:rPr>
            </w:pPr>
            <w:r>
              <w:rPr>
                <w:b/>
                <w:bCs/>
                <w:szCs w:val="21"/>
              </w:rPr>
              <w:t>79,095.70</w:t>
            </w:r>
          </w:p>
        </w:tc>
      </w:tr>
      <w:tr w:rsidR="00FC5A62" w14:paraId="03C15F90" w14:textId="77777777">
        <w:trPr>
          <w:trHeight w:val="397"/>
        </w:trPr>
        <w:tc>
          <w:tcPr>
            <w:tcW w:w="1250" w:type="pct"/>
            <w:shd w:val="clear" w:color="auto" w:fill="auto"/>
            <w:noWrap/>
            <w:vAlign w:val="center"/>
          </w:tcPr>
          <w:p w14:paraId="21C7F319" w14:textId="77777777" w:rsidR="00FC5A62" w:rsidRDefault="00C76273">
            <w:pPr>
              <w:widowControl/>
              <w:jc w:val="center"/>
              <w:rPr>
                <w:b/>
                <w:bCs/>
                <w:szCs w:val="21"/>
              </w:rPr>
            </w:pPr>
            <w:r>
              <w:rPr>
                <w:rFonts w:hint="eastAsia"/>
                <w:b/>
                <w:bCs/>
                <w:szCs w:val="21"/>
              </w:rPr>
              <w:t>负债总额</w:t>
            </w:r>
          </w:p>
        </w:tc>
        <w:tc>
          <w:tcPr>
            <w:tcW w:w="1250" w:type="pct"/>
            <w:shd w:val="clear" w:color="auto" w:fill="auto"/>
            <w:noWrap/>
            <w:vAlign w:val="center"/>
          </w:tcPr>
          <w:p w14:paraId="0EC5BE0F" w14:textId="77777777" w:rsidR="00FC5A62" w:rsidRDefault="00C76273">
            <w:pPr>
              <w:widowControl/>
              <w:jc w:val="right"/>
              <w:rPr>
                <w:b/>
                <w:bCs/>
                <w:szCs w:val="21"/>
              </w:rPr>
            </w:pPr>
            <w:r>
              <w:rPr>
                <w:rFonts w:eastAsia="等线"/>
                <w:b/>
                <w:bCs/>
                <w:color w:val="000000"/>
                <w:szCs w:val="21"/>
              </w:rPr>
              <w:t>194,280.43</w:t>
            </w:r>
          </w:p>
        </w:tc>
        <w:tc>
          <w:tcPr>
            <w:tcW w:w="1250" w:type="pct"/>
            <w:shd w:val="clear" w:color="auto" w:fill="auto"/>
            <w:noWrap/>
            <w:vAlign w:val="center"/>
          </w:tcPr>
          <w:p w14:paraId="5318ECDC" w14:textId="77777777" w:rsidR="00FC5A62" w:rsidRDefault="00C76273">
            <w:pPr>
              <w:widowControl/>
              <w:jc w:val="right"/>
              <w:rPr>
                <w:b/>
                <w:bCs/>
                <w:szCs w:val="21"/>
              </w:rPr>
            </w:pPr>
            <w:r>
              <w:rPr>
                <w:rFonts w:eastAsia="等线"/>
                <w:b/>
                <w:bCs/>
                <w:color w:val="000000"/>
                <w:szCs w:val="21"/>
              </w:rPr>
              <w:t>212,337.87</w:t>
            </w:r>
          </w:p>
        </w:tc>
        <w:tc>
          <w:tcPr>
            <w:tcW w:w="1250" w:type="pct"/>
            <w:shd w:val="clear" w:color="auto" w:fill="auto"/>
            <w:noWrap/>
            <w:vAlign w:val="center"/>
          </w:tcPr>
          <w:p w14:paraId="7E43A296" w14:textId="77777777" w:rsidR="00FC5A62" w:rsidRDefault="00C76273">
            <w:pPr>
              <w:widowControl/>
              <w:jc w:val="right"/>
              <w:rPr>
                <w:b/>
                <w:bCs/>
                <w:szCs w:val="21"/>
              </w:rPr>
            </w:pPr>
            <w:r>
              <w:rPr>
                <w:rFonts w:eastAsia="等线"/>
                <w:b/>
                <w:bCs/>
                <w:color w:val="000000"/>
                <w:szCs w:val="21"/>
              </w:rPr>
              <w:t>93,522.74</w:t>
            </w:r>
          </w:p>
        </w:tc>
      </w:tr>
      <w:tr w:rsidR="00FC5A62" w14:paraId="1671FB3B" w14:textId="77777777">
        <w:trPr>
          <w:trHeight w:val="397"/>
        </w:trPr>
        <w:tc>
          <w:tcPr>
            <w:tcW w:w="1250" w:type="pct"/>
            <w:shd w:val="clear" w:color="auto" w:fill="auto"/>
            <w:noWrap/>
            <w:vAlign w:val="center"/>
          </w:tcPr>
          <w:p w14:paraId="2C7BCF96" w14:textId="77777777" w:rsidR="00FC5A62" w:rsidRDefault="00C76273">
            <w:pPr>
              <w:widowControl/>
              <w:jc w:val="center"/>
              <w:rPr>
                <w:b/>
                <w:bCs/>
                <w:szCs w:val="21"/>
              </w:rPr>
            </w:pPr>
            <w:r>
              <w:rPr>
                <w:rFonts w:hint="eastAsia"/>
                <w:b/>
                <w:bCs/>
                <w:szCs w:val="21"/>
              </w:rPr>
              <w:t>占负债总额的比例</w:t>
            </w:r>
          </w:p>
        </w:tc>
        <w:tc>
          <w:tcPr>
            <w:tcW w:w="1250" w:type="pct"/>
            <w:shd w:val="clear" w:color="auto" w:fill="auto"/>
            <w:noWrap/>
            <w:vAlign w:val="center"/>
          </w:tcPr>
          <w:p w14:paraId="24D770C8" w14:textId="77777777" w:rsidR="00FC5A62" w:rsidRDefault="00C76273">
            <w:pPr>
              <w:widowControl/>
              <w:jc w:val="right"/>
              <w:rPr>
                <w:rFonts w:eastAsia="等线"/>
                <w:b/>
                <w:bCs/>
                <w:color w:val="000000"/>
                <w:szCs w:val="21"/>
              </w:rPr>
            </w:pPr>
            <w:r>
              <w:rPr>
                <w:b/>
                <w:bCs/>
                <w:szCs w:val="21"/>
              </w:rPr>
              <w:t>85.15%</w:t>
            </w:r>
          </w:p>
        </w:tc>
        <w:tc>
          <w:tcPr>
            <w:tcW w:w="1250" w:type="pct"/>
            <w:shd w:val="clear" w:color="auto" w:fill="auto"/>
            <w:noWrap/>
            <w:vAlign w:val="center"/>
          </w:tcPr>
          <w:p w14:paraId="780E607A" w14:textId="77777777" w:rsidR="00FC5A62" w:rsidRDefault="00C76273">
            <w:pPr>
              <w:widowControl/>
              <w:jc w:val="right"/>
              <w:rPr>
                <w:rFonts w:eastAsia="等线"/>
                <w:b/>
                <w:bCs/>
                <w:color w:val="000000"/>
                <w:szCs w:val="21"/>
              </w:rPr>
            </w:pPr>
            <w:r>
              <w:rPr>
                <w:b/>
                <w:bCs/>
                <w:szCs w:val="21"/>
              </w:rPr>
              <w:t>90.49%</w:t>
            </w:r>
          </w:p>
        </w:tc>
        <w:tc>
          <w:tcPr>
            <w:tcW w:w="1250" w:type="pct"/>
            <w:shd w:val="clear" w:color="auto" w:fill="auto"/>
            <w:noWrap/>
            <w:vAlign w:val="center"/>
          </w:tcPr>
          <w:p w14:paraId="5A980E85" w14:textId="77777777" w:rsidR="00FC5A62" w:rsidRDefault="00C76273">
            <w:pPr>
              <w:widowControl/>
              <w:jc w:val="right"/>
              <w:rPr>
                <w:rFonts w:eastAsia="等线"/>
                <w:b/>
                <w:bCs/>
                <w:color w:val="000000"/>
                <w:szCs w:val="21"/>
              </w:rPr>
            </w:pPr>
            <w:r>
              <w:rPr>
                <w:b/>
                <w:bCs/>
                <w:szCs w:val="21"/>
              </w:rPr>
              <w:t>84.57%</w:t>
            </w:r>
          </w:p>
        </w:tc>
      </w:tr>
    </w:tbl>
    <w:p w14:paraId="2DBFC407" w14:textId="77777777" w:rsidR="00FC5A62" w:rsidRDefault="00C76273">
      <w:pPr>
        <w:pStyle w:val="af3"/>
      </w:pPr>
      <w:r>
        <w:rPr>
          <w:rFonts w:hint="eastAsia"/>
        </w:rPr>
        <w:t>注</w:t>
      </w:r>
      <w:r>
        <w:rPr>
          <w:rFonts w:hint="eastAsia"/>
        </w:rPr>
        <w:t>1</w:t>
      </w:r>
      <w:r>
        <w:rPr>
          <w:rFonts w:hint="eastAsia"/>
        </w:rPr>
        <w:t>：上表中“合同负债”包含财务报表中因流动性因素列示在其他非流动负债的预收合同款；</w:t>
      </w:r>
    </w:p>
    <w:p w14:paraId="30CFFFDC" w14:textId="77777777" w:rsidR="00FC5A62" w:rsidRDefault="00C76273">
      <w:pPr>
        <w:pStyle w:val="af3"/>
      </w:pPr>
      <w:r>
        <w:rPr>
          <w:rFonts w:hint="eastAsia"/>
        </w:rPr>
        <w:t>注</w:t>
      </w:r>
      <w:r>
        <w:rPr>
          <w:rFonts w:hint="eastAsia"/>
        </w:rPr>
        <w:t>2</w:t>
      </w:r>
      <w:r>
        <w:rPr>
          <w:rFonts w:hint="eastAsia"/>
        </w:rPr>
        <w:t>：</w:t>
      </w:r>
      <w:r>
        <w:rPr>
          <w:rFonts w:hint="eastAsia"/>
          <w:szCs w:val="21"/>
        </w:rPr>
        <w:t>以上财务数据未经审计</w:t>
      </w:r>
    </w:p>
    <w:p w14:paraId="3697610E" w14:textId="77777777" w:rsidR="00FC5A62" w:rsidRDefault="00C76273" w:rsidP="00D97102">
      <w:pPr>
        <w:spacing w:beforeLines="50" w:before="156" w:afterLines="50" w:after="156" w:line="360" w:lineRule="auto"/>
        <w:ind w:firstLineChars="200" w:firstLine="480"/>
        <w:rPr>
          <w:sz w:val="24"/>
        </w:rPr>
      </w:pPr>
      <w:r>
        <w:rPr>
          <w:rFonts w:hint="eastAsia"/>
          <w:sz w:val="24"/>
        </w:rPr>
        <w:t>标的公司负债主要由销售合同预收款形成的合同负债及采购合同形成的应付账款构成，</w:t>
      </w:r>
      <w:r>
        <w:rPr>
          <w:rFonts w:hint="eastAsia"/>
          <w:sz w:val="24"/>
        </w:rPr>
        <w:t>2021</w:t>
      </w:r>
      <w:r>
        <w:rPr>
          <w:rFonts w:hint="eastAsia"/>
          <w:sz w:val="24"/>
        </w:rPr>
        <w:t>年末、</w:t>
      </w:r>
      <w:r>
        <w:rPr>
          <w:rFonts w:hint="eastAsia"/>
          <w:sz w:val="24"/>
        </w:rPr>
        <w:t>2022</w:t>
      </w:r>
      <w:r>
        <w:rPr>
          <w:rFonts w:hint="eastAsia"/>
          <w:sz w:val="24"/>
        </w:rPr>
        <w:t>年末及</w:t>
      </w:r>
      <w:r>
        <w:rPr>
          <w:rFonts w:hint="eastAsia"/>
          <w:sz w:val="24"/>
        </w:rPr>
        <w:t>2023</w:t>
      </w:r>
      <w:r>
        <w:rPr>
          <w:rFonts w:hint="eastAsia"/>
          <w:sz w:val="24"/>
        </w:rPr>
        <w:t>年一季度末合同负债及应付账款合计占标的公司负债总额的比例为</w:t>
      </w:r>
      <w:r>
        <w:rPr>
          <w:rFonts w:hint="eastAsia"/>
          <w:sz w:val="24"/>
        </w:rPr>
        <w:t>8</w:t>
      </w:r>
      <w:r>
        <w:rPr>
          <w:sz w:val="24"/>
        </w:rPr>
        <w:t>4.57%</w:t>
      </w:r>
      <w:r>
        <w:rPr>
          <w:rFonts w:hint="eastAsia"/>
          <w:sz w:val="24"/>
        </w:rPr>
        <w:t>、</w:t>
      </w:r>
      <w:r>
        <w:rPr>
          <w:rFonts w:hint="eastAsia"/>
          <w:sz w:val="24"/>
        </w:rPr>
        <w:t>9</w:t>
      </w:r>
      <w:r>
        <w:rPr>
          <w:sz w:val="24"/>
        </w:rPr>
        <w:t>0.49%</w:t>
      </w:r>
      <w:r>
        <w:rPr>
          <w:rFonts w:hint="eastAsia"/>
          <w:sz w:val="24"/>
        </w:rPr>
        <w:t>和</w:t>
      </w:r>
      <w:r>
        <w:rPr>
          <w:rFonts w:hint="eastAsia"/>
          <w:sz w:val="24"/>
        </w:rPr>
        <w:t>8</w:t>
      </w:r>
      <w:r>
        <w:rPr>
          <w:sz w:val="24"/>
        </w:rPr>
        <w:t>5.15%</w:t>
      </w:r>
      <w:r>
        <w:rPr>
          <w:rFonts w:hint="eastAsia"/>
          <w:sz w:val="24"/>
        </w:rPr>
        <w:t>，上述负债均系正常经营活动产生，后续将根据实际经营情况转化为公司收入或按期予以结算清偿。</w:t>
      </w:r>
    </w:p>
    <w:p w14:paraId="68733086" w14:textId="77777777" w:rsidR="00FC5A62" w:rsidRDefault="00C76273" w:rsidP="00D97102">
      <w:pPr>
        <w:spacing w:beforeLines="50" w:before="156" w:afterLines="50" w:after="156" w:line="360" w:lineRule="auto"/>
        <w:ind w:firstLineChars="200" w:firstLine="480"/>
        <w:rPr>
          <w:sz w:val="24"/>
        </w:rPr>
      </w:pPr>
      <w:r>
        <w:rPr>
          <w:rFonts w:hint="eastAsia"/>
          <w:sz w:val="24"/>
        </w:rPr>
        <w:t>上市公司已于《安徽省交通建设股份有限公司发行股份购买资产并募集配套资金暨关联交易预案（修订稿）》“第四节</w:t>
      </w:r>
      <w:r>
        <w:rPr>
          <w:rFonts w:hint="eastAsia"/>
          <w:sz w:val="24"/>
        </w:rPr>
        <w:t xml:space="preserve"> </w:t>
      </w:r>
      <w:r>
        <w:rPr>
          <w:rFonts w:hint="eastAsia"/>
          <w:sz w:val="24"/>
        </w:rPr>
        <w:t>交易标的基本情况”之“五、主要财务数据”</w:t>
      </w:r>
      <w:r>
        <w:rPr>
          <w:rFonts w:hint="eastAsia"/>
          <w:sz w:val="24"/>
        </w:rPr>
        <w:t xml:space="preserve"> </w:t>
      </w:r>
      <w:r>
        <w:rPr>
          <w:rFonts w:hint="eastAsia"/>
          <w:sz w:val="24"/>
        </w:rPr>
        <w:t>中补充披露标的公司负债构成情况。</w:t>
      </w:r>
    </w:p>
    <w:p w14:paraId="261967BD" w14:textId="77777777" w:rsidR="00FC5A62" w:rsidRDefault="00C76273" w:rsidP="00D97102">
      <w:pPr>
        <w:spacing w:before="50" w:afterLines="50" w:after="156" w:line="360" w:lineRule="auto"/>
        <w:ind w:firstLineChars="200" w:firstLine="482"/>
        <w:outlineLvl w:val="3"/>
        <w:rPr>
          <w:b/>
          <w:bCs/>
          <w:sz w:val="24"/>
        </w:rPr>
      </w:pPr>
      <w:r>
        <w:rPr>
          <w:rFonts w:hint="eastAsia"/>
          <w:b/>
          <w:bCs/>
          <w:sz w:val="24"/>
        </w:rPr>
        <w:t>（二）标的公司资产负债率较高具备合理性</w:t>
      </w:r>
    </w:p>
    <w:p w14:paraId="37AD7615" w14:textId="77777777" w:rsidR="00FC5A62" w:rsidRDefault="00C76273" w:rsidP="00D97102">
      <w:pPr>
        <w:spacing w:before="50" w:afterLines="50" w:after="156" w:line="360" w:lineRule="auto"/>
        <w:ind w:firstLineChars="200" w:firstLine="480"/>
        <w:rPr>
          <w:sz w:val="24"/>
        </w:rPr>
      </w:pPr>
      <w:r>
        <w:rPr>
          <w:rFonts w:hint="eastAsia"/>
          <w:sz w:val="24"/>
        </w:rPr>
        <w:t>标的公司主营业务为太阳能</w:t>
      </w:r>
      <w:r>
        <w:rPr>
          <w:sz w:val="24"/>
        </w:rPr>
        <w:t>电池片及太阳能电池组件的研发、生产和销售，</w:t>
      </w:r>
      <w:r>
        <w:rPr>
          <w:sz w:val="24"/>
        </w:rPr>
        <w:lastRenderedPageBreak/>
        <w:t>所处行业为光伏行业。</w:t>
      </w:r>
      <w:r>
        <w:rPr>
          <w:rFonts w:hint="eastAsia"/>
          <w:sz w:val="24"/>
        </w:rPr>
        <w:t>2021</w:t>
      </w:r>
      <w:r>
        <w:rPr>
          <w:rFonts w:hint="eastAsia"/>
          <w:sz w:val="24"/>
        </w:rPr>
        <w:t>年末、</w:t>
      </w:r>
      <w:r>
        <w:rPr>
          <w:rFonts w:hint="eastAsia"/>
          <w:sz w:val="24"/>
        </w:rPr>
        <w:t>2022</w:t>
      </w:r>
      <w:r>
        <w:rPr>
          <w:rFonts w:hint="eastAsia"/>
          <w:sz w:val="24"/>
        </w:rPr>
        <w:t>年末及</w:t>
      </w:r>
      <w:r>
        <w:rPr>
          <w:rFonts w:hint="eastAsia"/>
          <w:sz w:val="24"/>
        </w:rPr>
        <w:t>2023</w:t>
      </w:r>
      <w:r>
        <w:rPr>
          <w:rFonts w:hint="eastAsia"/>
          <w:sz w:val="24"/>
        </w:rPr>
        <w:t>年一季度末，标的公司的资产负债率分别为</w:t>
      </w:r>
      <w:r>
        <w:rPr>
          <w:rFonts w:hint="eastAsia"/>
          <w:sz w:val="24"/>
        </w:rPr>
        <w:t>107.47%</w:t>
      </w:r>
      <w:r>
        <w:rPr>
          <w:rFonts w:hint="eastAsia"/>
          <w:sz w:val="24"/>
        </w:rPr>
        <w:t>、</w:t>
      </w:r>
      <w:r>
        <w:rPr>
          <w:rFonts w:hint="eastAsia"/>
          <w:sz w:val="24"/>
        </w:rPr>
        <w:t>93.63%</w:t>
      </w:r>
      <w:r>
        <w:rPr>
          <w:rFonts w:hint="eastAsia"/>
          <w:sz w:val="24"/>
        </w:rPr>
        <w:t>和</w:t>
      </w:r>
      <w:r>
        <w:rPr>
          <w:rFonts w:hint="eastAsia"/>
          <w:sz w:val="24"/>
        </w:rPr>
        <w:t>86.38%</w:t>
      </w:r>
      <w:r>
        <w:rPr>
          <w:rFonts w:hint="eastAsia"/>
          <w:sz w:val="24"/>
        </w:rPr>
        <w:t>。与同行业公司相比，标的公司各期末资产负债率相对较高，主要原因系标的公司目前处于快速发展阶段，前期经营积累相对较少，</w:t>
      </w:r>
      <w:proofErr w:type="gramStart"/>
      <w:r>
        <w:rPr>
          <w:rFonts w:hint="eastAsia"/>
          <w:sz w:val="24"/>
        </w:rPr>
        <w:t>且签订</w:t>
      </w:r>
      <w:proofErr w:type="gramEnd"/>
      <w:r>
        <w:rPr>
          <w:rFonts w:hint="eastAsia"/>
          <w:sz w:val="24"/>
        </w:rPr>
        <w:t>合同及下达远期订单后收取一定比例的预收款为光伏组件行业惯例。</w:t>
      </w:r>
    </w:p>
    <w:p w14:paraId="1497D4DB" w14:textId="77777777" w:rsidR="00FC5A62" w:rsidRDefault="00C76273" w:rsidP="00D97102">
      <w:pPr>
        <w:spacing w:beforeLines="50" w:before="156" w:afterLines="50" w:after="156" w:line="360" w:lineRule="auto"/>
        <w:ind w:firstLineChars="200" w:firstLine="480"/>
        <w:rPr>
          <w:sz w:val="24"/>
        </w:rPr>
      </w:pPr>
      <w:r>
        <w:rPr>
          <w:rFonts w:hint="eastAsia"/>
          <w:sz w:val="24"/>
        </w:rPr>
        <w:t>同时，因光</w:t>
      </w:r>
      <w:proofErr w:type="gramStart"/>
      <w:r>
        <w:rPr>
          <w:rFonts w:hint="eastAsia"/>
          <w:sz w:val="24"/>
        </w:rPr>
        <w:t>伏产业</w:t>
      </w:r>
      <w:proofErr w:type="gramEnd"/>
      <w:r>
        <w:rPr>
          <w:rFonts w:hint="eastAsia"/>
          <w:sz w:val="24"/>
        </w:rPr>
        <w:t>景气度不断提升，行业近年来销售增幅较大，公开信息可查询的同行业公司合同负债规模均出现较大幅度的增长。相较于同行业公司而言，标的公司本身体量偏小，且标的公司专注于美国市场的开发，销售增速略高于其他同行业公司，导致合同负债对标的公司资产负债率的影响远高于同行业公司，但随着标的公司规模不断扩大资产负债率呈逐步下降趋势。</w:t>
      </w:r>
    </w:p>
    <w:p w14:paraId="1FCD8524" w14:textId="77777777" w:rsidR="00FC5A62" w:rsidRDefault="00C76273" w:rsidP="00D97102">
      <w:pPr>
        <w:spacing w:beforeLines="50" w:before="156" w:afterLines="50" w:after="156" w:line="360" w:lineRule="auto"/>
        <w:ind w:firstLineChars="200" w:firstLine="480"/>
        <w:rPr>
          <w:sz w:val="24"/>
        </w:rPr>
      </w:pPr>
      <w:r>
        <w:rPr>
          <w:rFonts w:hint="eastAsia"/>
          <w:sz w:val="24"/>
        </w:rPr>
        <w:t>标的公司与同行业公司合并口径资产负债率对比情况如下：</w:t>
      </w:r>
    </w:p>
    <w:tbl>
      <w:tblPr>
        <w:tblStyle w:val="ae"/>
        <w:tblW w:w="8642" w:type="dxa"/>
        <w:tblLayout w:type="fixed"/>
        <w:tblLook w:val="04A0" w:firstRow="1" w:lastRow="0" w:firstColumn="1" w:lastColumn="0" w:noHBand="0" w:noVBand="1"/>
      </w:tblPr>
      <w:tblGrid>
        <w:gridCol w:w="2089"/>
        <w:gridCol w:w="2159"/>
        <w:gridCol w:w="2268"/>
        <w:gridCol w:w="2126"/>
      </w:tblGrid>
      <w:tr w:rsidR="00FC5A62" w14:paraId="779ED733" w14:textId="77777777">
        <w:trPr>
          <w:trHeight w:val="397"/>
        </w:trPr>
        <w:tc>
          <w:tcPr>
            <w:tcW w:w="2089" w:type="dxa"/>
            <w:shd w:val="clear" w:color="auto" w:fill="auto"/>
            <w:noWrap/>
            <w:vAlign w:val="center"/>
          </w:tcPr>
          <w:p w14:paraId="2A7976AB" w14:textId="77777777" w:rsidR="00FC5A62" w:rsidRDefault="00C76273">
            <w:pPr>
              <w:widowControl/>
              <w:jc w:val="center"/>
              <w:rPr>
                <w:b/>
                <w:bCs/>
                <w:szCs w:val="21"/>
              </w:rPr>
            </w:pPr>
            <w:r>
              <w:rPr>
                <w:b/>
                <w:bCs/>
                <w:szCs w:val="21"/>
              </w:rPr>
              <w:t>公司名称</w:t>
            </w:r>
          </w:p>
        </w:tc>
        <w:tc>
          <w:tcPr>
            <w:tcW w:w="2159" w:type="dxa"/>
            <w:shd w:val="clear" w:color="auto" w:fill="auto"/>
            <w:vAlign w:val="center"/>
          </w:tcPr>
          <w:p w14:paraId="10CA47A1" w14:textId="77777777" w:rsidR="00FC5A62" w:rsidRDefault="00C76273">
            <w:pPr>
              <w:widowControl/>
              <w:jc w:val="center"/>
              <w:rPr>
                <w:b/>
                <w:bCs/>
                <w:szCs w:val="21"/>
              </w:rPr>
            </w:pPr>
            <w:r>
              <w:rPr>
                <w:b/>
                <w:bCs/>
                <w:szCs w:val="21"/>
              </w:rPr>
              <w:t>2023</w:t>
            </w:r>
            <w:r>
              <w:rPr>
                <w:rFonts w:hint="eastAsia"/>
                <w:b/>
                <w:bCs/>
                <w:szCs w:val="21"/>
              </w:rPr>
              <w:t>年</w:t>
            </w:r>
            <w:r>
              <w:rPr>
                <w:b/>
                <w:bCs/>
                <w:szCs w:val="21"/>
              </w:rPr>
              <w:t>3</w:t>
            </w:r>
            <w:r>
              <w:rPr>
                <w:rFonts w:hint="eastAsia"/>
                <w:b/>
                <w:bCs/>
                <w:szCs w:val="21"/>
              </w:rPr>
              <w:t>月</w:t>
            </w:r>
            <w:r>
              <w:rPr>
                <w:b/>
                <w:bCs/>
                <w:szCs w:val="21"/>
              </w:rPr>
              <w:t>31</w:t>
            </w:r>
            <w:r>
              <w:rPr>
                <w:rFonts w:hint="eastAsia"/>
                <w:b/>
                <w:bCs/>
                <w:szCs w:val="21"/>
              </w:rPr>
              <w:t>日</w:t>
            </w:r>
          </w:p>
        </w:tc>
        <w:tc>
          <w:tcPr>
            <w:tcW w:w="2268" w:type="dxa"/>
            <w:shd w:val="clear" w:color="auto" w:fill="auto"/>
            <w:vAlign w:val="center"/>
          </w:tcPr>
          <w:p w14:paraId="3B2AA63C" w14:textId="77777777" w:rsidR="00FC5A62" w:rsidRDefault="00C76273">
            <w:pPr>
              <w:widowControl/>
              <w:jc w:val="center"/>
              <w:rPr>
                <w:b/>
                <w:bCs/>
                <w:szCs w:val="21"/>
              </w:rPr>
            </w:pPr>
            <w:r>
              <w:rPr>
                <w:b/>
                <w:bCs/>
                <w:szCs w:val="21"/>
              </w:rPr>
              <w:t>2022</w:t>
            </w:r>
            <w:r>
              <w:rPr>
                <w:rFonts w:hint="eastAsia"/>
                <w:b/>
                <w:bCs/>
                <w:szCs w:val="21"/>
              </w:rPr>
              <w:t>年</w:t>
            </w:r>
            <w:r>
              <w:rPr>
                <w:b/>
                <w:bCs/>
                <w:szCs w:val="21"/>
              </w:rPr>
              <w:t>12</w:t>
            </w:r>
            <w:r>
              <w:rPr>
                <w:rFonts w:hint="eastAsia"/>
                <w:b/>
                <w:bCs/>
                <w:szCs w:val="21"/>
              </w:rPr>
              <w:t>月</w:t>
            </w:r>
            <w:r>
              <w:rPr>
                <w:b/>
                <w:bCs/>
                <w:szCs w:val="21"/>
              </w:rPr>
              <w:t>31</w:t>
            </w:r>
            <w:r>
              <w:rPr>
                <w:rFonts w:hint="eastAsia"/>
                <w:b/>
                <w:bCs/>
                <w:szCs w:val="21"/>
              </w:rPr>
              <w:t>日</w:t>
            </w:r>
          </w:p>
        </w:tc>
        <w:tc>
          <w:tcPr>
            <w:tcW w:w="2126" w:type="dxa"/>
            <w:shd w:val="clear" w:color="auto" w:fill="auto"/>
            <w:noWrap/>
            <w:vAlign w:val="center"/>
          </w:tcPr>
          <w:p w14:paraId="6E380EDB" w14:textId="77777777" w:rsidR="00FC5A62" w:rsidRDefault="00C76273">
            <w:pPr>
              <w:widowControl/>
              <w:jc w:val="center"/>
              <w:rPr>
                <w:b/>
                <w:bCs/>
                <w:szCs w:val="21"/>
              </w:rPr>
            </w:pPr>
            <w:r>
              <w:rPr>
                <w:b/>
                <w:bCs/>
                <w:szCs w:val="21"/>
              </w:rPr>
              <w:t>2021</w:t>
            </w:r>
            <w:r>
              <w:rPr>
                <w:rFonts w:hint="eastAsia"/>
                <w:b/>
                <w:bCs/>
                <w:szCs w:val="21"/>
              </w:rPr>
              <w:t>年</w:t>
            </w:r>
            <w:r>
              <w:rPr>
                <w:b/>
                <w:bCs/>
                <w:szCs w:val="21"/>
              </w:rPr>
              <w:t>12</w:t>
            </w:r>
            <w:r>
              <w:rPr>
                <w:rFonts w:hint="eastAsia"/>
                <w:b/>
                <w:bCs/>
                <w:szCs w:val="21"/>
              </w:rPr>
              <w:t>月</w:t>
            </w:r>
            <w:r>
              <w:rPr>
                <w:b/>
                <w:bCs/>
                <w:szCs w:val="21"/>
              </w:rPr>
              <w:t>31</w:t>
            </w:r>
            <w:r>
              <w:rPr>
                <w:rFonts w:hint="eastAsia"/>
                <w:b/>
                <w:bCs/>
                <w:szCs w:val="21"/>
              </w:rPr>
              <w:t>日</w:t>
            </w:r>
          </w:p>
        </w:tc>
      </w:tr>
      <w:tr w:rsidR="00FC5A62" w14:paraId="677BF539" w14:textId="77777777">
        <w:trPr>
          <w:trHeight w:val="397"/>
        </w:trPr>
        <w:tc>
          <w:tcPr>
            <w:tcW w:w="2089" w:type="dxa"/>
            <w:noWrap/>
            <w:vAlign w:val="center"/>
          </w:tcPr>
          <w:p w14:paraId="23B2B23F" w14:textId="77777777" w:rsidR="00FC5A62" w:rsidRDefault="00C76273">
            <w:pPr>
              <w:widowControl/>
              <w:jc w:val="center"/>
              <w:rPr>
                <w:szCs w:val="21"/>
              </w:rPr>
            </w:pPr>
            <w:r>
              <w:rPr>
                <w:szCs w:val="21"/>
              </w:rPr>
              <w:t>阿</w:t>
            </w:r>
            <w:proofErr w:type="gramStart"/>
            <w:r>
              <w:rPr>
                <w:szCs w:val="21"/>
              </w:rPr>
              <w:t>特</w:t>
            </w:r>
            <w:proofErr w:type="gramEnd"/>
            <w:r>
              <w:rPr>
                <w:szCs w:val="21"/>
              </w:rPr>
              <w:t>斯</w:t>
            </w:r>
          </w:p>
        </w:tc>
        <w:tc>
          <w:tcPr>
            <w:tcW w:w="2159" w:type="dxa"/>
            <w:vAlign w:val="center"/>
          </w:tcPr>
          <w:p w14:paraId="196CD1F6" w14:textId="77777777" w:rsidR="00FC5A62" w:rsidRDefault="00C76273">
            <w:pPr>
              <w:widowControl/>
              <w:jc w:val="right"/>
              <w:rPr>
                <w:szCs w:val="21"/>
              </w:rPr>
            </w:pPr>
            <w:r>
              <w:t>75.67%</w:t>
            </w:r>
          </w:p>
        </w:tc>
        <w:tc>
          <w:tcPr>
            <w:tcW w:w="2268" w:type="dxa"/>
            <w:vAlign w:val="center"/>
          </w:tcPr>
          <w:p w14:paraId="7EBF913F" w14:textId="77777777" w:rsidR="00FC5A62" w:rsidRDefault="00C76273">
            <w:pPr>
              <w:widowControl/>
              <w:jc w:val="right"/>
              <w:rPr>
                <w:szCs w:val="21"/>
              </w:rPr>
            </w:pPr>
            <w:r>
              <w:t>75.70%</w:t>
            </w:r>
          </w:p>
        </w:tc>
        <w:tc>
          <w:tcPr>
            <w:tcW w:w="2126" w:type="dxa"/>
            <w:noWrap/>
            <w:vAlign w:val="center"/>
          </w:tcPr>
          <w:p w14:paraId="163417A6" w14:textId="77777777" w:rsidR="00FC5A62" w:rsidRDefault="00C76273">
            <w:pPr>
              <w:widowControl/>
              <w:jc w:val="right"/>
              <w:rPr>
                <w:szCs w:val="21"/>
              </w:rPr>
            </w:pPr>
            <w:r>
              <w:t>72.25%</w:t>
            </w:r>
          </w:p>
        </w:tc>
      </w:tr>
      <w:tr w:rsidR="00FC5A62" w14:paraId="14BD5E31" w14:textId="77777777">
        <w:trPr>
          <w:trHeight w:val="397"/>
        </w:trPr>
        <w:tc>
          <w:tcPr>
            <w:tcW w:w="2089" w:type="dxa"/>
            <w:noWrap/>
            <w:vAlign w:val="center"/>
          </w:tcPr>
          <w:p w14:paraId="197B7535" w14:textId="77777777" w:rsidR="00FC5A62" w:rsidRDefault="00C76273">
            <w:pPr>
              <w:widowControl/>
              <w:jc w:val="center"/>
              <w:rPr>
                <w:szCs w:val="21"/>
              </w:rPr>
            </w:pPr>
            <w:proofErr w:type="gramStart"/>
            <w:r>
              <w:rPr>
                <w:szCs w:val="21"/>
              </w:rPr>
              <w:t>晶澳科技</w:t>
            </w:r>
            <w:proofErr w:type="gramEnd"/>
          </w:p>
        </w:tc>
        <w:tc>
          <w:tcPr>
            <w:tcW w:w="2159" w:type="dxa"/>
            <w:vAlign w:val="center"/>
          </w:tcPr>
          <w:p w14:paraId="304C4281" w14:textId="77777777" w:rsidR="00FC5A62" w:rsidRDefault="00C76273">
            <w:pPr>
              <w:widowControl/>
              <w:jc w:val="right"/>
              <w:rPr>
                <w:szCs w:val="21"/>
              </w:rPr>
            </w:pPr>
            <w:r>
              <w:t>55.61%</w:t>
            </w:r>
          </w:p>
        </w:tc>
        <w:tc>
          <w:tcPr>
            <w:tcW w:w="2268" w:type="dxa"/>
            <w:vAlign w:val="center"/>
          </w:tcPr>
          <w:p w14:paraId="78A016F1" w14:textId="77777777" w:rsidR="00FC5A62" w:rsidRDefault="00C76273">
            <w:pPr>
              <w:widowControl/>
              <w:jc w:val="right"/>
              <w:rPr>
                <w:szCs w:val="21"/>
              </w:rPr>
            </w:pPr>
            <w:r>
              <w:t>58.31%</w:t>
            </w:r>
          </w:p>
        </w:tc>
        <w:tc>
          <w:tcPr>
            <w:tcW w:w="2126" w:type="dxa"/>
            <w:noWrap/>
            <w:vAlign w:val="center"/>
          </w:tcPr>
          <w:p w14:paraId="309D11B7" w14:textId="77777777" w:rsidR="00FC5A62" w:rsidRDefault="00C76273">
            <w:pPr>
              <w:widowControl/>
              <w:jc w:val="right"/>
              <w:rPr>
                <w:szCs w:val="21"/>
              </w:rPr>
            </w:pPr>
            <w:r>
              <w:t>70.65%</w:t>
            </w:r>
          </w:p>
        </w:tc>
      </w:tr>
      <w:tr w:rsidR="00FC5A62" w14:paraId="24863C4F" w14:textId="77777777">
        <w:trPr>
          <w:trHeight w:val="397"/>
        </w:trPr>
        <w:tc>
          <w:tcPr>
            <w:tcW w:w="2089" w:type="dxa"/>
            <w:noWrap/>
            <w:vAlign w:val="center"/>
          </w:tcPr>
          <w:p w14:paraId="3FD346EE" w14:textId="77777777" w:rsidR="00FC5A62" w:rsidRDefault="00C76273">
            <w:pPr>
              <w:widowControl/>
              <w:jc w:val="center"/>
              <w:rPr>
                <w:szCs w:val="21"/>
              </w:rPr>
            </w:pPr>
            <w:proofErr w:type="gramStart"/>
            <w:r>
              <w:rPr>
                <w:szCs w:val="21"/>
              </w:rPr>
              <w:t>晶科能源</w:t>
            </w:r>
            <w:proofErr w:type="gramEnd"/>
          </w:p>
        </w:tc>
        <w:tc>
          <w:tcPr>
            <w:tcW w:w="2159" w:type="dxa"/>
            <w:vAlign w:val="center"/>
          </w:tcPr>
          <w:p w14:paraId="2754FD17" w14:textId="77777777" w:rsidR="00FC5A62" w:rsidRDefault="00C76273">
            <w:pPr>
              <w:widowControl/>
              <w:jc w:val="right"/>
              <w:rPr>
                <w:szCs w:val="21"/>
              </w:rPr>
            </w:pPr>
            <w:r>
              <w:t>74.33%</w:t>
            </w:r>
          </w:p>
        </w:tc>
        <w:tc>
          <w:tcPr>
            <w:tcW w:w="2268" w:type="dxa"/>
            <w:vAlign w:val="center"/>
          </w:tcPr>
          <w:p w14:paraId="027E3307" w14:textId="77777777" w:rsidR="00FC5A62" w:rsidRDefault="00C76273">
            <w:pPr>
              <w:widowControl/>
              <w:jc w:val="right"/>
              <w:rPr>
                <w:szCs w:val="21"/>
              </w:rPr>
            </w:pPr>
            <w:r>
              <w:t>74.73%</w:t>
            </w:r>
          </w:p>
        </w:tc>
        <w:tc>
          <w:tcPr>
            <w:tcW w:w="2126" w:type="dxa"/>
            <w:noWrap/>
            <w:vAlign w:val="center"/>
          </w:tcPr>
          <w:p w14:paraId="3E783496" w14:textId="77777777" w:rsidR="00FC5A62" w:rsidRDefault="00C76273">
            <w:pPr>
              <w:widowControl/>
              <w:jc w:val="right"/>
              <w:rPr>
                <w:szCs w:val="21"/>
              </w:rPr>
            </w:pPr>
            <w:r>
              <w:t>81.40%</w:t>
            </w:r>
          </w:p>
        </w:tc>
      </w:tr>
      <w:tr w:rsidR="00FC5A62" w14:paraId="0DD0A806" w14:textId="77777777">
        <w:trPr>
          <w:trHeight w:val="397"/>
        </w:trPr>
        <w:tc>
          <w:tcPr>
            <w:tcW w:w="2089" w:type="dxa"/>
            <w:noWrap/>
            <w:vAlign w:val="center"/>
          </w:tcPr>
          <w:p w14:paraId="4CC456B3" w14:textId="77777777" w:rsidR="00FC5A62" w:rsidRDefault="00C76273">
            <w:pPr>
              <w:widowControl/>
              <w:jc w:val="center"/>
              <w:rPr>
                <w:szCs w:val="21"/>
              </w:rPr>
            </w:pPr>
            <w:r>
              <w:rPr>
                <w:szCs w:val="21"/>
              </w:rPr>
              <w:t>东方日升</w:t>
            </w:r>
          </w:p>
        </w:tc>
        <w:tc>
          <w:tcPr>
            <w:tcW w:w="2159" w:type="dxa"/>
            <w:vAlign w:val="center"/>
          </w:tcPr>
          <w:p w14:paraId="233EED1E" w14:textId="77777777" w:rsidR="00FC5A62" w:rsidRDefault="00C76273">
            <w:pPr>
              <w:widowControl/>
              <w:jc w:val="right"/>
              <w:rPr>
                <w:szCs w:val="21"/>
              </w:rPr>
            </w:pPr>
            <w:r>
              <w:t>65.89%</w:t>
            </w:r>
          </w:p>
        </w:tc>
        <w:tc>
          <w:tcPr>
            <w:tcW w:w="2268" w:type="dxa"/>
            <w:vAlign w:val="center"/>
          </w:tcPr>
          <w:p w14:paraId="401B5471" w14:textId="77777777" w:rsidR="00FC5A62" w:rsidRDefault="00C76273">
            <w:pPr>
              <w:widowControl/>
              <w:jc w:val="right"/>
              <w:rPr>
                <w:szCs w:val="21"/>
              </w:rPr>
            </w:pPr>
            <w:r>
              <w:t>72.82%</w:t>
            </w:r>
          </w:p>
        </w:tc>
        <w:tc>
          <w:tcPr>
            <w:tcW w:w="2126" w:type="dxa"/>
            <w:noWrap/>
            <w:vAlign w:val="center"/>
          </w:tcPr>
          <w:p w14:paraId="738343E5" w14:textId="77777777" w:rsidR="00FC5A62" w:rsidRDefault="00C76273">
            <w:pPr>
              <w:widowControl/>
              <w:jc w:val="right"/>
              <w:rPr>
                <w:szCs w:val="21"/>
              </w:rPr>
            </w:pPr>
            <w:r>
              <w:t>67.73%</w:t>
            </w:r>
          </w:p>
        </w:tc>
      </w:tr>
      <w:tr w:rsidR="00FC5A62" w14:paraId="201A66B7" w14:textId="77777777">
        <w:trPr>
          <w:trHeight w:val="397"/>
        </w:trPr>
        <w:tc>
          <w:tcPr>
            <w:tcW w:w="2089" w:type="dxa"/>
            <w:noWrap/>
            <w:vAlign w:val="center"/>
          </w:tcPr>
          <w:p w14:paraId="18CA9D2A" w14:textId="77777777" w:rsidR="00FC5A62" w:rsidRDefault="00C76273">
            <w:pPr>
              <w:widowControl/>
              <w:jc w:val="center"/>
              <w:rPr>
                <w:b/>
                <w:bCs/>
                <w:szCs w:val="21"/>
              </w:rPr>
            </w:pPr>
            <w:r>
              <w:rPr>
                <w:b/>
                <w:bCs/>
                <w:szCs w:val="21"/>
              </w:rPr>
              <w:t>平均</w:t>
            </w:r>
          </w:p>
        </w:tc>
        <w:tc>
          <w:tcPr>
            <w:tcW w:w="2159" w:type="dxa"/>
            <w:vAlign w:val="center"/>
          </w:tcPr>
          <w:p w14:paraId="2FFC0377" w14:textId="77777777" w:rsidR="00FC5A62" w:rsidRDefault="00C76273">
            <w:pPr>
              <w:widowControl/>
              <w:jc w:val="right"/>
              <w:rPr>
                <w:b/>
                <w:bCs/>
                <w:szCs w:val="21"/>
              </w:rPr>
            </w:pPr>
            <w:r>
              <w:rPr>
                <w:b/>
                <w:bCs/>
              </w:rPr>
              <w:t>67.88%</w:t>
            </w:r>
          </w:p>
        </w:tc>
        <w:tc>
          <w:tcPr>
            <w:tcW w:w="2268" w:type="dxa"/>
            <w:vAlign w:val="center"/>
          </w:tcPr>
          <w:p w14:paraId="721DB056" w14:textId="77777777" w:rsidR="00FC5A62" w:rsidRDefault="00C76273">
            <w:pPr>
              <w:widowControl/>
              <w:jc w:val="right"/>
              <w:rPr>
                <w:b/>
                <w:bCs/>
                <w:szCs w:val="21"/>
              </w:rPr>
            </w:pPr>
            <w:r>
              <w:rPr>
                <w:b/>
                <w:bCs/>
              </w:rPr>
              <w:t>70.39%</w:t>
            </w:r>
          </w:p>
        </w:tc>
        <w:tc>
          <w:tcPr>
            <w:tcW w:w="2126" w:type="dxa"/>
            <w:noWrap/>
            <w:vAlign w:val="center"/>
          </w:tcPr>
          <w:p w14:paraId="7802D7B6" w14:textId="77777777" w:rsidR="00FC5A62" w:rsidRDefault="00C76273">
            <w:pPr>
              <w:widowControl/>
              <w:jc w:val="right"/>
              <w:rPr>
                <w:b/>
                <w:bCs/>
                <w:szCs w:val="21"/>
              </w:rPr>
            </w:pPr>
            <w:r>
              <w:rPr>
                <w:b/>
                <w:bCs/>
              </w:rPr>
              <w:t>73.01%</w:t>
            </w:r>
          </w:p>
        </w:tc>
      </w:tr>
      <w:tr w:rsidR="00FC5A62" w14:paraId="505FEE8D" w14:textId="77777777">
        <w:trPr>
          <w:trHeight w:val="397"/>
        </w:trPr>
        <w:tc>
          <w:tcPr>
            <w:tcW w:w="2089" w:type="dxa"/>
            <w:noWrap/>
            <w:vAlign w:val="center"/>
          </w:tcPr>
          <w:p w14:paraId="2FE34F3A" w14:textId="77777777" w:rsidR="00FC5A62" w:rsidRDefault="00C76273">
            <w:pPr>
              <w:widowControl/>
              <w:jc w:val="center"/>
              <w:rPr>
                <w:b/>
                <w:bCs/>
                <w:szCs w:val="21"/>
              </w:rPr>
            </w:pPr>
            <w:r>
              <w:rPr>
                <w:b/>
                <w:bCs/>
                <w:szCs w:val="21"/>
              </w:rPr>
              <w:t>标的公司</w:t>
            </w:r>
          </w:p>
        </w:tc>
        <w:tc>
          <w:tcPr>
            <w:tcW w:w="2159" w:type="dxa"/>
            <w:vAlign w:val="center"/>
          </w:tcPr>
          <w:p w14:paraId="3E632841" w14:textId="77777777" w:rsidR="00FC5A62" w:rsidRDefault="00C76273">
            <w:pPr>
              <w:widowControl/>
              <w:jc w:val="right"/>
              <w:rPr>
                <w:b/>
                <w:bCs/>
                <w:szCs w:val="21"/>
              </w:rPr>
            </w:pPr>
            <w:r>
              <w:rPr>
                <w:b/>
                <w:bCs/>
              </w:rPr>
              <w:t>86.38%</w:t>
            </w:r>
          </w:p>
        </w:tc>
        <w:tc>
          <w:tcPr>
            <w:tcW w:w="2268" w:type="dxa"/>
            <w:vAlign w:val="center"/>
          </w:tcPr>
          <w:p w14:paraId="7D0C2AB0" w14:textId="77777777" w:rsidR="00FC5A62" w:rsidRDefault="00C76273">
            <w:pPr>
              <w:widowControl/>
              <w:jc w:val="right"/>
              <w:rPr>
                <w:b/>
                <w:bCs/>
                <w:szCs w:val="21"/>
              </w:rPr>
            </w:pPr>
            <w:r>
              <w:rPr>
                <w:b/>
                <w:bCs/>
              </w:rPr>
              <w:t>93.63%</w:t>
            </w:r>
          </w:p>
        </w:tc>
        <w:tc>
          <w:tcPr>
            <w:tcW w:w="2126" w:type="dxa"/>
            <w:noWrap/>
            <w:vAlign w:val="center"/>
          </w:tcPr>
          <w:p w14:paraId="56CEA36A" w14:textId="77777777" w:rsidR="00FC5A62" w:rsidRDefault="00C76273">
            <w:pPr>
              <w:widowControl/>
              <w:jc w:val="right"/>
              <w:rPr>
                <w:b/>
                <w:bCs/>
                <w:szCs w:val="21"/>
              </w:rPr>
            </w:pPr>
            <w:r>
              <w:rPr>
                <w:b/>
                <w:bCs/>
              </w:rPr>
              <w:t>107.47%</w:t>
            </w:r>
          </w:p>
        </w:tc>
      </w:tr>
    </w:tbl>
    <w:p w14:paraId="0B4F7749" w14:textId="77777777" w:rsidR="00FC5A62" w:rsidRDefault="00C76273" w:rsidP="00D1587B">
      <w:pPr>
        <w:pStyle w:val="af3"/>
      </w:pPr>
      <w:r>
        <w:rPr>
          <w:rFonts w:hint="eastAsia"/>
        </w:rPr>
        <w:t>注</w:t>
      </w:r>
      <w:r>
        <w:rPr>
          <w:rFonts w:hint="eastAsia"/>
        </w:rPr>
        <w:t>1</w:t>
      </w:r>
      <w:r>
        <w:rPr>
          <w:rFonts w:hint="eastAsia"/>
        </w:rPr>
        <w:t>：标的公司财务数据未经审计；</w:t>
      </w:r>
    </w:p>
    <w:p w14:paraId="029FD9C1" w14:textId="77777777" w:rsidR="00FC5A62" w:rsidRDefault="00C76273" w:rsidP="00D1587B">
      <w:pPr>
        <w:pStyle w:val="af3"/>
      </w:pPr>
      <w:r>
        <w:rPr>
          <w:rFonts w:hint="eastAsia"/>
        </w:rPr>
        <w:t>注</w:t>
      </w:r>
      <w:r>
        <w:rPr>
          <w:rFonts w:hint="eastAsia"/>
        </w:rPr>
        <w:t>2</w:t>
      </w:r>
      <w:r>
        <w:rPr>
          <w:rFonts w:hint="eastAsia"/>
        </w:rPr>
        <w:t>：上述同行业公司的数据来源于</w:t>
      </w:r>
      <w:r>
        <w:rPr>
          <w:rFonts w:hint="eastAsia"/>
        </w:rPr>
        <w:t>wind</w:t>
      </w:r>
      <w:r>
        <w:rPr>
          <w:rFonts w:hint="eastAsia"/>
        </w:rPr>
        <w:t>及公开披露报告</w:t>
      </w:r>
    </w:p>
    <w:p w14:paraId="4971775C" w14:textId="77777777" w:rsidR="00FC5A62" w:rsidRDefault="00C76273" w:rsidP="007F7B12">
      <w:pPr>
        <w:spacing w:beforeLines="50" w:before="156" w:afterLines="50" w:after="156" w:line="360" w:lineRule="auto"/>
        <w:ind w:firstLineChars="200" w:firstLine="480"/>
        <w:rPr>
          <w:sz w:val="24"/>
        </w:rPr>
      </w:pPr>
      <w:r>
        <w:rPr>
          <w:rFonts w:hint="eastAsia"/>
          <w:sz w:val="24"/>
        </w:rPr>
        <w:t>在标的公司与同行业公司均剔除合同负债后，标的公司与同行业公司的资产负债率对比情况如下：</w:t>
      </w:r>
    </w:p>
    <w:tbl>
      <w:tblPr>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2235"/>
        <w:gridCol w:w="2331"/>
        <w:gridCol w:w="2184"/>
      </w:tblGrid>
      <w:tr w:rsidR="00FC5A62" w14:paraId="2DF1A296" w14:textId="77777777">
        <w:trPr>
          <w:trHeight w:val="397"/>
        </w:trPr>
        <w:tc>
          <w:tcPr>
            <w:tcW w:w="1198" w:type="pct"/>
            <w:shd w:val="clear" w:color="auto" w:fill="auto"/>
            <w:noWrap/>
            <w:vAlign w:val="center"/>
          </w:tcPr>
          <w:p w14:paraId="20FCF1BF" w14:textId="77777777" w:rsidR="00FC5A62" w:rsidRDefault="00C76273">
            <w:pPr>
              <w:widowControl/>
              <w:jc w:val="center"/>
              <w:rPr>
                <w:b/>
                <w:bCs/>
                <w:szCs w:val="21"/>
              </w:rPr>
            </w:pPr>
            <w:r>
              <w:rPr>
                <w:rFonts w:hint="eastAsia"/>
                <w:b/>
                <w:bCs/>
                <w:szCs w:val="21"/>
              </w:rPr>
              <w:t>公司名称</w:t>
            </w:r>
          </w:p>
        </w:tc>
        <w:tc>
          <w:tcPr>
            <w:tcW w:w="1259" w:type="pct"/>
            <w:shd w:val="clear" w:color="auto" w:fill="auto"/>
            <w:vAlign w:val="center"/>
          </w:tcPr>
          <w:p w14:paraId="22D2F764" w14:textId="77777777" w:rsidR="00FC5A62" w:rsidRDefault="00C76273">
            <w:pPr>
              <w:widowControl/>
              <w:jc w:val="center"/>
              <w:rPr>
                <w:b/>
                <w:bCs/>
                <w:szCs w:val="21"/>
              </w:rPr>
            </w:pPr>
            <w:r>
              <w:rPr>
                <w:b/>
                <w:bCs/>
                <w:szCs w:val="21"/>
              </w:rPr>
              <w:t>2023</w:t>
            </w:r>
            <w:r>
              <w:rPr>
                <w:rFonts w:hint="eastAsia"/>
                <w:b/>
                <w:bCs/>
                <w:szCs w:val="21"/>
              </w:rPr>
              <w:t>年</w:t>
            </w:r>
            <w:r>
              <w:rPr>
                <w:b/>
                <w:bCs/>
                <w:szCs w:val="21"/>
              </w:rPr>
              <w:t>3</w:t>
            </w:r>
            <w:r>
              <w:rPr>
                <w:rFonts w:hint="eastAsia"/>
                <w:b/>
                <w:bCs/>
                <w:szCs w:val="21"/>
              </w:rPr>
              <w:t>月</w:t>
            </w:r>
            <w:r>
              <w:rPr>
                <w:b/>
                <w:bCs/>
                <w:szCs w:val="21"/>
              </w:rPr>
              <w:t>31</w:t>
            </w:r>
            <w:r>
              <w:rPr>
                <w:rFonts w:hint="eastAsia"/>
                <w:b/>
                <w:bCs/>
                <w:szCs w:val="21"/>
              </w:rPr>
              <w:t>日</w:t>
            </w:r>
          </w:p>
        </w:tc>
        <w:tc>
          <w:tcPr>
            <w:tcW w:w="1313" w:type="pct"/>
            <w:shd w:val="clear" w:color="auto" w:fill="auto"/>
            <w:vAlign w:val="center"/>
          </w:tcPr>
          <w:p w14:paraId="12698A5A" w14:textId="77777777" w:rsidR="00FC5A62" w:rsidRDefault="00C76273">
            <w:pPr>
              <w:widowControl/>
              <w:jc w:val="center"/>
              <w:rPr>
                <w:b/>
                <w:bCs/>
                <w:szCs w:val="21"/>
              </w:rPr>
            </w:pPr>
            <w:r>
              <w:rPr>
                <w:b/>
                <w:bCs/>
                <w:szCs w:val="21"/>
              </w:rPr>
              <w:t>2022</w:t>
            </w:r>
            <w:r>
              <w:rPr>
                <w:rFonts w:hint="eastAsia"/>
                <w:b/>
                <w:bCs/>
                <w:szCs w:val="21"/>
              </w:rPr>
              <w:t>年</w:t>
            </w:r>
            <w:r>
              <w:rPr>
                <w:b/>
                <w:bCs/>
                <w:szCs w:val="21"/>
              </w:rPr>
              <w:t>12</w:t>
            </w:r>
            <w:r>
              <w:rPr>
                <w:rFonts w:hint="eastAsia"/>
                <w:b/>
                <w:bCs/>
                <w:szCs w:val="21"/>
              </w:rPr>
              <w:t>月</w:t>
            </w:r>
            <w:r>
              <w:rPr>
                <w:b/>
                <w:bCs/>
                <w:szCs w:val="21"/>
              </w:rPr>
              <w:t>31</w:t>
            </w:r>
            <w:r>
              <w:rPr>
                <w:rFonts w:hint="eastAsia"/>
                <w:b/>
                <w:bCs/>
                <w:szCs w:val="21"/>
              </w:rPr>
              <w:t>日</w:t>
            </w:r>
          </w:p>
        </w:tc>
        <w:tc>
          <w:tcPr>
            <w:tcW w:w="1230" w:type="pct"/>
            <w:shd w:val="clear" w:color="auto" w:fill="auto"/>
            <w:noWrap/>
            <w:vAlign w:val="center"/>
          </w:tcPr>
          <w:p w14:paraId="75ED5C0F" w14:textId="77777777" w:rsidR="00FC5A62" w:rsidRDefault="00C76273">
            <w:pPr>
              <w:widowControl/>
              <w:jc w:val="center"/>
              <w:rPr>
                <w:b/>
                <w:bCs/>
                <w:szCs w:val="21"/>
              </w:rPr>
            </w:pPr>
            <w:r>
              <w:rPr>
                <w:b/>
                <w:bCs/>
                <w:szCs w:val="21"/>
              </w:rPr>
              <w:t>2021</w:t>
            </w:r>
            <w:r>
              <w:rPr>
                <w:rFonts w:hint="eastAsia"/>
                <w:b/>
                <w:bCs/>
                <w:szCs w:val="21"/>
              </w:rPr>
              <w:t>年</w:t>
            </w:r>
            <w:r>
              <w:rPr>
                <w:b/>
                <w:bCs/>
                <w:szCs w:val="21"/>
              </w:rPr>
              <w:t>12</w:t>
            </w:r>
            <w:r>
              <w:rPr>
                <w:rFonts w:hint="eastAsia"/>
                <w:b/>
                <w:bCs/>
                <w:szCs w:val="21"/>
              </w:rPr>
              <w:t>月</w:t>
            </w:r>
            <w:r>
              <w:rPr>
                <w:b/>
                <w:bCs/>
                <w:szCs w:val="21"/>
              </w:rPr>
              <w:t>31</w:t>
            </w:r>
            <w:r>
              <w:rPr>
                <w:rFonts w:hint="eastAsia"/>
                <w:b/>
                <w:bCs/>
                <w:szCs w:val="21"/>
              </w:rPr>
              <w:t>日</w:t>
            </w:r>
          </w:p>
        </w:tc>
      </w:tr>
      <w:tr w:rsidR="00FC5A62" w14:paraId="479491AB" w14:textId="77777777">
        <w:trPr>
          <w:trHeight w:val="397"/>
        </w:trPr>
        <w:tc>
          <w:tcPr>
            <w:tcW w:w="1198" w:type="pct"/>
            <w:shd w:val="clear" w:color="auto" w:fill="auto"/>
            <w:noWrap/>
            <w:vAlign w:val="center"/>
          </w:tcPr>
          <w:p w14:paraId="29F72724" w14:textId="77777777" w:rsidR="00FC5A62" w:rsidRDefault="00C76273">
            <w:pPr>
              <w:widowControl/>
              <w:jc w:val="center"/>
              <w:rPr>
                <w:szCs w:val="21"/>
              </w:rPr>
            </w:pPr>
            <w:r>
              <w:rPr>
                <w:rFonts w:hint="eastAsia"/>
                <w:szCs w:val="21"/>
              </w:rPr>
              <w:t>阿</w:t>
            </w:r>
            <w:proofErr w:type="gramStart"/>
            <w:r>
              <w:rPr>
                <w:rFonts w:hint="eastAsia"/>
                <w:szCs w:val="21"/>
              </w:rPr>
              <w:t>特</w:t>
            </w:r>
            <w:proofErr w:type="gramEnd"/>
            <w:r>
              <w:rPr>
                <w:rFonts w:hint="eastAsia"/>
                <w:szCs w:val="21"/>
              </w:rPr>
              <w:t>斯</w:t>
            </w:r>
          </w:p>
        </w:tc>
        <w:tc>
          <w:tcPr>
            <w:tcW w:w="1259" w:type="pct"/>
            <w:vAlign w:val="center"/>
          </w:tcPr>
          <w:p w14:paraId="09A550F8" w14:textId="77777777" w:rsidR="00FC5A62" w:rsidRDefault="00C76273">
            <w:pPr>
              <w:widowControl/>
              <w:jc w:val="right"/>
              <w:rPr>
                <w:szCs w:val="21"/>
              </w:rPr>
            </w:pPr>
            <w:r>
              <w:t>69.67%</w:t>
            </w:r>
          </w:p>
        </w:tc>
        <w:tc>
          <w:tcPr>
            <w:tcW w:w="1313" w:type="pct"/>
            <w:vAlign w:val="center"/>
          </w:tcPr>
          <w:p w14:paraId="261FF91C" w14:textId="77777777" w:rsidR="00FC5A62" w:rsidRDefault="00C76273">
            <w:pPr>
              <w:widowControl/>
              <w:jc w:val="right"/>
              <w:rPr>
                <w:szCs w:val="21"/>
              </w:rPr>
            </w:pPr>
            <w:r>
              <w:t>69.29%</w:t>
            </w:r>
          </w:p>
        </w:tc>
        <w:tc>
          <w:tcPr>
            <w:tcW w:w="1230" w:type="pct"/>
            <w:shd w:val="clear" w:color="auto" w:fill="auto"/>
            <w:noWrap/>
            <w:vAlign w:val="center"/>
          </w:tcPr>
          <w:p w14:paraId="33A477CC" w14:textId="77777777" w:rsidR="00FC5A62" w:rsidRDefault="00C76273">
            <w:pPr>
              <w:widowControl/>
              <w:jc w:val="right"/>
              <w:rPr>
                <w:szCs w:val="21"/>
              </w:rPr>
            </w:pPr>
            <w:r>
              <w:t>67.03%</w:t>
            </w:r>
          </w:p>
        </w:tc>
      </w:tr>
      <w:tr w:rsidR="00FC5A62" w14:paraId="274CBE8B" w14:textId="77777777">
        <w:trPr>
          <w:trHeight w:val="397"/>
        </w:trPr>
        <w:tc>
          <w:tcPr>
            <w:tcW w:w="1198" w:type="pct"/>
            <w:shd w:val="clear" w:color="auto" w:fill="auto"/>
            <w:noWrap/>
            <w:vAlign w:val="center"/>
          </w:tcPr>
          <w:p w14:paraId="29A52EAE" w14:textId="77777777" w:rsidR="00FC5A62" w:rsidRDefault="00C76273">
            <w:pPr>
              <w:widowControl/>
              <w:jc w:val="center"/>
              <w:rPr>
                <w:szCs w:val="21"/>
              </w:rPr>
            </w:pPr>
            <w:proofErr w:type="gramStart"/>
            <w:r>
              <w:rPr>
                <w:rFonts w:hint="eastAsia"/>
                <w:szCs w:val="21"/>
              </w:rPr>
              <w:t>晶澳科技</w:t>
            </w:r>
            <w:proofErr w:type="gramEnd"/>
          </w:p>
        </w:tc>
        <w:tc>
          <w:tcPr>
            <w:tcW w:w="1259" w:type="pct"/>
            <w:vAlign w:val="center"/>
          </w:tcPr>
          <w:p w14:paraId="40FC8FB8" w14:textId="77777777" w:rsidR="00FC5A62" w:rsidRDefault="00C76273">
            <w:pPr>
              <w:widowControl/>
              <w:jc w:val="right"/>
              <w:rPr>
                <w:szCs w:val="21"/>
              </w:rPr>
            </w:pPr>
            <w:r>
              <w:t>49.47%</w:t>
            </w:r>
          </w:p>
        </w:tc>
        <w:tc>
          <w:tcPr>
            <w:tcW w:w="1313" w:type="pct"/>
            <w:vAlign w:val="center"/>
          </w:tcPr>
          <w:p w14:paraId="34225CC3" w14:textId="77777777" w:rsidR="00FC5A62" w:rsidRDefault="00C76273">
            <w:pPr>
              <w:widowControl/>
              <w:jc w:val="right"/>
              <w:rPr>
                <w:szCs w:val="21"/>
              </w:rPr>
            </w:pPr>
            <w:r>
              <w:t>50.86%</w:t>
            </w:r>
          </w:p>
        </w:tc>
        <w:tc>
          <w:tcPr>
            <w:tcW w:w="1230" w:type="pct"/>
            <w:shd w:val="clear" w:color="auto" w:fill="auto"/>
            <w:noWrap/>
            <w:vAlign w:val="center"/>
          </w:tcPr>
          <w:p w14:paraId="254D734B" w14:textId="77777777" w:rsidR="00FC5A62" w:rsidRDefault="00C76273">
            <w:pPr>
              <w:widowControl/>
              <w:jc w:val="right"/>
              <w:rPr>
                <w:szCs w:val="21"/>
              </w:rPr>
            </w:pPr>
            <w:r>
              <w:t>64.03%</w:t>
            </w:r>
          </w:p>
        </w:tc>
      </w:tr>
      <w:tr w:rsidR="00FC5A62" w14:paraId="2B65AFC3" w14:textId="77777777">
        <w:trPr>
          <w:trHeight w:val="397"/>
        </w:trPr>
        <w:tc>
          <w:tcPr>
            <w:tcW w:w="1198" w:type="pct"/>
            <w:shd w:val="clear" w:color="auto" w:fill="auto"/>
            <w:noWrap/>
            <w:vAlign w:val="center"/>
          </w:tcPr>
          <w:p w14:paraId="46369A1C" w14:textId="77777777" w:rsidR="00FC5A62" w:rsidRDefault="00C76273">
            <w:pPr>
              <w:widowControl/>
              <w:jc w:val="center"/>
              <w:rPr>
                <w:szCs w:val="21"/>
              </w:rPr>
            </w:pPr>
            <w:proofErr w:type="gramStart"/>
            <w:r>
              <w:rPr>
                <w:rFonts w:hint="eastAsia"/>
                <w:szCs w:val="21"/>
              </w:rPr>
              <w:t>晶科能源</w:t>
            </w:r>
            <w:proofErr w:type="gramEnd"/>
          </w:p>
        </w:tc>
        <w:tc>
          <w:tcPr>
            <w:tcW w:w="1259" w:type="pct"/>
            <w:vAlign w:val="center"/>
          </w:tcPr>
          <w:p w14:paraId="37C3062E" w14:textId="77777777" w:rsidR="00FC5A62" w:rsidRDefault="00C76273">
            <w:pPr>
              <w:widowControl/>
              <w:jc w:val="right"/>
              <w:rPr>
                <w:szCs w:val="21"/>
              </w:rPr>
            </w:pPr>
            <w:r>
              <w:t>66.58%</w:t>
            </w:r>
          </w:p>
        </w:tc>
        <w:tc>
          <w:tcPr>
            <w:tcW w:w="1313" w:type="pct"/>
            <w:vAlign w:val="center"/>
          </w:tcPr>
          <w:p w14:paraId="4FD0DCAA" w14:textId="77777777" w:rsidR="00FC5A62" w:rsidRDefault="00C76273">
            <w:pPr>
              <w:widowControl/>
              <w:jc w:val="right"/>
              <w:rPr>
                <w:szCs w:val="21"/>
              </w:rPr>
            </w:pPr>
            <w:r>
              <w:t>66.46%</w:t>
            </w:r>
          </w:p>
        </w:tc>
        <w:tc>
          <w:tcPr>
            <w:tcW w:w="1230" w:type="pct"/>
            <w:shd w:val="clear" w:color="auto" w:fill="auto"/>
            <w:noWrap/>
            <w:vAlign w:val="center"/>
          </w:tcPr>
          <w:p w14:paraId="1AAE4A50" w14:textId="77777777" w:rsidR="00FC5A62" w:rsidRDefault="00C76273">
            <w:pPr>
              <w:widowControl/>
              <w:jc w:val="right"/>
              <w:rPr>
                <w:szCs w:val="21"/>
              </w:rPr>
            </w:pPr>
            <w:r>
              <w:t>73.50%</w:t>
            </w:r>
          </w:p>
        </w:tc>
      </w:tr>
      <w:tr w:rsidR="00FC5A62" w14:paraId="7FE12E08" w14:textId="77777777">
        <w:trPr>
          <w:trHeight w:val="397"/>
        </w:trPr>
        <w:tc>
          <w:tcPr>
            <w:tcW w:w="1198" w:type="pct"/>
            <w:shd w:val="clear" w:color="auto" w:fill="auto"/>
            <w:noWrap/>
            <w:vAlign w:val="center"/>
          </w:tcPr>
          <w:p w14:paraId="7714975D" w14:textId="77777777" w:rsidR="00FC5A62" w:rsidRDefault="00C76273">
            <w:pPr>
              <w:widowControl/>
              <w:jc w:val="center"/>
              <w:rPr>
                <w:szCs w:val="21"/>
              </w:rPr>
            </w:pPr>
            <w:r>
              <w:rPr>
                <w:rFonts w:hint="eastAsia"/>
                <w:szCs w:val="21"/>
              </w:rPr>
              <w:t>东方日升</w:t>
            </w:r>
          </w:p>
        </w:tc>
        <w:tc>
          <w:tcPr>
            <w:tcW w:w="1259" w:type="pct"/>
            <w:vAlign w:val="center"/>
          </w:tcPr>
          <w:p w14:paraId="6BFFCE95" w14:textId="77777777" w:rsidR="00FC5A62" w:rsidRDefault="00C76273">
            <w:pPr>
              <w:widowControl/>
              <w:jc w:val="right"/>
              <w:rPr>
                <w:szCs w:val="21"/>
              </w:rPr>
            </w:pPr>
            <w:r>
              <w:t>65.23%</w:t>
            </w:r>
          </w:p>
        </w:tc>
        <w:tc>
          <w:tcPr>
            <w:tcW w:w="1313" w:type="pct"/>
            <w:vAlign w:val="center"/>
          </w:tcPr>
          <w:p w14:paraId="4FA51773" w14:textId="77777777" w:rsidR="00FC5A62" w:rsidRDefault="00C76273">
            <w:pPr>
              <w:widowControl/>
              <w:jc w:val="right"/>
              <w:rPr>
                <w:szCs w:val="21"/>
              </w:rPr>
            </w:pPr>
            <w:r>
              <w:t>63.84%</w:t>
            </w:r>
          </w:p>
        </w:tc>
        <w:tc>
          <w:tcPr>
            <w:tcW w:w="1230" w:type="pct"/>
            <w:shd w:val="clear" w:color="auto" w:fill="auto"/>
            <w:noWrap/>
            <w:vAlign w:val="center"/>
          </w:tcPr>
          <w:p w14:paraId="0B817138" w14:textId="77777777" w:rsidR="00FC5A62" w:rsidRDefault="00C76273">
            <w:pPr>
              <w:widowControl/>
              <w:jc w:val="right"/>
              <w:rPr>
                <w:szCs w:val="21"/>
              </w:rPr>
            </w:pPr>
            <w:r>
              <w:t>63.80%</w:t>
            </w:r>
          </w:p>
        </w:tc>
      </w:tr>
      <w:tr w:rsidR="00FC5A62" w14:paraId="2B462302" w14:textId="77777777">
        <w:trPr>
          <w:trHeight w:val="397"/>
        </w:trPr>
        <w:tc>
          <w:tcPr>
            <w:tcW w:w="1198" w:type="pct"/>
            <w:shd w:val="clear" w:color="auto" w:fill="auto"/>
            <w:noWrap/>
            <w:vAlign w:val="center"/>
          </w:tcPr>
          <w:p w14:paraId="7CAFEE0D" w14:textId="77777777" w:rsidR="00FC5A62" w:rsidRDefault="00C76273">
            <w:pPr>
              <w:widowControl/>
              <w:jc w:val="center"/>
              <w:rPr>
                <w:b/>
                <w:bCs/>
                <w:szCs w:val="21"/>
              </w:rPr>
            </w:pPr>
            <w:r>
              <w:rPr>
                <w:rFonts w:hint="eastAsia"/>
                <w:b/>
                <w:bCs/>
                <w:szCs w:val="21"/>
              </w:rPr>
              <w:t>平均</w:t>
            </w:r>
          </w:p>
        </w:tc>
        <w:tc>
          <w:tcPr>
            <w:tcW w:w="1259" w:type="pct"/>
            <w:vAlign w:val="center"/>
          </w:tcPr>
          <w:p w14:paraId="044C6063" w14:textId="77777777" w:rsidR="00FC5A62" w:rsidRDefault="00C76273">
            <w:pPr>
              <w:widowControl/>
              <w:jc w:val="right"/>
              <w:rPr>
                <w:b/>
                <w:bCs/>
                <w:szCs w:val="21"/>
              </w:rPr>
            </w:pPr>
            <w:r>
              <w:rPr>
                <w:b/>
                <w:bCs/>
              </w:rPr>
              <w:t>62.74%</w:t>
            </w:r>
          </w:p>
        </w:tc>
        <w:tc>
          <w:tcPr>
            <w:tcW w:w="1313" w:type="pct"/>
            <w:vAlign w:val="center"/>
          </w:tcPr>
          <w:p w14:paraId="011A6C97" w14:textId="77777777" w:rsidR="00FC5A62" w:rsidRDefault="00C76273">
            <w:pPr>
              <w:widowControl/>
              <w:jc w:val="right"/>
              <w:rPr>
                <w:b/>
                <w:bCs/>
                <w:szCs w:val="21"/>
              </w:rPr>
            </w:pPr>
            <w:r>
              <w:rPr>
                <w:b/>
                <w:bCs/>
              </w:rPr>
              <w:t>62.61%</w:t>
            </w:r>
          </w:p>
        </w:tc>
        <w:tc>
          <w:tcPr>
            <w:tcW w:w="1230" w:type="pct"/>
            <w:shd w:val="clear" w:color="auto" w:fill="auto"/>
            <w:noWrap/>
            <w:vAlign w:val="center"/>
          </w:tcPr>
          <w:p w14:paraId="6DC4A04A" w14:textId="77777777" w:rsidR="00FC5A62" w:rsidRDefault="00C76273">
            <w:pPr>
              <w:widowControl/>
              <w:jc w:val="right"/>
              <w:rPr>
                <w:b/>
                <w:bCs/>
                <w:szCs w:val="21"/>
              </w:rPr>
            </w:pPr>
            <w:r>
              <w:rPr>
                <w:b/>
                <w:bCs/>
              </w:rPr>
              <w:t>67.09%</w:t>
            </w:r>
          </w:p>
        </w:tc>
      </w:tr>
      <w:tr w:rsidR="00FC5A62" w14:paraId="3D1977A4" w14:textId="77777777">
        <w:trPr>
          <w:trHeight w:val="397"/>
        </w:trPr>
        <w:tc>
          <w:tcPr>
            <w:tcW w:w="1198" w:type="pct"/>
            <w:shd w:val="clear" w:color="auto" w:fill="auto"/>
            <w:noWrap/>
            <w:vAlign w:val="center"/>
          </w:tcPr>
          <w:p w14:paraId="3CB9C6F0" w14:textId="77777777" w:rsidR="00FC5A62" w:rsidRDefault="00C76273">
            <w:pPr>
              <w:widowControl/>
              <w:jc w:val="center"/>
              <w:rPr>
                <w:b/>
                <w:bCs/>
                <w:szCs w:val="21"/>
              </w:rPr>
            </w:pPr>
            <w:r>
              <w:rPr>
                <w:rFonts w:hint="eastAsia"/>
                <w:b/>
                <w:bCs/>
                <w:szCs w:val="21"/>
              </w:rPr>
              <w:t>标的公司</w:t>
            </w:r>
          </w:p>
        </w:tc>
        <w:tc>
          <w:tcPr>
            <w:tcW w:w="1259" w:type="pct"/>
            <w:vAlign w:val="center"/>
          </w:tcPr>
          <w:p w14:paraId="3E11BC68" w14:textId="77777777" w:rsidR="00FC5A62" w:rsidRDefault="00C76273">
            <w:pPr>
              <w:widowControl/>
              <w:jc w:val="right"/>
              <w:rPr>
                <w:b/>
                <w:bCs/>
                <w:szCs w:val="21"/>
              </w:rPr>
            </w:pPr>
            <w:r>
              <w:rPr>
                <w:b/>
                <w:bCs/>
              </w:rPr>
              <w:t>41.26%</w:t>
            </w:r>
          </w:p>
        </w:tc>
        <w:tc>
          <w:tcPr>
            <w:tcW w:w="1313" w:type="pct"/>
            <w:vAlign w:val="center"/>
          </w:tcPr>
          <w:p w14:paraId="4975A5BE" w14:textId="77777777" w:rsidR="00FC5A62" w:rsidRDefault="00C76273">
            <w:pPr>
              <w:widowControl/>
              <w:jc w:val="right"/>
              <w:rPr>
                <w:b/>
                <w:bCs/>
                <w:szCs w:val="21"/>
              </w:rPr>
            </w:pPr>
            <w:r>
              <w:rPr>
                <w:b/>
                <w:bCs/>
              </w:rPr>
              <w:t>30.85%</w:t>
            </w:r>
          </w:p>
        </w:tc>
        <w:tc>
          <w:tcPr>
            <w:tcW w:w="1230" w:type="pct"/>
            <w:shd w:val="clear" w:color="auto" w:fill="auto"/>
            <w:noWrap/>
            <w:vAlign w:val="center"/>
          </w:tcPr>
          <w:p w14:paraId="41643A32" w14:textId="77777777" w:rsidR="00FC5A62" w:rsidRDefault="00C76273">
            <w:pPr>
              <w:widowControl/>
              <w:jc w:val="right"/>
              <w:rPr>
                <w:b/>
                <w:bCs/>
                <w:szCs w:val="21"/>
              </w:rPr>
            </w:pPr>
            <w:r>
              <w:rPr>
                <w:b/>
                <w:bCs/>
                <w:color w:val="000000"/>
                <w:szCs w:val="21"/>
              </w:rPr>
              <w:t>58.71%</w:t>
            </w:r>
          </w:p>
        </w:tc>
      </w:tr>
    </w:tbl>
    <w:p w14:paraId="150FA280" w14:textId="77777777" w:rsidR="00FC5A62" w:rsidRDefault="00C76273">
      <w:pPr>
        <w:pStyle w:val="af3"/>
      </w:pPr>
      <w:r>
        <w:rPr>
          <w:rFonts w:hint="eastAsia"/>
        </w:rPr>
        <w:t>注</w:t>
      </w:r>
      <w:r>
        <w:rPr>
          <w:rFonts w:hint="eastAsia"/>
        </w:rPr>
        <w:t>1</w:t>
      </w:r>
      <w:r>
        <w:rPr>
          <w:rFonts w:hint="eastAsia"/>
        </w:rPr>
        <w:t>：标的公司财务数据未经审计；</w:t>
      </w:r>
    </w:p>
    <w:p w14:paraId="13D9CCC3" w14:textId="77777777" w:rsidR="00FC5A62" w:rsidRDefault="00C76273">
      <w:pPr>
        <w:pStyle w:val="af3"/>
      </w:pPr>
      <w:r>
        <w:rPr>
          <w:rFonts w:hint="eastAsia"/>
        </w:rPr>
        <w:t>注</w:t>
      </w:r>
      <w:r>
        <w:rPr>
          <w:rFonts w:hint="eastAsia"/>
        </w:rPr>
        <w:t>2</w:t>
      </w:r>
      <w:r>
        <w:rPr>
          <w:rFonts w:hint="eastAsia"/>
        </w:rPr>
        <w:t>：上述同行业公司的数据来源于</w:t>
      </w:r>
      <w:r>
        <w:rPr>
          <w:rFonts w:hint="eastAsia"/>
        </w:rPr>
        <w:t>wind</w:t>
      </w:r>
      <w:r>
        <w:rPr>
          <w:rFonts w:hint="eastAsia"/>
        </w:rPr>
        <w:t>及公开披露报告</w:t>
      </w:r>
    </w:p>
    <w:p w14:paraId="25911A86" w14:textId="77777777" w:rsidR="00FC5A62" w:rsidRDefault="00C76273" w:rsidP="007E37F7">
      <w:pPr>
        <w:spacing w:beforeLines="50" w:before="156" w:afterLines="50" w:after="156" w:line="360" w:lineRule="auto"/>
        <w:ind w:firstLineChars="200" w:firstLine="480"/>
        <w:rPr>
          <w:sz w:val="24"/>
        </w:rPr>
      </w:pPr>
      <w:r>
        <w:rPr>
          <w:rFonts w:hint="eastAsia"/>
          <w:sz w:val="24"/>
        </w:rPr>
        <w:lastRenderedPageBreak/>
        <w:t>剔除合同负债影响后，标的公司的资产负债率远低于同行业公司资产负债率，且逐年降低，财务状况良好。</w:t>
      </w:r>
    </w:p>
    <w:p w14:paraId="4AB35DAC" w14:textId="77777777" w:rsidR="00FC5A62" w:rsidRDefault="00C76273" w:rsidP="007E37F7">
      <w:pPr>
        <w:spacing w:beforeLines="50" w:before="156" w:afterLines="50" w:after="156" w:line="360" w:lineRule="auto"/>
        <w:ind w:firstLineChars="200" w:firstLine="480"/>
        <w:rPr>
          <w:sz w:val="24"/>
        </w:rPr>
      </w:pPr>
      <w:r>
        <w:rPr>
          <w:rFonts w:hint="eastAsia"/>
          <w:sz w:val="24"/>
        </w:rPr>
        <w:t>标的公司基于自身的品牌优势，获取了大量优质的美国地区下游客户，在</w:t>
      </w:r>
      <w:r>
        <w:rPr>
          <w:rFonts w:hint="eastAsia"/>
          <w:sz w:val="24"/>
        </w:rPr>
        <w:t>2</w:t>
      </w:r>
      <w:r>
        <w:rPr>
          <w:sz w:val="24"/>
        </w:rPr>
        <w:t>021</w:t>
      </w:r>
      <w:r>
        <w:rPr>
          <w:rFonts w:hint="eastAsia"/>
          <w:sz w:val="24"/>
        </w:rPr>
        <w:t>年下半年后陆续获取了大量合同订单。根据行业内一般结算方式，客户在签订组件销售合同后需预付</w:t>
      </w:r>
      <w:r>
        <w:rPr>
          <w:rFonts w:hint="eastAsia"/>
          <w:sz w:val="24"/>
        </w:rPr>
        <w:t>5</w:t>
      </w:r>
      <w:r>
        <w:rPr>
          <w:sz w:val="24"/>
        </w:rPr>
        <w:t>%-20%</w:t>
      </w:r>
      <w:r>
        <w:rPr>
          <w:rFonts w:hint="eastAsia"/>
          <w:sz w:val="24"/>
        </w:rPr>
        <w:t>的款项，在下达具体订单后再行预付</w:t>
      </w:r>
      <w:r>
        <w:rPr>
          <w:rFonts w:hint="eastAsia"/>
          <w:sz w:val="24"/>
        </w:rPr>
        <w:t>1</w:t>
      </w:r>
      <w:r>
        <w:rPr>
          <w:sz w:val="24"/>
        </w:rPr>
        <w:t>0%-30%</w:t>
      </w:r>
      <w:r>
        <w:rPr>
          <w:rFonts w:hint="eastAsia"/>
          <w:sz w:val="24"/>
        </w:rPr>
        <w:t>的款项。截至</w:t>
      </w:r>
      <w:r>
        <w:rPr>
          <w:rFonts w:hint="eastAsia"/>
          <w:sz w:val="24"/>
        </w:rPr>
        <w:t>2</w:t>
      </w:r>
      <w:r>
        <w:rPr>
          <w:sz w:val="24"/>
        </w:rPr>
        <w:t>023</w:t>
      </w:r>
      <w:r>
        <w:rPr>
          <w:rFonts w:hint="eastAsia"/>
          <w:sz w:val="24"/>
        </w:rPr>
        <w:t>年</w:t>
      </w:r>
      <w:r>
        <w:rPr>
          <w:sz w:val="24"/>
        </w:rPr>
        <w:t>3</w:t>
      </w:r>
      <w:r>
        <w:rPr>
          <w:rFonts w:hint="eastAsia"/>
          <w:sz w:val="24"/>
        </w:rPr>
        <w:t>月</w:t>
      </w:r>
      <w:r>
        <w:rPr>
          <w:rFonts w:hint="eastAsia"/>
          <w:sz w:val="24"/>
        </w:rPr>
        <w:t>3</w:t>
      </w:r>
      <w:r>
        <w:rPr>
          <w:sz w:val="24"/>
        </w:rPr>
        <w:t>1</w:t>
      </w:r>
      <w:r>
        <w:rPr>
          <w:rFonts w:hint="eastAsia"/>
          <w:sz w:val="24"/>
        </w:rPr>
        <w:t>日，标的公司合同负债金额前五名的客户与公司签订的待执行合同金额约</w:t>
      </w:r>
      <w:r>
        <w:rPr>
          <w:sz w:val="24"/>
        </w:rPr>
        <w:t>42</w:t>
      </w:r>
      <w:r>
        <w:rPr>
          <w:rFonts w:hint="eastAsia"/>
          <w:sz w:val="24"/>
        </w:rPr>
        <w:t>亿元，预收合同金额约</w:t>
      </w:r>
      <w:r>
        <w:rPr>
          <w:sz w:val="24"/>
        </w:rPr>
        <w:t>8</w:t>
      </w:r>
      <w:r>
        <w:rPr>
          <w:rFonts w:hint="eastAsia"/>
          <w:sz w:val="24"/>
        </w:rPr>
        <w:t>亿元，占比约</w:t>
      </w:r>
      <w:r>
        <w:rPr>
          <w:sz w:val="24"/>
        </w:rPr>
        <w:t>19%</w:t>
      </w:r>
      <w:r>
        <w:rPr>
          <w:rFonts w:hint="eastAsia"/>
          <w:sz w:val="24"/>
        </w:rPr>
        <w:t>，符合行业惯例。</w:t>
      </w:r>
    </w:p>
    <w:p w14:paraId="5E1D64E7" w14:textId="77777777" w:rsidR="00FC5A62" w:rsidRDefault="00C76273" w:rsidP="007E37F7">
      <w:pPr>
        <w:spacing w:beforeLines="50" w:before="156" w:afterLines="50" w:after="156" w:line="360" w:lineRule="auto"/>
        <w:ind w:firstLineChars="200" w:firstLine="480"/>
        <w:rPr>
          <w:sz w:val="24"/>
        </w:rPr>
      </w:pPr>
      <w:r>
        <w:rPr>
          <w:rFonts w:hint="eastAsia"/>
          <w:sz w:val="24"/>
        </w:rPr>
        <w:t>标的公司的合同负债主要受到在手的待执行订单影响，</w:t>
      </w:r>
      <w:r>
        <w:rPr>
          <w:rFonts w:hint="eastAsia"/>
          <w:sz w:val="24"/>
        </w:rPr>
        <w:t>2</w:t>
      </w:r>
      <w:r>
        <w:rPr>
          <w:sz w:val="24"/>
        </w:rPr>
        <w:t>021</w:t>
      </w:r>
      <w:r>
        <w:rPr>
          <w:rFonts w:hint="eastAsia"/>
          <w:sz w:val="24"/>
        </w:rPr>
        <w:t>年末、</w:t>
      </w:r>
      <w:r>
        <w:rPr>
          <w:rFonts w:hint="eastAsia"/>
          <w:sz w:val="24"/>
        </w:rPr>
        <w:t>2</w:t>
      </w:r>
      <w:r>
        <w:rPr>
          <w:sz w:val="24"/>
        </w:rPr>
        <w:t>022</w:t>
      </w:r>
      <w:r>
        <w:rPr>
          <w:rFonts w:hint="eastAsia"/>
          <w:sz w:val="24"/>
        </w:rPr>
        <w:t>年末及</w:t>
      </w:r>
      <w:r>
        <w:rPr>
          <w:rFonts w:hint="eastAsia"/>
          <w:sz w:val="24"/>
        </w:rPr>
        <w:t>2</w:t>
      </w:r>
      <w:r>
        <w:rPr>
          <w:sz w:val="24"/>
        </w:rPr>
        <w:t>023</w:t>
      </w:r>
      <w:r>
        <w:rPr>
          <w:rFonts w:hint="eastAsia"/>
          <w:sz w:val="24"/>
        </w:rPr>
        <w:t>年一季度末，标的公司合同负债与在手订单金额的匹配情况如下：</w:t>
      </w:r>
    </w:p>
    <w:p w14:paraId="28B4CE75" w14:textId="77777777" w:rsidR="00FC5A62" w:rsidRPr="008A1A3A" w:rsidRDefault="00C76273">
      <w:pPr>
        <w:ind w:firstLineChars="200" w:firstLine="420"/>
        <w:jc w:val="right"/>
        <w:rPr>
          <w:szCs w:val="21"/>
        </w:rPr>
      </w:pPr>
      <w:r w:rsidRPr="008A1A3A">
        <w:rPr>
          <w:rFonts w:hint="eastAsia"/>
          <w:szCs w:val="21"/>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FC5A62" w14:paraId="409C783D" w14:textId="77777777">
        <w:trPr>
          <w:trHeight w:val="397"/>
        </w:trPr>
        <w:tc>
          <w:tcPr>
            <w:tcW w:w="1250" w:type="pct"/>
            <w:shd w:val="clear" w:color="auto" w:fill="auto"/>
            <w:noWrap/>
            <w:vAlign w:val="center"/>
          </w:tcPr>
          <w:p w14:paraId="3B611E7E" w14:textId="77777777" w:rsidR="00FC5A62" w:rsidRDefault="00C76273">
            <w:pPr>
              <w:widowControl/>
              <w:jc w:val="center"/>
              <w:rPr>
                <w:b/>
                <w:bCs/>
                <w:szCs w:val="21"/>
              </w:rPr>
            </w:pPr>
            <w:r>
              <w:rPr>
                <w:rFonts w:hint="eastAsia"/>
                <w:b/>
                <w:bCs/>
                <w:szCs w:val="21"/>
              </w:rPr>
              <w:t>期间</w:t>
            </w:r>
          </w:p>
        </w:tc>
        <w:tc>
          <w:tcPr>
            <w:tcW w:w="1250" w:type="pct"/>
            <w:shd w:val="clear" w:color="auto" w:fill="auto"/>
            <w:vAlign w:val="center"/>
          </w:tcPr>
          <w:p w14:paraId="17DBA643" w14:textId="77777777" w:rsidR="00FC5A62" w:rsidRDefault="00C76273">
            <w:pPr>
              <w:widowControl/>
              <w:jc w:val="center"/>
              <w:rPr>
                <w:b/>
                <w:bCs/>
                <w:szCs w:val="21"/>
              </w:rPr>
            </w:pPr>
            <w:r>
              <w:rPr>
                <w:b/>
                <w:bCs/>
                <w:szCs w:val="21"/>
              </w:rPr>
              <w:t>2023</w:t>
            </w:r>
            <w:r>
              <w:rPr>
                <w:rFonts w:hint="eastAsia"/>
                <w:b/>
                <w:bCs/>
                <w:szCs w:val="21"/>
              </w:rPr>
              <w:t>年</w:t>
            </w:r>
            <w:r>
              <w:rPr>
                <w:b/>
                <w:bCs/>
                <w:szCs w:val="21"/>
              </w:rPr>
              <w:t>3</w:t>
            </w:r>
            <w:r>
              <w:rPr>
                <w:rFonts w:hint="eastAsia"/>
                <w:b/>
                <w:bCs/>
                <w:szCs w:val="21"/>
              </w:rPr>
              <w:t>月</w:t>
            </w:r>
            <w:r>
              <w:rPr>
                <w:b/>
                <w:bCs/>
                <w:szCs w:val="21"/>
              </w:rPr>
              <w:t>31</w:t>
            </w:r>
            <w:r>
              <w:rPr>
                <w:rFonts w:hint="eastAsia"/>
                <w:b/>
                <w:bCs/>
                <w:szCs w:val="21"/>
              </w:rPr>
              <w:t>日</w:t>
            </w:r>
          </w:p>
        </w:tc>
        <w:tc>
          <w:tcPr>
            <w:tcW w:w="1250" w:type="pct"/>
            <w:shd w:val="clear" w:color="auto" w:fill="auto"/>
            <w:vAlign w:val="center"/>
          </w:tcPr>
          <w:p w14:paraId="60860DB0" w14:textId="77777777" w:rsidR="00FC5A62" w:rsidRDefault="00C76273">
            <w:pPr>
              <w:widowControl/>
              <w:jc w:val="center"/>
              <w:rPr>
                <w:b/>
                <w:bCs/>
                <w:szCs w:val="21"/>
              </w:rPr>
            </w:pPr>
            <w:r>
              <w:rPr>
                <w:b/>
                <w:bCs/>
                <w:szCs w:val="21"/>
              </w:rPr>
              <w:t>2022</w:t>
            </w:r>
            <w:r>
              <w:rPr>
                <w:rFonts w:hint="eastAsia"/>
                <w:b/>
                <w:bCs/>
                <w:szCs w:val="21"/>
              </w:rPr>
              <w:t>年</w:t>
            </w:r>
            <w:r>
              <w:rPr>
                <w:b/>
                <w:bCs/>
                <w:szCs w:val="21"/>
              </w:rPr>
              <w:t>12</w:t>
            </w:r>
            <w:r>
              <w:rPr>
                <w:rFonts w:hint="eastAsia"/>
                <w:b/>
                <w:bCs/>
                <w:szCs w:val="21"/>
              </w:rPr>
              <w:t>月</w:t>
            </w:r>
            <w:r>
              <w:rPr>
                <w:b/>
                <w:bCs/>
                <w:szCs w:val="21"/>
              </w:rPr>
              <w:t>31</w:t>
            </w:r>
            <w:r>
              <w:rPr>
                <w:rFonts w:hint="eastAsia"/>
                <w:b/>
                <w:bCs/>
                <w:szCs w:val="21"/>
              </w:rPr>
              <w:t>日</w:t>
            </w:r>
          </w:p>
        </w:tc>
        <w:tc>
          <w:tcPr>
            <w:tcW w:w="1250" w:type="pct"/>
            <w:shd w:val="clear" w:color="auto" w:fill="auto"/>
            <w:noWrap/>
            <w:vAlign w:val="center"/>
          </w:tcPr>
          <w:p w14:paraId="11C7FF5E" w14:textId="77777777" w:rsidR="00FC5A62" w:rsidRDefault="00C76273">
            <w:pPr>
              <w:widowControl/>
              <w:jc w:val="center"/>
              <w:rPr>
                <w:b/>
                <w:bCs/>
                <w:szCs w:val="21"/>
              </w:rPr>
            </w:pPr>
            <w:r>
              <w:rPr>
                <w:b/>
                <w:bCs/>
                <w:szCs w:val="21"/>
              </w:rPr>
              <w:t>2021</w:t>
            </w:r>
            <w:r>
              <w:rPr>
                <w:rFonts w:hint="eastAsia"/>
                <w:b/>
                <w:bCs/>
                <w:szCs w:val="21"/>
              </w:rPr>
              <w:t>年</w:t>
            </w:r>
            <w:r>
              <w:rPr>
                <w:b/>
                <w:bCs/>
                <w:szCs w:val="21"/>
              </w:rPr>
              <w:t>12</w:t>
            </w:r>
            <w:r>
              <w:rPr>
                <w:rFonts w:hint="eastAsia"/>
                <w:b/>
                <w:bCs/>
                <w:szCs w:val="21"/>
              </w:rPr>
              <w:t>月</w:t>
            </w:r>
            <w:r>
              <w:rPr>
                <w:b/>
                <w:bCs/>
                <w:szCs w:val="21"/>
              </w:rPr>
              <w:t>31</w:t>
            </w:r>
            <w:r>
              <w:rPr>
                <w:rFonts w:hint="eastAsia"/>
                <w:b/>
                <w:bCs/>
                <w:szCs w:val="21"/>
              </w:rPr>
              <w:t>日</w:t>
            </w:r>
          </w:p>
        </w:tc>
      </w:tr>
      <w:tr w:rsidR="00FC5A62" w14:paraId="589F677F" w14:textId="77777777">
        <w:trPr>
          <w:trHeight w:val="397"/>
        </w:trPr>
        <w:tc>
          <w:tcPr>
            <w:tcW w:w="1250" w:type="pct"/>
            <w:shd w:val="clear" w:color="auto" w:fill="auto"/>
            <w:noWrap/>
            <w:vAlign w:val="center"/>
          </w:tcPr>
          <w:p w14:paraId="4DBD93C0" w14:textId="77777777" w:rsidR="00FC5A62" w:rsidRDefault="00C76273">
            <w:pPr>
              <w:widowControl/>
              <w:jc w:val="left"/>
              <w:rPr>
                <w:szCs w:val="21"/>
              </w:rPr>
            </w:pPr>
            <w:r>
              <w:rPr>
                <w:rFonts w:hint="eastAsia"/>
                <w:szCs w:val="21"/>
              </w:rPr>
              <w:t>合同负债金额①</w:t>
            </w:r>
          </w:p>
        </w:tc>
        <w:tc>
          <w:tcPr>
            <w:tcW w:w="1250" w:type="pct"/>
            <w:vAlign w:val="center"/>
          </w:tcPr>
          <w:p w14:paraId="7CDA138C" w14:textId="77777777" w:rsidR="00FC5A62" w:rsidRDefault="00C76273">
            <w:pPr>
              <w:widowControl/>
              <w:jc w:val="right"/>
              <w:rPr>
                <w:sz w:val="24"/>
              </w:rPr>
            </w:pPr>
            <w:r>
              <w:rPr>
                <w:sz w:val="24"/>
              </w:rPr>
              <w:t>101,491.83</w:t>
            </w:r>
          </w:p>
        </w:tc>
        <w:tc>
          <w:tcPr>
            <w:tcW w:w="1250" w:type="pct"/>
            <w:vAlign w:val="center"/>
          </w:tcPr>
          <w:p w14:paraId="552CEA27" w14:textId="77777777" w:rsidR="00FC5A62" w:rsidRDefault="00C76273">
            <w:pPr>
              <w:widowControl/>
              <w:jc w:val="right"/>
              <w:rPr>
                <w:sz w:val="24"/>
              </w:rPr>
            </w:pPr>
            <w:r>
              <w:rPr>
                <w:sz w:val="24"/>
              </w:rPr>
              <w:t>142,380.70</w:t>
            </w:r>
          </w:p>
        </w:tc>
        <w:tc>
          <w:tcPr>
            <w:tcW w:w="1250" w:type="pct"/>
            <w:shd w:val="clear" w:color="auto" w:fill="auto"/>
            <w:noWrap/>
            <w:vAlign w:val="center"/>
          </w:tcPr>
          <w:p w14:paraId="371FC398" w14:textId="77777777" w:rsidR="00FC5A62" w:rsidRDefault="00C76273">
            <w:pPr>
              <w:widowControl/>
              <w:jc w:val="right"/>
              <w:rPr>
                <w:sz w:val="24"/>
              </w:rPr>
            </w:pPr>
            <w:r>
              <w:rPr>
                <w:sz w:val="24"/>
              </w:rPr>
              <w:t>42,427.95</w:t>
            </w:r>
          </w:p>
        </w:tc>
      </w:tr>
      <w:tr w:rsidR="00FC5A62" w14:paraId="6E135CB7" w14:textId="77777777">
        <w:trPr>
          <w:trHeight w:val="397"/>
        </w:trPr>
        <w:tc>
          <w:tcPr>
            <w:tcW w:w="1250" w:type="pct"/>
            <w:shd w:val="clear" w:color="auto" w:fill="auto"/>
            <w:noWrap/>
            <w:vAlign w:val="center"/>
          </w:tcPr>
          <w:p w14:paraId="765265B3" w14:textId="77777777" w:rsidR="00FC5A62" w:rsidRDefault="00C76273">
            <w:pPr>
              <w:widowControl/>
              <w:jc w:val="left"/>
              <w:rPr>
                <w:szCs w:val="21"/>
              </w:rPr>
            </w:pPr>
            <w:r>
              <w:rPr>
                <w:rFonts w:hint="eastAsia"/>
                <w:szCs w:val="21"/>
              </w:rPr>
              <w:t>在手订单金额②</w:t>
            </w:r>
          </w:p>
        </w:tc>
        <w:tc>
          <w:tcPr>
            <w:tcW w:w="1250" w:type="pct"/>
            <w:vAlign w:val="center"/>
          </w:tcPr>
          <w:p w14:paraId="521479D0" w14:textId="77777777" w:rsidR="00FC5A62" w:rsidRDefault="00C76273">
            <w:pPr>
              <w:widowControl/>
              <w:jc w:val="right"/>
              <w:rPr>
                <w:sz w:val="24"/>
              </w:rPr>
            </w:pPr>
            <w:r>
              <w:rPr>
                <w:sz w:val="24"/>
              </w:rPr>
              <w:t>538,390.68</w:t>
            </w:r>
          </w:p>
        </w:tc>
        <w:tc>
          <w:tcPr>
            <w:tcW w:w="1250" w:type="pct"/>
            <w:vAlign w:val="center"/>
          </w:tcPr>
          <w:p w14:paraId="76920F14" w14:textId="77777777" w:rsidR="00FC5A62" w:rsidRDefault="00C76273">
            <w:pPr>
              <w:widowControl/>
              <w:jc w:val="right"/>
              <w:rPr>
                <w:sz w:val="24"/>
              </w:rPr>
            </w:pPr>
            <w:r>
              <w:rPr>
                <w:sz w:val="24"/>
              </w:rPr>
              <w:t>562,230.32</w:t>
            </w:r>
          </w:p>
        </w:tc>
        <w:tc>
          <w:tcPr>
            <w:tcW w:w="1250" w:type="pct"/>
            <w:shd w:val="clear" w:color="auto" w:fill="auto"/>
            <w:noWrap/>
            <w:vAlign w:val="center"/>
          </w:tcPr>
          <w:p w14:paraId="5C596F65" w14:textId="77777777" w:rsidR="00FC5A62" w:rsidRDefault="00C76273">
            <w:pPr>
              <w:widowControl/>
              <w:jc w:val="right"/>
              <w:rPr>
                <w:sz w:val="24"/>
              </w:rPr>
            </w:pPr>
            <w:r>
              <w:rPr>
                <w:sz w:val="24"/>
              </w:rPr>
              <w:t>171,384.29</w:t>
            </w:r>
          </w:p>
        </w:tc>
      </w:tr>
      <w:tr w:rsidR="00FC5A62" w14:paraId="45417FBE" w14:textId="77777777">
        <w:trPr>
          <w:trHeight w:val="397"/>
        </w:trPr>
        <w:tc>
          <w:tcPr>
            <w:tcW w:w="1250" w:type="pct"/>
            <w:shd w:val="clear" w:color="auto" w:fill="auto"/>
            <w:noWrap/>
            <w:vAlign w:val="center"/>
          </w:tcPr>
          <w:p w14:paraId="77D8CF50" w14:textId="77777777" w:rsidR="00FC5A62" w:rsidRDefault="00C76273">
            <w:pPr>
              <w:widowControl/>
              <w:jc w:val="center"/>
              <w:rPr>
                <w:b/>
                <w:bCs/>
                <w:szCs w:val="21"/>
              </w:rPr>
            </w:pPr>
            <w:r>
              <w:rPr>
                <w:rFonts w:hint="eastAsia"/>
                <w:b/>
                <w:bCs/>
                <w:szCs w:val="21"/>
              </w:rPr>
              <w:t>占比①</w:t>
            </w:r>
            <w:r>
              <w:rPr>
                <w:rFonts w:hint="eastAsia"/>
                <w:b/>
                <w:bCs/>
                <w:szCs w:val="21"/>
              </w:rPr>
              <w:t>/</w:t>
            </w:r>
            <w:r>
              <w:rPr>
                <w:rFonts w:hint="eastAsia"/>
                <w:b/>
                <w:bCs/>
                <w:szCs w:val="21"/>
              </w:rPr>
              <w:t>②</w:t>
            </w:r>
          </w:p>
        </w:tc>
        <w:tc>
          <w:tcPr>
            <w:tcW w:w="1250" w:type="pct"/>
            <w:vAlign w:val="center"/>
          </w:tcPr>
          <w:p w14:paraId="53963390" w14:textId="77777777" w:rsidR="00FC5A62" w:rsidRDefault="00C76273">
            <w:pPr>
              <w:widowControl/>
              <w:jc w:val="right"/>
              <w:rPr>
                <w:b/>
                <w:bCs/>
                <w:sz w:val="24"/>
              </w:rPr>
            </w:pPr>
            <w:r>
              <w:rPr>
                <w:b/>
                <w:bCs/>
                <w:sz w:val="24"/>
              </w:rPr>
              <w:t>18.85%</w:t>
            </w:r>
          </w:p>
        </w:tc>
        <w:tc>
          <w:tcPr>
            <w:tcW w:w="1250" w:type="pct"/>
            <w:vAlign w:val="center"/>
          </w:tcPr>
          <w:p w14:paraId="4444ECC2" w14:textId="77777777" w:rsidR="00FC5A62" w:rsidRDefault="00C76273">
            <w:pPr>
              <w:widowControl/>
              <w:jc w:val="right"/>
              <w:rPr>
                <w:b/>
                <w:bCs/>
                <w:sz w:val="24"/>
              </w:rPr>
            </w:pPr>
            <w:r>
              <w:rPr>
                <w:b/>
                <w:bCs/>
                <w:sz w:val="24"/>
              </w:rPr>
              <w:t>25.32%</w:t>
            </w:r>
          </w:p>
        </w:tc>
        <w:tc>
          <w:tcPr>
            <w:tcW w:w="1250" w:type="pct"/>
            <w:shd w:val="clear" w:color="auto" w:fill="auto"/>
            <w:noWrap/>
            <w:vAlign w:val="center"/>
          </w:tcPr>
          <w:p w14:paraId="233BB954" w14:textId="77777777" w:rsidR="00FC5A62" w:rsidRDefault="00C76273">
            <w:pPr>
              <w:widowControl/>
              <w:jc w:val="right"/>
              <w:rPr>
                <w:b/>
                <w:bCs/>
                <w:sz w:val="24"/>
              </w:rPr>
            </w:pPr>
            <w:r>
              <w:rPr>
                <w:b/>
                <w:bCs/>
                <w:sz w:val="24"/>
              </w:rPr>
              <w:t>24.76%</w:t>
            </w:r>
          </w:p>
        </w:tc>
      </w:tr>
    </w:tbl>
    <w:p w14:paraId="7CCE66A6" w14:textId="77777777" w:rsidR="00FC5A62" w:rsidRDefault="00C76273">
      <w:pPr>
        <w:pStyle w:val="af3"/>
      </w:pPr>
      <w:r>
        <w:rPr>
          <w:rFonts w:hint="eastAsia"/>
        </w:rPr>
        <w:t>注：以上财务数据未经审计</w:t>
      </w:r>
    </w:p>
    <w:p w14:paraId="1544EB37" w14:textId="77777777" w:rsidR="00FC5A62" w:rsidRDefault="00C76273" w:rsidP="007F7B12">
      <w:pPr>
        <w:spacing w:beforeLines="50" w:before="156" w:afterLines="50" w:after="156" w:line="360" w:lineRule="auto"/>
        <w:ind w:firstLineChars="200" w:firstLine="480"/>
        <w:rPr>
          <w:sz w:val="24"/>
        </w:rPr>
      </w:pPr>
      <w:r>
        <w:rPr>
          <w:rFonts w:hint="eastAsia"/>
          <w:sz w:val="24"/>
        </w:rPr>
        <w:t>2</w:t>
      </w:r>
      <w:r>
        <w:rPr>
          <w:sz w:val="24"/>
        </w:rPr>
        <w:t>021</w:t>
      </w:r>
      <w:r>
        <w:rPr>
          <w:rFonts w:hint="eastAsia"/>
          <w:sz w:val="24"/>
        </w:rPr>
        <w:t>年末、</w:t>
      </w:r>
      <w:r>
        <w:rPr>
          <w:rFonts w:hint="eastAsia"/>
          <w:sz w:val="24"/>
        </w:rPr>
        <w:t>2</w:t>
      </w:r>
      <w:r>
        <w:rPr>
          <w:sz w:val="24"/>
        </w:rPr>
        <w:t>022</w:t>
      </w:r>
      <w:r>
        <w:rPr>
          <w:rFonts w:hint="eastAsia"/>
          <w:sz w:val="24"/>
        </w:rPr>
        <w:t>年末及</w:t>
      </w:r>
      <w:r>
        <w:rPr>
          <w:rFonts w:hint="eastAsia"/>
          <w:sz w:val="24"/>
        </w:rPr>
        <w:t>2</w:t>
      </w:r>
      <w:r>
        <w:rPr>
          <w:sz w:val="24"/>
        </w:rPr>
        <w:t>023</w:t>
      </w:r>
      <w:r>
        <w:rPr>
          <w:rFonts w:hint="eastAsia"/>
          <w:sz w:val="24"/>
        </w:rPr>
        <w:t>年一季度末标的公司合同负债占在手订单金额的比例分别为</w:t>
      </w:r>
      <w:r>
        <w:rPr>
          <w:sz w:val="24"/>
        </w:rPr>
        <w:t>24.76%</w:t>
      </w:r>
      <w:r>
        <w:rPr>
          <w:rFonts w:hint="eastAsia"/>
          <w:sz w:val="24"/>
        </w:rPr>
        <w:t>、</w:t>
      </w:r>
      <w:r>
        <w:rPr>
          <w:sz w:val="24"/>
        </w:rPr>
        <w:t>25.32%</w:t>
      </w:r>
      <w:r>
        <w:rPr>
          <w:rFonts w:hint="eastAsia"/>
          <w:sz w:val="24"/>
        </w:rPr>
        <w:t>和</w:t>
      </w:r>
      <w:r>
        <w:rPr>
          <w:sz w:val="24"/>
        </w:rPr>
        <w:t>18.85%</w:t>
      </w:r>
      <w:r>
        <w:rPr>
          <w:rFonts w:hint="eastAsia"/>
          <w:sz w:val="24"/>
        </w:rPr>
        <w:t>，整体较为平稳，且与公司整体的合同预收政策相吻合。</w:t>
      </w:r>
    </w:p>
    <w:p w14:paraId="100048AB" w14:textId="77777777" w:rsidR="00FC5A62" w:rsidRDefault="00C76273" w:rsidP="007F7B12">
      <w:pPr>
        <w:spacing w:beforeLines="50" w:before="156" w:afterLines="50" w:after="156" w:line="360" w:lineRule="auto"/>
        <w:ind w:firstLineChars="200" w:firstLine="480"/>
        <w:rPr>
          <w:sz w:val="24"/>
        </w:rPr>
      </w:pPr>
      <w:r>
        <w:rPr>
          <w:rFonts w:hint="eastAsia"/>
          <w:sz w:val="24"/>
        </w:rPr>
        <w:t>综上所述，标的公司资产负债率较高主要受到行业惯例、经营模式及标的公司实际发展阶段的影响，与标的公司实际经营情况相吻合。且标的公司负债主要由预收合同</w:t>
      </w:r>
      <w:proofErr w:type="gramStart"/>
      <w:r>
        <w:rPr>
          <w:rFonts w:hint="eastAsia"/>
          <w:sz w:val="24"/>
        </w:rPr>
        <w:t>款形成</w:t>
      </w:r>
      <w:proofErr w:type="gramEnd"/>
      <w:r>
        <w:rPr>
          <w:rFonts w:hint="eastAsia"/>
          <w:sz w:val="24"/>
        </w:rPr>
        <w:t>的合同负债构成，后续订单完成</w:t>
      </w:r>
      <w:proofErr w:type="gramStart"/>
      <w:r>
        <w:rPr>
          <w:rFonts w:hint="eastAsia"/>
          <w:sz w:val="24"/>
        </w:rPr>
        <w:t>后相应</w:t>
      </w:r>
      <w:proofErr w:type="gramEnd"/>
      <w:r>
        <w:rPr>
          <w:rFonts w:hint="eastAsia"/>
          <w:sz w:val="24"/>
        </w:rPr>
        <w:t>合同负债将陆续转化为标的公司收入，标的公司偿债压力相对较小。</w:t>
      </w:r>
    </w:p>
    <w:p w14:paraId="75F0779F" w14:textId="77777777" w:rsidR="00FC5A62" w:rsidRDefault="00C76273" w:rsidP="007F7B12">
      <w:pPr>
        <w:spacing w:beforeLines="50" w:before="156" w:afterLines="50" w:after="156" w:line="360" w:lineRule="auto"/>
        <w:ind w:firstLineChars="200" w:firstLine="482"/>
        <w:outlineLvl w:val="2"/>
        <w:rPr>
          <w:b/>
          <w:bCs/>
          <w:sz w:val="24"/>
        </w:rPr>
      </w:pPr>
      <w:r>
        <w:rPr>
          <w:b/>
          <w:bCs/>
          <w:color w:val="000000"/>
          <w:sz w:val="24"/>
        </w:rPr>
        <w:t>二、</w:t>
      </w:r>
      <w:r>
        <w:rPr>
          <w:b/>
          <w:bCs/>
          <w:sz w:val="24"/>
        </w:rPr>
        <w:t>结合问题（</w:t>
      </w:r>
      <w:r>
        <w:rPr>
          <w:b/>
          <w:bCs/>
          <w:sz w:val="24"/>
        </w:rPr>
        <w:t>1</w:t>
      </w:r>
      <w:r>
        <w:rPr>
          <w:b/>
          <w:bCs/>
          <w:sz w:val="24"/>
        </w:rPr>
        <w:t>），说明本次交易对公司财务稳定性的影响，是否可能影响公司正常经营，说明公司拟采取的应对措施，并充分提示风险</w:t>
      </w:r>
    </w:p>
    <w:p w14:paraId="252A151C" w14:textId="77777777" w:rsidR="00FC5A62" w:rsidRDefault="00C76273" w:rsidP="007F7B12">
      <w:pPr>
        <w:spacing w:beforeLines="50" w:before="156" w:afterLines="50" w:after="156" w:line="360" w:lineRule="auto"/>
        <w:ind w:firstLineChars="200" w:firstLine="482"/>
        <w:outlineLvl w:val="3"/>
        <w:rPr>
          <w:b/>
          <w:bCs/>
          <w:sz w:val="24"/>
        </w:rPr>
      </w:pPr>
      <w:r>
        <w:rPr>
          <w:rFonts w:hint="eastAsia"/>
          <w:b/>
          <w:bCs/>
          <w:sz w:val="24"/>
        </w:rPr>
        <w:t>（一）本次交易对公司财务稳定性的影响</w:t>
      </w:r>
    </w:p>
    <w:p w14:paraId="5A78A0DF" w14:textId="77777777" w:rsidR="00FC5A62" w:rsidRDefault="00C76273" w:rsidP="007F7B12">
      <w:pPr>
        <w:spacing w:beforeLines="50" w:before="156" w:afterLines="50" w:after="156" w:line="360" w:lineRule="auto"/>
        <w:ind w:firstLineChars="200" w:firstLine="482"/>
        <w:outlineLvl w:val="4"/>
        <w:rPr>
          <w:b/>
          <w:bCs/>
          <w:sz w:val="24"/>
        </w:rPr>
      </w:pPr>
      <w:r>
        <w:rPr>
          <w:b/>
          <w:bCs/>
          <w:sz w:val="24"/>
        </w:rPr>
        <w:t>1</w:t>
      </w:r>
      <w:r>
        <w:rPr>
          <w:rFonts w:hint="eastAsia"/>
          <w:b/>
          <w:bCs/>
          <w:sz w:val="24"/>
        </w:rPr>
        <w:t>、标的公司资产负债结构合理</w:t>
      </w:r>
    </w:p>
    <w:p w14:paraId="60C072B6" w14:textId="77777777" w:rsidR="00FC5A62" w:rsidRDefault="00C76273" w:rsidP="007F7B12">
      <w:pPr>
        <w:spacing w:beforeLines="50" w:before="156" w:afterLines="50" w:after="156" w:line="360" w:lineRule="auto"/>
        <w:ind w:firstLineChars="200" w:firstLine="480"/>
        <w:rPr>
          <w:color w:val="000000"/>
          <w:sz w:val="24"/>
        </w:rPr>
      </w:pPr>
      <w:r>
        <w:rPr>
          <w:rFonts w:hint="eastAsia"/>
          <w:color w:val="000000"/>
          <w:sz w:val="24"/>
        </w:rPr>
        <w:t>标的公司资产构成中以流动资产为主，</w:t>
      </w:r>
      <w:r>
        <w:rPr>
          <w:rFonts w:hint="eastAsia"/>
          <w:color w:val="000000"/>
          <w:sz w:val="24"/>
        </w:rPr>
        <w:t>2021</w:t>
      </w:r>
      <w:r>
        <w:rPr>
          <w:rFonts w:hint="eastAsia"/>
          <w:color w:val="000000"/>
          <w:sz w:val="24"/>
        </w:rPr>
        <w:t>年末、</w:t>
      </w:r>
      <w:r>
        <w:rPr>
          <w:rFonts w:hint="eastAsia"/>
          <w:color w:val="000000"/>
          <w:sz w:val="24"/>
        </w:rPr>
        <w:t>2022</w:t>
      </w:r>
      <w:r>
        <w:rPr>
          <w:rFonts w:hint="eastAsia"/>
          <w:color w:val="000000"/>
          <w:sz w:val="24"/>
        </w:rPr>
        <w:t>年末及</w:t>
      </w:r>
      <w:r>
        <w:rPr>
          <w:rFonts w:hint="eastAsia"/>
          <w:color w:val="000000"/>
          <w:sz w:val="24"/>
        </w:rPr>
        <w:t>2023</w:t>
      </w:r>
      <w:r>
        <w:rPr>
          <w:rFonts w:hint="eastAsia"/>
          <w:color w:val="000000"/>
          <w:sz w:val="24"/>
        </w:rPr>
        <w:t>年一季</w:t>
      </w:r>
      <w:r>
        <w:rPr>
          <w:rFonts w:hint="eastAsia"/>
          <w:color w:val="000000"/>
          <w:sz w:val="24"/>
        </w:rPr>
        <w:lastRenderedPageBreak/>
        <w:t>度末流动资产占资产总额的比例分别约为</w:t>
      </w:r>
      <w:r>
        <w:rPr>
          <w:color w:val="000000"/>
          <w:sz w:val="24"/>
        </w:rPr>
        <w:t>79%</w:t>
      </w:r>
      <w:r>
        <w:rPr>
          <w:rFonts w:hint="eastAsia"/>
          <w:color w:val="000000"/>
          <w:sz w:val="24"/>
        </w:rPr>
        <w:t>、</w:t>
      </w:r>
      <w:r>
        <w:rPr>
          <w:rFonts w:hint="eastAsia"/>
          <w:color w:val="000000"/>
          <w:sz w:val="24"/>
        </w:rPr>
        <w:t>8</w:t>
      </w:r>
      <w:r>
        <w:rPr>
          <w:color w:val="000000"/>
          <w:sz w:val="24"/>
        </w:rPr>
        <w:t>5%</w:t>
      </w:r>
      <w:r>
        <w:rPr>
          <w:rFonts w:hint="eastAsia"/>
          <w:color w:val="000000"/>
          <w:sz w:val="24"/>
        </w:rPr>
        <w:t>及</w:t>
      </w:r>
      <w:r>
        <w:rPr>
          <w:rFonts w:hint="eastAsia"/>
          <w:color w:val="000000"/>
          <w:sz w:val="24"/>
        </w:rPr>
        <w:t>8</w:t>
      </w:r>
      <w:r>
        <w:rPr>
          <w:color w:val="000000"/>
          <w:sz w:val="24"/>
        </w:rPr>
        <w:t>4%</w:t>
      </w:r>
      <w:r>
        <w:rPr>
          <w:rFonts w:hint="eastAsia"/>
          <w:color w:val="000000"/>
          <w:sz w:val="24"/>
        </w:rPr>
        <w:t>，该等资产可变现性及流动性较强，在较大程度上保障了标的资产的偿债能力。标的公司有息负债占比较低，负债主要由预收合同</w:t>
      </w:r>
      <w:proofErr w:type="gramStart"/>
      <w:r>
        <w:rPr>
          <w:rFonts w:hint="eastAsia"/>
          <w:color w:val="000000"/>
          <w:sz w:val="24"/>
        </w:rPr>
        <w:t>款形成</w:t>
      </w:r>
      <w:proofErr w:type="gramEnd"/>
      <w:r>
        <w:rPr>
          <w:rFonts w:hint="eastAsia"/>
          <w:color w:val="000000"/>
          <w:sz w:val="24"/>
        </w:rPr>
        <w:t>的合同负债构成，后续订单完成</w:t>
      </w:r>
      <w:proofErr w:type="gramStart"/>
      <w:r>
        <w:rPr>
          <w:rFonts w:hint="eastAsia"/>
          <w:color w:val="000000"/>
          <w:sz w:val="24"/>
        </w:rPr>
        <w:t>后相应</w:t>
      </w:r>
      <w:proofErr w:type="gramEnd"/>
      <w:r>
        <w:rPr>
          <w:rFonts w:hint="eastAsia"/>
          <w:color w:val="000000"/>
          <w:sz w:val="24"/>
        </w:rPr>
        <w:t>合同负债将陆续转化为公司收入，偿债压力相对较小。</w:t>
      </w:r>
    </w:p>
    <w:p w14:paraId="51FD98F1" w14:textId="77777777" w:rsidR="00FC5A62" w:rsidRDefault="00C76273" w:rsidP="007F7B12">
      <w:pPr>
        <w:spacing w:beforeLines="50" w:before="156" w:afterLines="50" w:after="156" w:line="360" w:lineRule="auto"/>
        <w:ind w:firstLineChars="200" w:firstLine="480"/>
        <w:rPr>
          <w:color w:val="000000"/>
          <w:sz w:val="24"/>
        </w:rPr>
      </w:pPr>
      <w:r>
        <w:rPr>
          <w:rFonts w:hint="eastAsia"/>
          <w:color w:val="000000"/>
          <w:sz w:val="24"/>
        </w:rPr>
        <w:t>因此，标的公司资产负债率较高具备合理性，且其资产流动性较好，具备较强的偿债能力，整体偿债风险较低。</w:t>
      </w:r>
    </w:p>
    <w:p w14:paraId="08E133D0" w14:textId="77777777" w:rsidR="00FC5A62" w:rsidRDefault="00C76273" w:rsidP="007F7B12">
      <w:pPr>
        <w:spacing w:beforeLines="50" w:before="156" w:afterLines="50" w:after="156" w:line="360" w:lineRule="auto"/>
        <w:ind w:firstLineChars="200" w:firstLine="482"/>
        <w:outlineLvl w:val="4"/>
        <w:rPr>
          <w:b/>
          <w:bCs/>
          <w:sz w:val="24"/>
        </w:rPr>
      </w:pPr>
      <w:r>
        <w:rPr>
          <w:b/>
          <w:bCs/>
          <w:sz w:val="24"/>
        </w:rPr>
        <w:t>2</w:t>
      </w:r>
      <w:r>
        <w:rPr>
          <w:rFonts w:hint="eastAsia"/>
          <w:b/>
          <w:bCs/>
          <w:sz w:val="24"/>
        </w:rPr>
        <w:t>、上市公司主营业务、营运资金及现金流情况</w:t>
      </w:r>
    </w:p>
    <w:p w14:paraId="428D795F" w14:textId="77777777" w:rsidR="00FC5A62" w:rsidRDefault="00C76273" w:rsidP="007F7B12">
      <w:pPr>
        <w:spacing w:beforeLines="50" w:before="156" w:afterLines="50" w:after="156" w:line="360" w:lineRule="auto"/>
        <w:ind w:firstLineChars="200" w:firstLine="480"/>
        <w:rPr>
          <w:color w:val="000000"/>
          <w:sz w:val="24"/>
        </w:rPr>
      </w:pPr>
      <w:r>
        <w:rPr>
          <w:rFonts w:hint="eastAsia"/>
          <w:color w:val="000000"/>
          <w:sz w:val="24"/>
        </w:rPr>
        <w:t>上市公司主营业务、营运资金及现金流情况如下：</w:t>
      </w:r>
    </w:p>
    <w:p w14:paraId="4875FDF0" w14:textId="77777777" w:rsidR="00FC5A62" w:rsidRDefault="00C76273">
      <w:pPr>
        <w:ind w:left="360" w:right="210"/>
        <w:jc w:val="right"/>
      </w:pPr>
      <w:r>
        <w:rPr>
          <w:rFonts w:hint="eastAsia"/>
        </w:rPr>
        <w:t>单位：万元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37"/>
        <w:gridCol w:w="2127"/>
        <w:gridCol w:w="2125"/>
        <w:gridCol w:w="2033"/>
      </w:tblGrid>
      <w:tr w:rsidR="00FC5A62" w14:paraId="00A16745" w14:textId="77777777">
        <w:trPr>
          <w:cantSplit/>
          <w:trHeight w:val="397"/>
          <w:tblHeader/>
        </w:trPr>
        <w:tc>
          <w:tcPr>
            <w:tcW w:w="1312" w:type="pct"/>
            <w:shd w:val="clear" w:color="auto" w:fill="FFFFFF"/>
            <w:vAlign w:val="center"/>
          </w:tcPr>
          <w:p w14:paraId="719BC484" w14:textId="77777777" w:rsidR="00FC5A62" w:rsidRDefault="00C76273">
            <w:pPr>
              <w:jc w:val="center"/>
              <w:rPr>
                <w:b/>
                <w:color w:val="000000"/>
                <w:szCs w:val="21"/>
              </w:rPr>
            </w:pPr>
            <w:r>
              <w:rPr>
                <w:rFonts w:hint="eastAsia"/>
                <w:b/>
                <w:color w:val="000000"/>
                <w:szCs w:val="21"/>
              </w:rPr>
              <w:t>项目</w:t>
            </w:r>
          </w:p>
        </w:tc>
        <w:tc>
          <w:tcPr>
            <w:tcW w:w="1248" w:type="pct"/>
            <w:shd w:val="clear" w:color="auto" w:fill="FFFFFF"/>
            <w:vAlign w:val="center"/>
          </w:tcPr>
          <w:p w14:paraId="7FCEDE1B" w14:textId="77777777" w:rsidR="00FC5A62" w:rsidRDefault="00C76273">
            <w:pPr>
              <w:jc w:val="center"/>
              <w:rPr>
                <w:b/>
                <w:color w:val="000000"/>
              </w:rPr>
            </w:pPr>
            <w:r>
              <w:rPr>
                <w:rFonts w:hint="eastAsia"/>
                <w:b/>
                <w:color w:val="000000"/>
                <w:szCs w:val="21"/>
              </w:rPr>
              <w:t>20</w:t>
            </w:r>
            <w:r>
              <w:rPr>
                <w:b/>
                <w:color w:val="000000"/>
                <w:szCs w:val="21"/>
              </w:rPr>
              <w:t>23</w:t>
            </w:r>
            <w:r>
              <w:rPr>
                <w:rFonts w:hint="eastAsia"/>
                <w:b/>
                <w:color w:val="000000"/>
                <w:szCs w:val="21"/>
              </w:rPr>
              <w:t>年</w:t>
            </w:r>
            <w:r>
              <w:rPr>
                <w:rFonts w:hint="eastAsia"/>
                <w:b/>
                <w:color w:val="000000"/>
                <w:szCs w:val="21"/>
              </w:rPr>
              <w:t>1-</w:t>
            </w:r>
            <w:r>
              <w:rPr>
                <w:b/>
                <w:color w:val="000000"/>
                <w:szCs w:val="21"/>
              </w:rPr>
              <w:t>6</w:t>
            </w:r>
            <w:r>
              <w:rPr>
                <w:rFonts w:hint="eastAsia"/>
                <w:b/>
                <w:color w:val="000000"/>
                <w:szCs w:val="21"/>
              </w:rPr>
              <w:t>月</w:t>
            </w:r>
            <w:r>
              <w:rPr>
                <w:rFonts w:hint="eastAsia"/>
                <w:b/>
                <w:color w:val="000000"/>
                <w:szCs w:val="21"/>
              </w:rPr>
              <w:t>/</w:t>
            </w:r>
          </w:p>
          <w:p w14:paraId="3E2BB037" w14:textId="77777777" w:rsidR="00FC5A62" w:rsidRDefault="00C76273">
            <w:pPr>
              <w:jc w:val="center"/>
              <w:rPr>
                <w:b/>
                <w:color w:val="000000"/>
                <w:szCs w:val="21"/>
              </w:rPr>
            </w:pPr>
            <w:r>
              <w:rPr>
                <w:b/>
                <w:color w:val="000000"/>
                <w:szCs w:val="21"/>
              </w:rPr>
              <w:t>2023</w:t>
            </w:r>
            <w:r>
              <w:rPr>
                <w:rFonts w:hint="eastAsia"/>
                <w:b/>
                <w:color w:val="000000"/>
                <w:szCs w:val="21"/>
              </w:rPr>
              <w:t>年</w:t>
            </w:r>
            <w:r>
              <w:rPr>
                <w:b/>
                <w:color w:val="000000"/>
                <w:szCs w:val="21"/>
              </w:rPr>
              <w:t>6</w:t>
            </w:r>
            <w:r>
              <w:rPr>
                <w:rFonts w:hint="eastAsia"/>
                <w:b/>
                <w:color w:val="000000"/>
                <w:szCs w:val="21"/>
              </w:rPr>
              <w:t>月</w:t>
            </w:r>
            <w:r>
              <w:rPr>
                <w:rFonts w:hint="eastAsia"/>
                <w:b/>
                <w:color w:val="000000"/>
                <w:szCs w:val="21"/>
              </w:rPr>
              <w:t>30</w:t>
            </w:r>
            <w:r>
              <w:rPr>
                <w:rFonts w:hint="eastAsia"/>
                <w:b/>
                <w:color w:val="000000"/>
                <w:szCs w:val="21"/>
              </w:rPr>
              <w:t>日</w:t>
            </w:r>
          </w:p>
        </w:tc>
        <w:tc>
          <w:tcPr>
            <w:tcW w:w="1247" w:type="pct"/>
            <w:shd w:val="clear" w:color="auto" w:fill="FFFFFF"/>
            <w:vAlign w:val="center"/>
          </w:tcPr>
          <w:p w14:paraId="2D13F1F1" w14:textId="77777777" w:rsidR="00FC5A62" w:rsidRDefault="00C76273">
            <w:pPr>
              <w:jc w:val="center"/>
              <w:rPr>
                <w:b/>
                <w:color w:val="000000"/>
              </w:rPr>
            </w:pPr>
            <w:r>
              <w:rPr>
                <w:rFonts w:hint="eastAsia"/>
                <w:b/>
                <w:color w:val="000000"/>
                <w:szCs w:val="21"/>
              </w:rPr>
              <w:t>20</w:t>
            </w:r>
            <w:r>
              <w:rPr>
                <w:b/>
                <w:color w:val="000000"/>
                <w:szCs w:val="21"/>
              </w:rPr>
              <w:t>22</w:t>
            </w:r>
            <w:r>
              <w:rPr>
                <w:rFonts w:hint="eastAsia"/>
                <w:b/>
                <w:color w:val="000000"/>
                <w:szCs w:val="21"/>
              </w:rPr>
              <w:t>年度</w:t>
            </w:r>
            <w:r>
              <w:rPr>
                <w:rFonts w:hint="eastAsia"/>
                <w:b/>
                <w:color w:val="000000"/>
                <w:szCs w:val="21"/>
              </w:rPr>
              <w:t>/</w:t>
            </w:r>
          </w:p>
          <w:p w14:paraId="71357AB9" w14:textId="77777777" w:rsidR="00FC5A62" w:rsidRDefault="00C76273">
            <w:pPr>
              <w:jc w:val="center"/>
              <w:rPr>
                <w:b/>
                <w:color w:val="000000"/>
                <w:szCs w:val="21"/>
              </w:rPr>
            </w:pPr>
            <w:r>
              <w:rPr>
                <w:b/>
                <w:color w:val="000000"/>
                <w:szCs w:val="21"/>
              </w:rPr>
              <w:t>2022</w:t>
            </w:r>
            <w:r>
              <w:rPr>
                <w:rFonts w:hint="eastAsia"/>
                <w:b/>
                <w:color w:val="000000"/>
                <w:szCs w:val="21"/>
              </w:rPr>
              <w:t>年</w:t>
            </w:r>
            <w:r>
              <w:rPr>
                <w:rFonts w:hint="eastAsia"/>
                <w:b/>
                <w:color w:val="000000"/>
                <w:szCs w:val="21"/>
              </w:rPr>
              <w:t>12</w:t>
            </w:r>
            <w:r>
              <w:rPr>
                <w:rFonts w:hint="eastAsia"/>
                <w:b/>
                <w:color w:val="000000"/>
                <w:szCs w:val="21"/>
              </w:rPr>
              <w:t>月</w:t>
            </w:r>
            <w:r>
              <w:rPr>
                <w:rFonts w:hint="eastAsia"/>
                <w:b/>
                <w:color w:val="000000"/>
                <w:szCs w:val="21"/>
              </w:rPr>
              <w:t>31</w:t>
            </w:r>
            <w:r>
              <w:rPr>
                <w:rFonts w:hint="eastAsia"/>
                <w:b/>
                <w:color w:val="000000"/>
                <w:szCs w:val="21"/>
              </w:rPr>
              <w:t>日</w:t>
            </w:r>
          </w:p>
        </w:tc>
        <w:tc>
          <w:tcPr>
            <w:tcW w:w="1193" w:type="pct"/>
            <w:shd w:val="clear" w:color="auto" w:fill="FFFFFF"/>
            <w:vAlign w:val="center"/>
          </w:tcPr>
          <w:p w14:paraId="2BB1F2AF" w14:textId="77777777" w:rsidR="00FC5A62" w:rsidRDefault="00C76273">
            <w:pPr>
              <w:jc w:val="center"/>
              <w:rPr>
                <w:b/>
                <w:color w:val="000000"/>
              </w:rPr>
            </w:pPr>
            <w:r>
              <w:rPr>
                <w:rFonts w:hint="eastAsia"/>
                <w:b/>
                <w:color w:val="000000"/>
                <w:szCs w:val="21"/>
              </w:rPr>
              <w:t>20</w:t>
            </w:r>
            <w:r>
              <w:rPr>
                <w:b/>
                <w:color w:val="000000"/>
                <w:szCs w:val="21"/>
              </w:rPr>
              <w:t>21</w:t>
            </w:r>
            <w:r>
              <w:rPr>
                <w:rFonts w:hint="eastAsia"/>
                <w:b/>
                <w:color w:val="000000"/>
                <w:szCs w:val="21"/>
              </w:rPr>
              <w:t>年度</w:t>
            </w:r>
            <w:r>
              <w:rPr>
                <w:rFonts w:hint="eastAsia"/>
                <w:b/>
                <w:color w:val="000000"/>
                <w:szCs w:val="21"/>
              </w:rPr>
              <w:t>/</w:t>
            </w:r>
          </w:p>
          <w:p w14:paraId="64B7F791" w14:textId="77777777" w:rsidR="00FC5A62" w:rsidRDefault="00C76273">
            <w:pPr>
              <w:jc w:val="center"/>
              <w:rPr>
                <w:b/>
                <w:color w:val="000000"/>
                <w:szCs w:val="21"/>
              </w:rPr>
            </w:pPr>
            <w:r>
              <w:rPr>
                <w:b/>
                <w:color w:val="000000"/>
                <w:szCs w:val="21"/>
              </w:rPr>
              <w:t>2021</w:t>
            </w:r>
            <w:r>
              <w:rPr>
                <w:rFonts w:hint="eastAsia"/>
                <w:b/>
                <w:color w:val="000000"/>
                <w:szCs w:val="21"/>
              </w:rPr>
              <w:t>年</w:t>
            </w:r>
            <w:r>
              <w:rPr>
                <w:rFonts w:hint="eastAsia"/>
                <w:b/>
                <w:color w:val="000000"/>
                <w:szCs w:val="21"/>
              </w:rPr>
              <w:t>12</w:t>
            </w:r>
            <w:r>
              <w:rPr>
                <w:rFonts w:hint="eastAsia"/>
                <w:b/>
                <w:color w:val="000000"/>
                <w:szCs w:val="21"/>
              </w:rPr>
              <w:t>月</w:t>
            </w:r>
            <w:r>
              <w:rPr>
                <w:rFonts w:hint="eastAsia"/>
                <w:b/>
                <w:color w:val="000000"/>
                <w:szCs w:val="21"/>
              </w:rPr>
              <w:t>31</w:t>
            </w:r>
            <w:r>
              <w:rPr>
                <w:rFonts w:hint="eastAsia"/>
                <w:b/>
                <w:color w:val="000000"/>
                <w:szCs w:val="21"/>
              </w:rPr>
              <w:t>日</w:t>
            </w:r>
          </w:p>
        </w:tc>
      </w:tr>
      <w:tr w:rsidR="00FC5A62" w14:paraId="0785A4D3" w14:textId="77777777">
        <w:trPr>
          <w:cantSplit/>
          <w:trHeight w:val="397"/>
        </w:trPr>
        <w:tc>
          <w:tcPr>
            <w:tcW w:w="1312" w:type="pct"/>
            <w:shd w:val="clear" w:color="auto" w:fill="FFFFFF"/>
            <w:vAlign w:val="center"/>
          </w:tcPr>
          <w:p w14:paraId="4B0383A1" w14:textId="77777777" w:rsidR="00FC5A62" w:rsidRDefault="00C76273">
            <w:pPr>
              <w:jc w:val="left"/>
              <w:rPr>
                <w:color w:val="000000"/>
                <w:szCs w:val="21"/>
              </w:rPr>
            </w:pPr>
            <w:r>
              <w:rPr>
                <w:rFonts w:hint="eastAsia"/>
                <w:color w:val="000000"/>
                <w:szCs w:val="21"/>
              </w:rPr>
              <w:t>营业收入</w:t>
            </w:r>
          </w:p>
        </w:tc>
        <w:tc>
          <w:tcPr>
            <w:tcW w:w="1248" w:type="pct"/>
            <w:shd w:val="clear" w:color="auto" w:fill="FFFFFF"/>
            <w:vAlign w:val="center"/>
          </w:tcPr>
          <w:p w14:paraId="60DD8EDB" w14:textId="77777777" w:rsidR="00FC5A62" w:rsidRDefault="00C76273">
            <w:pPr>
              <w:jc w:val="right"/>
              <w:rPr>
                <w:color w:val="000000"/>
                <w:szCs w:val="21"/>
              </w:rPr>
            </w:pPr>
            <w:r>
              <w:rPr>
                <w:color w:val="000000"/>
                <w:szCs w:val="21"/>
              </w:rPr>
              <w:t>222,292.95</w:t>
            </w:r>
          </w:p>
        </w:tc>
        <w:tc>
          <w:tcPr>
            <w:tcW w:w="1247" w:type="pct"/>
            <w:shd w:val="clear" w:color="auto" w:fill="FFFFFF"/>
            <w:vAlign w:val="center"/>
          </w:tcPr>
          <w:p w14:paraId="2EBE44EC" w14:textId="77777777" w:rsidR="00FC5A62" w:rsidRDefault="00C76273">
            <w:pPr>
              <w:jc w:val="right"/>
              <w:rPr>
                <w:color w:val="000000"/>
                <w:szCs w:val="21"/>
              </w:rPr>
            </w:pPr>
            <w:r>
              <w:rPr>
                <w:color w:val="000000"/>
                <w:szCs w:val="21"/>
              </w:rPr>
              <w:t>649,914.10</w:t>
            </w:r>
          </w:p>
        </w:tc>
        <w:tc>
          <w:tcPr>
            <w:tcW w:w="1193" w:type="pct"/>
            <w:shd w:val="clear" w:color="auto" w:fill="FFFFFF"/>
            <w:vAlign w:val="center"/>
          </w:tcPr>
          <w:p w14:paraId="5466D1A6" w14:textId="77777777" w:rsidR="00FC5A62" w:rsidRDefault="00C76273">
            <w:pPr>
              <w:jc w:val="right"/>
              <w:rPr>
                <w:color w:val="000000"/>
                <w:szCs w:val="21"/>
              </w:rPr>
            </w:pPr>
            <w:r>
              <w:rPr>
                <w:color w:val="000000"/>
                <w:szCs w:val="21"/>
              </w:rPr>
              <w:t>512,732.32</w:t>
            </w:r>
          </w:p>
        </w:tc>
      </w:tr>
      <w:tr w:rsidR="00FC5A62" w14:paraId="369DA41B" w14:textId="77777777">
        <w:trPr>
          <w:cantSplit/>
          <w:trHeight w:val="397"/>
        </w:trPr>
        <w:tc>
          <w:tcPr>
            <w:tcW w:w="1312" w:type="pct"/>
            <w:shd w:val="clear" w:color="auto" w:fill="FFFFFF"/>
            <w:vAlign w:val="center"/>
          </w:tcPr>
          <w:p w14:paraId="2D10EC20" w14:textId="77777777" w:rsidR="00FC5A62" w:rsidRDefault="00C76273">
            <w:pPr>
              <w:jc w:val="left"/>
              <w:rPr>
                <w:color w:val="000000"/>
                <w:szCs w:val="21"/>
              </w:rPr>
            </w:pPr>
            <w:r>
              <w:rPr>
                <w:rFonts w:hint="eastAsia"/>
                <w:color w:val="000000"/>
                <w:szCs w:val="21"/>
              </w:rPr>
              <w:t>净利润</w:t>
            </w:r>
          </w:p>
        </w:tc>
        <w:tc>
          <w:tcPr>
            <w:tcW w:w="1248" w:type="pct"/>
            <w:shd w:val="clear" w:color="auto" w:fill="FFFFFF"/>
            <w:vAlign w:val="center"/>
          </w:tcPr>
          <w:p w14:paraId="7D3F4750" w14:textId="77777777" w:rsidR="00FC5A62" w:rsidRDefault="00C76273">
            <w:pPr>
              <w:jc w:val="right"/>
              <w:rPr>
                <w:color w:val="000000"/>
                <w:szCs w:val="21"/>
              </w:rPr>
            </w:pPr>
            <w:r>
              <w:rPr>
                <w:color w:val="000000"/>
                <w:szCs w:val="21"/>
              </w:rPr>
              <w:t>9,535.44</w:t>
            </w:r>
          </w:p>
        </w:tc>
        <w:tc>
          <w:tcPr>
            <w:tcW w:w="1247" w:type="pct"/>
            <w:shd w:val="clear" w:color="auto" w:fill="FFFFFF"/>
            <w:vAlign w:val="center"/>
          </w:tcPr>
          <w:p w14:paraId="7F9FB109" w14:textId="77777777" w:rsidR="00FC5A62" w:rsidRDefault="00C76273">
            <w:pPr>
              <w:jc w:val="right"/>
              <w:rPr>
                <w:color w:val="000000"/>
                <w:szCs w:val="21"/>
              </w:rPr>
            </w:pPr>
            <w:r>
              <w:rPr>
                <w:color w:val="000000"/>
                <w:szCs w:val="21"/>
              </w:rPr>
              <w:t>18,318.47</w:t>
            </w:r>
          </w:p>
        </w:tc>
        <w:tc>
          <w:tcPr>
            <w:tcW w:w="1193" w:type="pct"/>
            <w:shd w:val="clear" w:color="auto" w:fill="FFFFFF"/>
            <w:vAlign w:val="center"/>
          </w:tcPr>
          <w:p w14:paraId="2C57928B" w14:textId="77777777" w:rsidR="00FC5A62" w:rsidRDefault="00C76273">
            <w:pPr>
              <w:jc w:val="right"/>
              <w:rPr>
                <w:color w:val="000000"/>
                <w:szCs w:val="21"/>
              </w:rPr>
            </w:pPr>
            <w:r>
              <w:rPr>
                <w:color w:val="000000"/>
                <w:szCs w:val="21"/>
              </w:rPr>
              <w:t>15,044.53</w:t>
            </w:r>
          </w:p>
        </w:tc>
      </w:tr>
      <w:tr w:rsidR="00FC5A62" w14:paraId="055833E3" w14:textId="77777777">
        <w:trPr>
          <w:cantSplit/>
          <w:trHeight w:val="397"/>
        </w:trPr>
        <w:tc>
          <w:tcPr>
            <w:tcW w:w="1312" w:type="pct"/>
            <w:shd w:val="clear" w:color="auto" w:fill="FFFFFF"/>
            <w:vAlign w:val="center"/>
          </w:tcPr>
          <w:p w14:paraId="58AD6FD5" w14:textId="77777777" w:rsidR="00FC5A62" w:rsidRDefault="00C76273">
            <w:pPr>
              <w:jc w:val="left"/>
              <w:rPr>
                <w:color w:val="000000"/>
                <w:szCs w:val="21"/>
              </w:rPr>
            </w:pPr>
            <w:r>
              <w:rPr>
                <w:rFonts w:hint="eastAsia"/>
                <w:color w:val="000000"/>
                <w:szCs w:val="21"/>
              </w:rPr>
              <w:t>营运资金</w:t>
            </w:r>
          </w:p>
        </w:tc>
        <w:tc>
          <w:tcPr>
            <w:tcW w:w="1248" w:type="pct"/>
            <w:shd w:val="clear" w:color="auto" w:fill="FFFFFF"/>
            <w:vAlign w:val="center"/>
          </w:tcPr>
          <w:p w14:paraId="10A817EC" w14:textId="77777777" w:rsidR="00FC5A62" w:rsidRDefault="00C76273">
            <w:pPr>
              <w:jc w:val="right"/>
              <w:rPr>
                <w:color w:val="000000"/>
                <w:szCs w:val="21"/>
              </w:rPr>
            </w:pPr>
            <w:r>
              <w:t>98,738.14</w:t>
            </w:r>
          </w:p>
        </w:tc>
        <w:tc>
          <w:tcPr>
            <w:tcW w:w="1247" w:type="pct"/>
            <w:shd w:val="clear" w:color="auto" w:fill="FFFFFF"/>
            <w:vAlign w:val="center"/>
          </w:tcPr>
          <w:p w14:paraId="1BAA6E89" w14:textId="77777777" w:rsidR="00FC5A62" w:rsidRDefault="00C76273">
            <w:pPr>
              <w:jc w:val="right"/>
              <w:rPr>
                <w:color w:val="000000"/>
                <w:szCs w:val="21"/>
              </w:rPr>
            </w:pPr>
            <w:r>
              <w:t>90,008.28</w:t>
            </w:r>
          </w:p>
        </w:tc>
        <w:tc>
          <w:tcPr>
            <w:tcW w:w="1193" w:type="pct"/>
            <w:shd w:val="clear" w:color="auto" w:fill="FFFFFF"/>
            <w:vAlign w:val="center"/>
          </w:tcPr>
          <w:p w14:paraId="745F4147" w14:textId="77777777" w:rsidR="00FC5A62" w:rsidRDefault="00C76273">
            <w:pPr>
              <w:jc w:val="right"/>
              <w:rPr>
                <w:color w:val="000000"/>
                <w:szCs w:val="21"/>
              </w:rPr>
            </w:pPr>
            <w:r>
              <w:t>118,806.06</w:t>
            </w:r>
          </w:p>
        </w:tc>
      </w:tr>
      <w:tr w:rsidR="00FC5A62" w14:paraId="0E35A875" w14:textId="77777777">
        <w:trPr>
          <w:cantSplit/>
          <w:trHeight w:val="397"/>
        </w:trPr>
        <w:tc>
          <w:tcPr>
            <w:tcW w:w="1312" w:type="pct"/>
            <w:shd w:val="clear" w:color="auto" w:fill="FFFFFF"/>
            <w:vAlign w:val="center"/>
          </w:tcPr>
          <w:p w14:paraId="23CB3EF1" w14:textId="77777777" w:rsidR="00FC5A62" w:rsidRDefault="00C76273">
            <w:pPr>
              <w:jc w:val="left"/>
              <w:rPr>
                <w:color w:val="000000"/>
                <w:szCs w:val="21"/>
              </w:rPr>
            </w:pPr>
            <w:r>
              <w:rPr>
                <w:rFonts w:hint="eastAsia"/>
                <w:color w:val="000000"/>
                <w:szCs w:val="21"/>
              </w:rPr>
              <w:t>经营活动现金净流量</w:t>
            </w:r>
          </w:p>
        </w:tc>
        <w:tc>
          <w:tcPr>
            <w:tcW w:w="1248" w:type="pct"/>
            <w:shd w:val="clear" w:color="auto" w:fill="FFFFFF"/>
            <w:vAlign w:val="center"/>
          </w:tcPr>
          <w:p w14:paraId="473A7539" w14:textId="77777777" w:rsidR="00FC5A62" w:rsidRDefault="00C76273">
            <w:pPr>
              <w:jc w:val="right"/>
              <w:rPr>
                <w:color w:val="000000"/>
                <w:szCs w:val="21"/>
              </w:rPr>
            </w:pPr>
            <w:r>
              <w:rPr>
                <w:color w:val="000000"/>
                <w:szCs w:val="21"/>
              </w:rPr>
              <w:t>-32,660.80</w:t>
            </w:r>
          </w:p>
        </w:tc>
        <w:tc>
          <w:tcPr>
            <w:tcW w:w="1247" w:type="pct"/>
            <w:shd w:val="clear" w:color="auto" w:fill="FFFFFF"/>
            <w:vAlign w:val="center"/>
          </w:tcPr>
          <w:p w14:paraId="28AFE519" w14:textId="77777777" w:rsidR="00FC5A62" w:rsidRDefault="00C76273">
            <w:pPr>
              <w:jc w:val="right"/>
              <w:rPr>
                <w:color w:val="000000"/>
                <w:szCs w:val="21"/>
              </w:rPr>
            </w:pPr>
            <w:r>
              <w:rPr>
                <w:color w:val="000000"/>
                <w:szCs w:val="21"/>
              </w:rPr>
              <w:t>6,478.90</w:t>
            </w:r>
          </w:p>
        </w:tc>
        <w:tc>
          <w:tcPr>
            <w:tcW w:w="1193" w:type="pct"/>
            <w:shd w:val="clear" w:color="auto" w:fill="FFFFFF"/>
            <w:vAlign w:val="center"/>
          </w:tcPr>
          <w:p w14:paraId="7EF4BE4E" w14:textId="77777777" w:rsidR="00FC5A62" w:rsidRDefault="00C76273">
            <w:pPr>
              <w:jc w:val="right"/>
              <w:rPr>
                <w:color w:val="000000"/>
                <w:szCs w:val="21"/>
              </w:rPr>
            </w:pPr>
            <w:r>
              <w:rPr>
                <w:color w:val="000000"/>
                <w:szCs w:val="21"/>
              </w:rPr>
              <w:t>-25,389.53</w:t>
            </w:r>
          </w:p>
        </w:tc>
      </w:tr>
      <w:tr w:rsidR="00FC5A62" w14:paraId="6E76FFB8" w14:textId="77777777">
        <w:trPr>
          <w:cantSplit/>
          <w:trHeight w:val="397"/>
        </w:trPr>
        <w:tc>
          <w:tcPr>
            <w:tcW w:w="1312" w:type="pct"/>
            <w:shd w:val="clear" w:color="auto" w:fill="FFFFFF"/>
            <w:vAlign w:val="center"/>
          </w:tcPr>
          <w:p w14:paraId="3B8C3632" w14:textId="77777777" w:rsidR="00FC5A62" w:rsidRDefault="00C76273">
            <w:pPr>
              <w:jc w:val="left"/>
              <w:rPr>
                <w:color w:val="000000"/>
                <w:szCs w:val="21"/>
              </w:rPr>
            </w:pPr>
            <w:r>
              <w:rPr>
                <w:rFonts w:hint="eastAsia"/>
                <w:color w:val="000000"/>
                <w:szCs w:val="21"/>
              </w:rPr>
              <w:t>投资活动现金净流量</w:t>
            </w:r>
          </w:p>
        </w:tc>
        <w:tc>
          <w:tcPr>
            <w:tcW w:w="1248" w:type="pct"/>
            <w:shd w:val="clear" w:color="auto" w:fill="FFFFFF"/>
            <w:vAlign w:val="center"/>
          </w:tcPr>
          <w:p w14:paraId="0D07DDA8" w14:textId="77777777" w:rsidR="00FC5A62" w:rsidRDefault="00C76273">
            <w:pPr>
              <w:jc w:val="right"/>
              <w:rPr>
                <w:color w:val="000000"/>
                <w:szCs w:val="21"/>
              </w:rPr>
            </w:pPr>
            <w:r>
              <w:t>-6,114.54</w:t>
            </w:r>
          </w:p>
        </w:tc>
        <w:tc>
          <w:tcPr>
            <w:tcW w:w="1247" w:type="pct"/>
            <w:shd w:val="clear" w:color="auto" w:fill="FFFFFF"/>
            <w:vAlign w:val="center"/>
          </w:tcPr>
          <w:p w14:paraId="01CF2012" w14:textId="77777777" w:rsidR="00FC5A62" w:rsidRDefault="00C76273">
            <w:pPr>
              <w:jc w:val="right"/>
              <w:rPr>
                <w:color w:val="000000"/>
                <w:szCs w:val="21"/>
              </w:rPr>
            </w:pPr>
            <w:r>
              <w:t>1,550.05</w:t>
            </w:r>
          </w:p>
        </w:tc>
        <w:tc>
          <w:tcPr>
            <w:tcW w:w="1193" w:type="pct"/>
            <w:shd w:val="clear" w:color="auto" w:fill="FFFFFF"/>
            <w:vAlign w:val="center"/>
          </w:tcPr>
          <w:p w14:paraId="020E0233" w14:textId="77777777" w:rsidR="00FC5A62" w:rsidRDefault="00C76273">
            <w:pPr>
              <w:jc w:val="right"/>
              <w:rPr>
                <w:color w:val="000000"/>
                <w:szCs w:val="21"/>
              </w:rPr>
            </w:pPr>
            <w:r>
              <w:t>82.33</w:t>
            </w:r>
          </w:p>
        </w:tc>
      </w:tr>
      <w:tr w:rsidR="00FC5A62" w14:paraId="1C2CD0D2" w14:textId="77777777">
        <w:trPr>
          <w:cantSplit/>
          <w:trHeight w:val="397"/>
        </w:trPr>
        <w:tc>
          <w:tcPr>
            <w:tcW w:w="1312" w:type="pct"/>
            <w:shd w:val="clear" w:color="auto" w:fill="FFFFFF"/>
            <w:vAlign w:val="center"/>
          </w:tcPr>
          <w:p w14:paraId="663D3896" w14:textId="77777777" w:rsidR="00FC5A62" w:rsidRDefault="00C76273">
            <w:pPr>
              <w:jc w:val="left"/>
              <w:rPr>
                <w:color w:val="000000"/>
                <w:szCs w:val="21"/>
              </w:rPr>
            </w:pPr>
            <w:r>
              <w:rPr>
                <w:rFonts w:hint="eastAsia"/>
                <w:color w:val="000000"/>
                <w:szCs w:val="21"/>
              </w:rPr>
              <w:t>筹资活动现金净流量</w:t>
            </w:r>
          </w:p>
        </w:tc>
        <w:tc>
          <w:tcPr>
            <w:tcW w:w="1248" w:type="pct"/>
            <w:shd w:val="clear" w:color="auto" w:fill="FFFFFF"/>
            <w:vAlign w:val="center"/>
          </w:tcPr>
          <w:p w14:paraId="55B0C9B4" w14:textId="77777777" w:rsidR="00FC5A62" w:rsidRDefault="00C76273">
            <w:pPr>
              <w:jc w:val="right"/>
              <w:rPr>
                <w:color w:val="000000"/>
                <w:szCs w:val="21"/>
              </w:rPr>
            </w:pPr>
            <w:r>
              <w:t>34,293.41</w:t>
            </w:r>
          </w:p>
        </w:tc>
        <w:tc>
          <w:tcPr>
            <w:tcW w:w="1247" w:type="pct"/>
            <w:shd w:val="clear" w:color="auto" w:fill="FFFFFF"/>
            <w:vAlign w:val="center"/>
          </w:tcPr>
          <w:p w14:paraId="7A36D7DA" w14:textId="77777777" w:rsidR="00FC5A62" w:rsidRDefault="00C76273">
            <w:pPr>
              <w:jc w:val="right"/>
              <w:rPr>
                <w:color w:val="000000"/>
                <w:szCs w:val="21"/>
              </w:rPr>
            </w:pPr>
            <w:r>
              <w:t>7,524.37</w:t>
            </w:r>
          </w:p>
        </w:tc>
        <w:tc>
          <w:tcPr>
            <w:tcW w:w="1193" w:type="pct"/>
            <w:shd w:val="clear" w:color="auto" w:fill="FFFFFF"/>
            <w:vAlign w:val="center"/>
          </w:tcPr>
          <w:p w14:paraId="2503C1C1" w14:textId="77777777" w:rsidR="00FC5A62" w:rsidRDefault="00C76273">
            <w:pPr>
              <w:jc w:val="right"/>
              <w:rPr>
                <w:color w:val="000000"/>
                <w:szCs w:val="21"/>
              </w:rPr>
            </w:pPr>
            <w:r>
              <w:t>68,107.91</w:t>
            </w:r>
          </w:p>
        </w:tc>
      </w:tr>
    </w:tbl>
    <w:p w14:paraId="7E53DB9B" w14:textId="77777777" w:rsidR="00FC5A62" w:rsidRDefault="00C76273" w:rsidP="007F7B12">
      <w:pPr>
        <w:spacing w:beforeLines="50" w:before="156" w:afterLines="50" w:after="156" w:line="360" w:lineRule="auto"/>
        <w:ind w:firstLineChars="200" w:firstLine="480"/>
        <w:rPr>
          <w:color w:val="000000"/>
          <w:sz w:val="24"/>
        </w:rPr>
      </w:pPr>
      <w:r>
        <w:rPr>
          <w:rFonts w:hint="eastAsia"/>
          <w:color w:val="000000"/>
          <w:sz w:val="24"/>
        </w:rPr>
        <w:t>由上述数据可见，上市公司</w:t>
      </w:r>
      <w:r>
        <w:rPr>
          <w:color w:val="000000"/>
          <w:sz w:val="24"/>
        </w:rPr>
        <w:t>业务发展较为稳健，盈利稳定</w:t>
      </w:r>
      <w:r>
        <w:rPr>
          <w:rFonts w:hint="eastAsia"/>
          <w:color w:val="000000"/>
          <w:sz w:val="24"/>
        </w:rPr>
        <w:t>且营运资金充足</w:t>
      </w:r>
      <w:r>
        <w:rPr>
          <w:color w:val="000000"/>
          <w:sz w:val="24"/>
        </w:rPr>
        <w:t>。</w:t>
      </w:r>
      <w:r>
        <w:rPr>
          <w:rFonts w:hint="eastAsia"/>
          <w:color w:val="000000"/>
          <w:sz w:val="24"/>
        </w:rPr>
        <w:t>未来随着标的公司并入上市公司，上市公司盈利能力将得到进一步提高，经营性现金流将逐步改善。</w:t>
      </w:r>
    </w:p>
    <w:p w14:paraId="721CC8E9" w14:textId="77777777" w:rsidR="00FC5A62" w:rsidRDefault="00C76273" w:rsidP="007F7B12">
      <w:pPr>
        <w:spacing w:beforeLines="50" w:before="156" w:afterLines="50" w:after="156" w:line="360" w:lineRule="auto"/>
        <w:ind w:firstLineChars="200" w:firstLine="482"/>
        <w:outlineLvl w:val="4"/>
        <w:rPr>
          <w:b/>
          <w:bCs/>
          <w:sz w:val="24"/>
        </w:rPr>
      </w:pPr>
      <w:r>
        <w:rPr>
          <w:rFonts w:hint="eastAsia"/>
          <w:b/>
          <w:bCs/>
          <w:sz w:val="24"/>
        </w:rPr>
        <w:t>3</w:t>
      </w:r>
      <w:r>
        <w:rPr>
          <w:rFonts w:hint="eastAsia"/>
          <w:b/>
          <w:bCs/>
          <w:sz w:val="24"/>
        </w:rPr>
        <w:t>、上市公司的资产负债率情况</w:t>
      </w:r>
    </w:p>
    <w:p w14:paraId="5554795F" w14:textId="77777777" w:rsidR="00FC5A62" w:rsidRDefault="00C76273" w:rsidP="007F7B12">
      <w:pPr>
        <w:spacing w:beforeLines="50" w:before="156" w:afterLines="50" w:after="156" w:line="360" w:lineRule="auto"/>
        <w:ind w:firstLineChars="200" w:firstLine="480"/>
        <w:rPr>
          <w:color w:val="000000"/>
          <w:sz w:val="24"/>
        </w:rPr>
      </w:pPr>
      <w:r>
        <w:rPr>
          <w:rFonts w:hint="eastAsia"/>
          <w:color w:val="000000"/>
          <w:sz w:val="24"/>
        </w:rPr>
        <w:t>截至</w:t>
      </w:r>
      <w:r>
        <w:rPr>
          <w:rFonts w:hint="eastAsia"/>
          <w:color w:val="000000"/>
          <w:sz w:val="24"/>
        </w:rPr>
        <w:t>2</w:t>
      </w:r>
      <w:r>
        <w:rPr>
          <w:color w:val="000000"/>
          <w:sz w:val="24"/>
        </w:rPr>
        <w:t>023</w:t>
      </w:r>
      <w:r>
        <w:rPr>
          <w:rFonts w:hint="eastAsia"/>
          <w:color w:val="000000"/>
          <w:sz w:val="24"/>
        </w:rPr>
        <w:t>年</w:t>
      </w:r>
      <w:r>
        <w:rPr>
          <w:rFonts w:hint="eastAsia"/>
          <w:color w:val="000000"/>
          <w:sz w:val="24"/>
        </w:rPr>
        <w:t>6</w:t>
      </w:r>
      <w:r>
        <w:rPr>
          <w:rFonts w:hint="eastAsia"/>
          <w:color w:val="000000"/>
          <w:sz w:val="24"/>
        </w:rPr>
        <w:t>月</w:t>
      </w:r>
      <w:r>
        <w:rPr>
          <w:rFonts w:hint="eastAsia"/>
          <w:color w:val="000000"/>
          <w:sz w:val="24"/>
        </w:rPr>
        <w:t>3</w:t>
      </w:r>
      <w:r>
        <w:rPr>
          <w:color w:val="000000"/>
          <w:sz w:val="24"/>
        </w:rPr>
        <w:t>0</w:t>
      </w:r>
      <w:r>
        <w:rPr>
          <w:rFonts w:hint="eastAsia"/>
          <w:color w:val="000000"/>
          <w:sz w:val="24"/>
        </w:rPr>
        <w:t>日，上市公司资产负债率为</w:t>
      </w:r>
      <w:r>
        <w:rPr>
          <w:rFonts w:hint="eastAsia"/>
          <w:color w:val="000000"/>
          <w:sz w:val="24"/>
        </w:rPr>
        <w:t>7</w:t>
      </w:r>
      <w:r>
        <w:rPr>
          <w:color w:val="000000"/>
          <w:sz w:val="24"/>
        </w:rPr>
        <w:t>7.12%</w:t>
      </w:r>
      <w:r>
        <w:rPr>
          <w:rFonts w:hint="eastAsia"/>
          <w:color w:val="000000"/>
          <w:sz w:val="24"/>
        </w:rPr>
        <w:t>，与同行业可比上市公司资产负债率相比处于合理区间。上市公司资产负债率对比同行业上市公司情况如下：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466"/>
        <w:gridCol w:w="2245"/>
        <w:gridCol w:w="3811"/>
      </w:tblGrid>
      <w:tr w:rsidR="00FC5A62" w14:paraId="26C3C79B" w14:textId="77777777">
        <w:trPr>
          <w:cantSplit/>
          <w:trHeight w:val="397"/>
          <w:tblHeader/>
          <w:jc w:val="center"/>
        </w:trPr>
        <w:tc>
          <w:tcPr>
            <w:tcW w:w="1447" w:type="pct"/>
            <w:shd w:val="clear" w:color="auto" w:fill="FFFFFF"/>
            <w:noWrap/>
            <w:vAlign w:val="center"/>
          </w:tcPr>
          <w:p w14:paraId="24C10C8D" w14:textId="77777777" w:rsidR="00FC5A62" w:rsidRDefault="00C76273">
            <w:pPr>
              <w:jc w:val="center"/>
              <w:rPr>
                <w:b/>
                <w:color w:val="000000"/>
                <w:szCs w:val="21"/>
              </w:rPr>
            </w:pPr>
            <w:r>
              <w:rPr>
                <w:rFonts w:hint="eastAsia"/>
                <w:b/>
                <w:color w:val="000000"/>
                <w:szCs w:val="21"/>
              </w:rPr>
              <w:t>证券代码</w:t>
            </w:r>
          </w:p>
        </w:tc>
        <w:tc>
          <w:tcPr>
            <w:tcW w:w="1317" w:type="pct"/>
            <w:shd w:val="clear" w:color="auto" w:fill="FFFFFF"/>
            <w:noWrap/>
            <w:vAlign w:val="center"/>
          </w:tcPr>
          <w:p w14:paraId="1D0B4B4D" w14:textId="77777777" w:rsidR="00FC5A62" w:rsidRDefault="00C76273">
            <w:pPr>
              <w:jc w:val="center"/>
              <w:rPr>
                <w:b/>
                <w:color w:val="000000"/>
                <w:szCs w:val="21"/>
              </w:rPr>
            </w:pPr>
            <w:r>
              <w:rPr>
                <w:rFonts w:hint="eastAsia"/>
                <w:b/>
                <w:color w:val="000000"/>
                <w:szCs w:val="21"/>
              </w:rPr>
              <w:t>证券简称</w:t>
            </w:r>
          </w:p>
        </w:tc>
        <w:tc>
          <w:tcPr>
            <w:tcW w:w="2236" w:type="pct"/>
            <w:shd w:val="clear" w:color="auto" w:fill="FFFFFF"/>
            <w:noWrap/>
            <w:vAlign w:val="center"/>
          </w:tcPr>
          <w:p w14:paraId="555486CA" w14:textId="77777777" w:rsidR="00FC5A62" w:rsidRDefault="00C76273">
            <w:pPr>
              <w:jc w:val="center"/>
              <w:rPr>
                <w:b/>
                <w:color w:val="000000"/>
                <w:szCs w:val="21"/>
              </w:rPr>
            </w:pPr>
            <w:r>
              <w:rPr>
                <w:b/>
                <w:color w:val="000000"/>
                <w:szCs w:val="21"/>
              </w:rPr>
              <w:t>2023</w:t>
            </w:r>
            <w:r>
              <w:rPr>
                <w:b/>
                <w:color w:val="000000"/>
                <w:szCs w:val="21"/>
              </w:rPr>
              <w:t>年</w:t>
            </w:r>
            <w:r>
              <w:rPr>
                <w:b/>
                <w:color w:val="000000"/>
                <w:szCs w:val="21"/>
              </w:rPr>
              <w:t>6</w:t>
            </w:r>
            <w:r>
              <w:rPr>
                <w:b/>
                <w:color w:val="000000"/>
                <w:szCs w:val="21"/>
              </w:rPr>
              <w:t>月</w:t>
            </w:r>
            <w:r>
              <w:rPr>
                <w:b/>
                <w:color w:val="000000"/>
                <w:szCs w:val="21"/>
              </w:rPr>
              <w:t>30</w:t>
            </w:r>
            <w:r>
              <w:rPr>
                <w:b/>
                <w:color w:val="000000"/>
                <w:szCs w:val="21"/>
              </w:rPr>
              <w:t>日</w:t>
            </w:r>
          </w:p>
        </w:tc>
      </w:tr>
      <w:tr w:rsidR="00FC5A62" w14:paraId="3841B08F" w14:textId="77777777">
        <w:trPr>
          <w:cantSplit/>
          <w:trHeight w:val="397"/>
          <w:jc w:val="center"/>
        </w:trPr>
        <w:tc>
          <w:tcPr>
            <w:tcW w:w="1447" w:type="pct"/>
            <w:shd w:val="clear" w:color="auto" w:fill="FFFFFF"/>
            <w:noWrap/>
            <w:vAlign w:val="center"/>
          </w:tcPr>
          <w:p w14:paraId="3FCD3F14" w14:textId="77777777" w:rsidR="00FC5A62" w:rsidRDefault="00C76273">
            <w:pPr>
              <w:jc w:val="center"/>
              <w:rPr>
                <w:color w:val="000000"/>
                <w:szCs w:val="21"/>
              </w:rPr>
            </w:pPr>
            <w:r>
              <w:rPr>
                <w:color w:val="000000"/>
                <w:szCs w:val="21"/>
              </w:rPr>
              <w:t>600502.SH</w:t>
            </w:r>
          </w:p>
        </w:tc>
        <w:tc>
          <w:tcPr>
            <w:tcW w:w="1317" w:type="pct"/>
            <w:shd w:val="clear" w:color="auto" w:fill="FFFFFF"/>
            <w:noWrap/>
            <w:vAlign w:val="center"/>
          </w:tcPr>
          <w:p w14:paraId="3FF9BDD4" w14:textId="77777777" w:rsidR="00FC5A62" w:rsidRDefault="00C76273">
            <w:pPr>
              <w:jc w:val="center"/>
              <w:rPr>
                <w:color w:val="000000"/>
                <w:szCs w:val="21"/>
              </w:rPr>
            </w:pPr>
            <w:r>
              <w:rPr>
                <w:rFonts w:hint="eastAsia"/>
                <w:color w:val="000000"/>
                <w:szCs w:val="21"/>
              </w:rPr>
              <w:t>安徽建工</w:t>
            </w:r>
          </w:p>
        </w:tc>
        <w:tc>
          <w:tcPr>
            <w:tcW w:w="2236" w:type="pct"/>
            <w:shd w:val="clear" w:color="auto" w:fill="FFFFFF"/>
            <w:noWrap/>
            <w:vAlign w:val="center"/>
          </w:tcPr>
          <w:p w14:paraId="6AF44681" w14:textId="77777777" w:rsidR="00FC5A62" w:rsidRDefault="00C76273">
            <w:pPr>
              <w:jc w:val="right"/>
              <w:rPr>
                <w:color w:val="000000"/>
                <w:szCs w:val="21"/>
              </w:rPr>
            </w:pPr>
            <w:r>
              <w:rPr>
                <w:color w:val="000000"/>
                <w:szCs w:val="21"/>
              </w:rPr>
              <w:t>84.87%</w:t>
            </w:r>
          </w:p>
        </w:tc>
      </w:tr>
      <w:tr w:rsidR="00FC5A62" w14:paraId="20F09A70" w14:textId="77777777">
        <w:trPr>
          <w:cantSplit/>
          <w:trHeight w:val="397"/>
          <w:jc w:val="center"/>
        </w:trPr>
        <w:tc>
          <w:tcPr>
            <w:tcW w:w="1447" w:type="pct"/>
            <w:shd w:val="clear" w:color="auto" w:fill="FFFFFF"/>
            <w:noWrap/>
            <w:vAlign w:val="center"/>
          </w:tcPr>
          <w:p w14:paraId="4B1F34CA" w14:textId="77777777" w:rsidR="00FC5A62" w:rsidRDefault="00C76273">
            <w:pPr>
              <w:jc w:val="center"/>
              <w:rPr>
                <w:color w:val="000000"/>
                <w:szCs w:val="21"/>
              </w:rPr>
            </w:pPr>
            <w:r>
              <w:rPr>
                <w:color w:val="000000"/>
                <w:szCs w:val="21"/>
              </w:rPr>
              <w:t>000498.SZ</w:t>
            </w:r>
          </w:p>
        </w:tc>
        <w:tc>
          <w:tcPr>
            <w:tcW w:w="1317" w:type="pct"/>
            <w:shd w:val="clear" w:color="auto" w:fill="FFFFFF"/>
            <w:noWrap/>
            <w:vAlign w:val="center"/>
          </w:tcPr>
          <w:p w14:paraId="0739173B" w14:textId="77777777" w:rsidR="00FC5A62" w:rsidRDefault="00C76273">
            <w:pPr>
              <w:jc w:val="center"/>
              <w:rPr>
                <w:color w:val="000000"/>
                <w:szCs w:val="21"/>
              </w:rPr>
            </w:pPr>
            <w:r>
              <w:rPr>
                <w:rFonts w:hint="eastAsia"/>
                <w:color w:val="000000"/>
                <w:szCs w:val="21"/>
              </w:rPr>
              <w:t>山东路桥</w:t>
            </w:r>
          </w:p>
        </w:tc>
        <w:tc>
          <w:tcPr>
            <w:tcW w:w="2236" w:type="pct"/>
            <w:shd w:val="clear" w:color="auto" w:fill="FFFFFF"/>
            <w:noWrap/>
            <w:vAlign w:val="center"/>
          </w:tcPr>
          <w:p w14:paraId="343CF0DA" w14:textId="77777777" w:rsidR="00FC5A62" w:rsidRDefault="00C76273">
            <w:pPr>
              <w:jc w:val="right"/>
              <w:rPr>
                <w:color w:val="000000"/>
                <w:szCs w:val="21"/>
              </w:rPr>
            </w:pPr>
            <w:r>
              <w:rPr>
                <w:color w:val="000000"/>
                <w:szCs w:val="21"/>
              </w:rPr>
              <w:t>79.51%</w:t>
            </w:r>
          </w:p>
        </w:tc>
      </w:tr>
      <w:tr w:rsidR="00FC5A62" w14:paraId="2A44120E" w14:textId="77777777">
        <w:trPr>
          <w:cantSplit/>
          <w:trHeight w:val="397"/>
          <w:jc w:val="center"/>
        </w:trPr>
        <w:tc>
          <w:tcPr>
            <w:tcW w:w="1447" w:type="pct"/>
            <w:shd w:val="clear" w:color="auto" w:fill="FFFFFF"/>
            <w:noWrap/>
            <w:vAlign w:val="center"/>
          </w:tcPr>
          <w:p w14:paraId="496179DA" w14:textId="77777777" w:rsidR="00FC5A62" w:rsidRDefault="00C76273">
            <w:pPr>
              <w:jc w:val="center"/>
              <w:rPr>
                <w:color w:val="000000"/>
                <w:szCs w:val="21"/>
              </w:rPr>
            </w:pPr>
            <w:r>
              <w:rPr>
                <w:color w:val="000000"/>
                <w:szCs w:val="21"/>
              </w:rPr>
              <w:t>600853.SH</w:t>
            </w:r>
          </w:p>
        </w:tc>
        <w:tc>
          <w:tcPr>
            <w:tcW w:w="1317" w:type="pct"/>
            <w:shd w:val="clear" w:color="auto" w:fill="FFFFFF"/>
            <w:noWrap/>
            <w:vAlign w:val="center"/>
          </w:tcPr>
          <w:p w14:paraId="3B8C7EC1" w14:textId="77777777" w:rsidR="00FC5A62" w:rsidRDefault="00C76273">
            <w:pPr>
              <w:jc w:val="center"/>
              <w:rPr>
                <w:color w:val="000000"/>
                <w:szCs w:val="21"/>
              </w:rPr>
            </w:pPr>
            <w:r>
              <w:rPr>
                <w:rFonts w:hint="eastAsia"/>
                <w:color w:val="000000"/>
                <w:szCs w:val="21"/>
              </w:rPr>
              <w:t>龙建股份</w:t>
            </w:r>
          </w:p>
        </w:tc>
        <w:tc>
          <w:tcPr>
            <w:tcW w:w="2236" w:type="pct"/>
            <w:shd w:val="clear" w:color="auto" w:fill="FFFFFF"/>
            <w:noWrap/>
            <w:vAlign w:val="center"/>
          </w:tcPr>
          <w:p w14:paraId="17E794CC" w14:textId="77777777" w:rsidR="00FC5A62" w:rsidRDefault="00C76273">
            <w:pPr>
              <w:jc w:val="right"/>
              <w:rPr>
                <w:color w:val="000000"/>
                <w:szCs w:val="21"/>
              </w:rPr>
            </w:pPr>
            <w:r>
              <w:rPr>
                <w:color w:val="000000"/>
                <w:szCs w:val="21"/>
              </w:rPr>
              <w:t>86.36%</w:t>
            </w:r>
          </w:p>
        </w:tc>
      </w:tr>
      <w:tr w:rsidR="00FC5A62" w14:paraId="7C7A8CDB" w14:textId="77777777">
        <w:trPr>
          <w:cantSplit/>
          <w:trHeight w:val="397"/>
          <w:jc w:val="center"/>
        </w:trPr>
        <w:tc>
          <w:tcPr>
            <w:tcW w:w="1447" w:type="pct"/>
            <w:shd w:val="clear" w:color="auto" w:fill="FFFFFF"/>
            <w:noWrap/>
            <w:vAlign w:val="center"/>
          </w:tcPr>
          <w:p w14:paraId="1075628E" w14:textId="77777777" w:rsidR="00FC5A62" w:rsidRDefault="00C76273">
            <w:pPr>
              <w:jc w:val="center"/>
              <w:rPr>
                <w:color w:val="000000"/>
                <w:szCs w:val="21"/>
              </w:rPr>
            </w:pPr>
            <w:r>
              <w:rPr>
                <w:color w:val="000000"/>
                <w:szCs w:val="21"/>
              </w:rPr>
              <w:t>600939.SH</w:t>
            </w:r>
          </w:p>
        </w:tc>
        <w:tc>
          <w:tcPr>
            <w:tcW w:w="1317" w:type="pct"/>
            <w:shd w:val="clear" w:color="auto" w:fill="FFFFFF"/>
            <w:noWrap/>
            <w:vAlign w:val="center"/>
          </w:tcPr>
          <w:p w14:paraId="02528F4C" w14:textId="77777777" w:rsidR="00FC5A62" w:rsidRDefault="00C76273">
            <w:pPr>
              <w:jc w:val="center"/>
              <w:rPr>
                <w:color w:val="000000"/>
                <w:szCs w:val="21"/>
              </w:rPr>
            </w:pPr>
            <w:r>
              <w:rPr>
                <w:rFonts w:hint="eastAsia"/>
                <w:color w:val="000000"/>
                <w:szCs w:val="21"/>
              </w:rPr>
              <w:t>重庆建工</w:t>
            </w:r>
          </w:p>
        </w:tc>
        <w:tc>
          <w:tcPr>
            <w:tcW w:w="2236" w:type="pct"/>
            <w:shd w:val="clear" w:color="auto" w:fill="FFFFFF"/>
            <w:noWrap/>
            <w:vAlign w:val="center"/>
          </w:tcPr>
          <w:p w14:paraId="34500272" w14:textId="77777777" w:rsidR="00FC5A62" w:rsidRDefault="00C76273">
            <w:pPr>
              <w:jc w:val="right"/>
              <w:rPr>
                <w:color w:val="000000"/>
                <w:szCs w:val="21"/>
              </w:rPr>
            </w:pPr>
            <w:r>
              <w:rPr>
                <w:color w:val="000000"/>
                <w:szCs w:val="21"/>
              </w:rPr>
              <w:t>88.91%</w:t>
            </w:r>
          </w:p>
        </w:tc>
      </w:tr>
      <w:tr w:rsidR="00FC5A62" w14:paraId="7C23CD18" w14:textId="77777777">
        <w:trPr>
          <w:cantSplit/>
          <w:trHeight w:val="397"/>
          <w:jc w:val="center"/>
        </w:trPr>
        <w:tc>
          <w:tcPr>
            <w:tcW w:w="1447" w:type="pct"/>
            <w:shd w:val="clear" w:color="auto" w:fill="FFFFFF"/>
            <w:noWrap/>
            <w:vAlign w:val="center"/>
          </w:tcPr>
          <w:p w14:paraId="047A9C4E" w14:textId="77777777" w:rsidR="00FC5A62" w:rsidRDefault="00C76273">
            <w:pPr>
              <w:jc w:val="center"/>
              <w:rPr>
                <w:color w:val="000000"/>
                <w:szCs w:val="21"/>
              </w:rPr>
            </w:pPr>
            <w:r>
              <w:rPr>
                <w:color w:val="000000"/>
                <w:szCs w:val="21"/>
              </w:rPr>
              <w:lastRenderedPageBreak/>
              <w:t>600039.SH</w:t>
            </w:r>
          </w:p>
        </w:tc>
        <w:tc>
          <w:tcPr>
            <w:tcW w:w="1317" w:type="pct"/>
            <w:shd w:val="clear" w:color="auto" w:fill="FFFFFF"/>
            <w:noWrap/>
            <w:vAlign w:val="center"/>
          </w:tcPr>
          <w:p w14:paraId="6ECB21CB" w14:textId="77777777" w:rsidR="00FC5A62" w:rsidRDefault="00C76273">
            <w:pPr>
              <w:jc w:val="center"/>
              <w:rPr>
                <w:color w:val="000000"/>
                <w:szCs w:val="21"/>
              </w:rPr>
            </w:pPr>
            <w:r>
              <w:rPr>
                <w:rFonts w:hint="eastAsia"/>
                <w:color w:val="000000"/>
                <w:szCs w:val="21"/>
              </w:rPr>
              <w:t>四川路桥</w:t>
            </w:r>
          </w:p>
        </w:tc>
        <w:tc>
          <w:tcPr>
            <w:tcW w:w="2236" w:type="pct"/>
            <w:shd w:val="clear" w:color="auto" w:fill="FFFFFF"/>
            <w:noWrap/>
            <w:vAlign w:val="center"/>
          </w:tcPr>
          <w:p w14:paraId="01DC5133" w14:textId="77777777" w:rsidR="00FC5A62" w:rsidRDefault="00C76273">
            <w:pPr>
              <w:jc w:val="right"/>
              <w:rPr>
                <w:color w:val="000000"/>
                <w:szCs w:val="21"/>
              </w:rPr>
            </w:pPr>
            <w:r>
              <w:rPr>
                <w:color w:val="000000"/>
                <w:szCs w:val="21"/>
              </w:rPr>
              <w:t>78.54%</w:t>
            </w:r>
          </w:p>
        </w:tc>
      </w:tr>
      <w:tr w:rsidR="00FC5A62" w14:paraId="0EFDCDB1" w14:textId="77777777">
        <w:trPr>
          <w:cantSplit/>
          <w:trHeight w:val="397"/>
          <w:jc w:val="center"/>
        </w:trPr>
        <w:tc>
          <w:tcPr>
            <w:tcW w:w="1447" w:type="pct"/>
            <w:shd w:val="clear" w:color="auto" w:fill="FFFFFF"/>
            <w:noWrap/>
            <w:vAlign w:val="center"/>
          </w:tcPr>
          <w:p w14:paraId="047FFB13" w14:textId="77777777" w:rsidR="00FC5A62" w:rsidRDefault="00C76273">
            <w:pPr>
              <w:jc w:val="center"/>
              <w:rPr>
                <w:color w:val="000000"/>
                <w:szCs w:val="21"/>
              </w:rPr>
            </w:pPr>
            <w:r>
              <w:rPr>
                <w:color w:val="000000"/>
                <w:szCs w:val="21"/>
              </w:rPr>
              <w:t>002628.SZ</w:t>
            </w:r>
          </w:p>
        </w:tc>
        <w:tc>
          <w:tcPr>
            <w:tcW w:w="1317" w:type="pct"/>
            <w:shd w:val="clear" w:color="auto" w:fill="FFFFFF"/>
            <w:noWrap/>
            <w:vAlign w:val="center"/>
          </w:tcPr>
          <w:p w14:paraId="3CCFBAEE" w14:textId="77777777" w:rsidR="00FC5A62" w:rsidRDefault="00C76273">
            <w:pPr>
              <w:jc w:val="center"/>
              <w:rPr>
                <w:color w:val="000000"/>
                <w:szCs w:val="21"/>
              </w:rPr>
            </w:pPr>
            <w:r>
              <w:rPr>
                <w:rFonts w:hint="eastAsia"/>
                <w:color w:val="000000"/>
                <w:szCs w:val="21"/>
              </w:rPr>
              <w:t>成都路桥</w:t>
            </w:r>
          </w:p>
        </w:tc>
        <w:tc>
          <w:tcPr>
            <w:tcW w:w="2236" w:type="pct"/>
            <w:shd w:val="clear" w:color="auto" w:fill="FFFFFF"/>
            <w:noWrap/>
            <w:vAlign w:val="center"/>
          </w:tcPr>
          <w:p w14:paraId="08430AB1" w14:textId="77777777" w:rsidR="00FC5A62" w:rsidRDefault="00C76273">
            <w:pPr>
              <w:jc w:val="right"/>
              <w:rPr>
                <w:color w:val="000000"/>
                <w:szCs w:val="21"/>
              </w:rPr>
            </w:pPr>
            <w:r>
              <w:rPr>
                <w:color w:val="000000"/>
                <w:szCs w:val="21"/>
              </w:rPr>
              <w:t>58.38%</w:t>
            </w:r>
          </w:p>
        </w:tc>
      </w:tr>
      <w:tr w:rsidR="00FC5A62" w14:paraId="2743A3CB" w14:textId="77777777">
        <w:trPr>
          <w:cantSplit/>
          <w:trHeight w:val="397"/>
          <w:jc w:val="center"/>
        </w:trPr>
        <w:tc>
          <w:tcPr>
            <w:tcW w:w="1447" w:type="pct"/>
            <w:shd w:val="clear" w:color="auto" w:fill="FFFFFF"/>
            <w:noWrap/>
            <w:vAlign w:val="center"/>
          </w:tcPr>
          <w:p w14:paraId="39C8CB47" w14:textId="77777777" w:rsidR="00FC5A62" w:rsidRDefault="00C76273">
            <w:pPr>
              <w:jc w:val="center"/>
              <w:rPr>
                <w:color w:val="000000"/>
                <w:szCs w:val="21"/>
              </w:rPr>
            </w:pPr>
            <w:r>
              <w:rPr>
                <w:color w:val="000000"/>
                <w:szCs w:val="21"/>
              </w:rPr>
              <w:t>603843.SH</w:t>
            </w:r>
          </w:p>
        </w:tc>
        <w:tc>
          <w:tcPr>
            <w:tcW w:w="1317" w:type="pct"/>
            <w:shd w:val="clear" w:color="auto" w:fill="FFFFFF"/>
            <w:noWrap/>
            <w:vAlign w:val="center"/>
          </w:tcPr>
          <w:p w14:paraId="672B43AC" w14:textId="77777777" w:rsidR="00FC5A62" w:rsidRDefault="00C76273">
            <w:pPr>
              <w:jc w:val="center"/>
              <w:rPr>
                <w:color w:val="000000"/>
                <w:szCs w:val="21"/>
              </w:rPr>
            </w:pPr>
            <w:r>
              <w:rPr>
                <w:rFonts w:hint="eastAsia"/>
                <w:color w:val="000000"/>
                <w:szCs w:val="21"/>
              </w:rPr>
              <w:t>正平股份</w:t>
            </w:r>
          </w:p>
        </w:tc>
        <w:tc>
          <w:tcPr>
            <w:tcW w:w="2236" w:type="pct"/>
            <w:shd w:val="clear" w:color="auto" w:fill="FFFFFF"/>
            <w:noWrap/>
            <w:vAlign w:val="center"/>
          </w:tcPr>
          <w:p w14:paraId="01D0185F" w14:textId="77777777" w:rsidR="00FC5A62" w:rsidRDefault="00C76273">
            <w:pPr>
              <w:jc w:val="right"/>
              <w:rPr>
                <w:color w:val="000000"/>
                <w:szCs w:val="21"/>
              </w:rPr>
            </w:pPr>
            <w:r>
              <w:rPr>
                <w:color w:val="000000"/>
                <w:szCs w:val="21"/>
              </w:rPr>
              <w:t>79.11%</w:t>
            </w:r>
          </w:p>
        </w:tc>
      </w:tr>
      <w:tr w:rsidR="00FC5A62" w14:paraId="68891F04" w14:textId="77777777">
        <w:trPr>
          <w:cantSplit/>
          <w:trHeight w:val="397"/>
          <w:jc w:val="center"/>
        </w:trPr>
        <w:tc>
          <w:tcPr>
            <w:tcW w:w="1447" w:type="pct"/>
            <w:shd w:val="clear" w:color="auto" w:fill="FFFFFF"/>
            <w:noWrap/>
            <w:vAlign w:val="center"/>
          </w:tcPr>
          <w:p w14:paraId="68EF6DD3" w14:textId="77777777" w:rsidR="00FC5A62" w:rsidRDefault="00C76273">
            <w:pPr>
              <w:jc w:val="center"/>
              <w:rPr>
                <w:color w:val="000000"/>
                <w:szCs w:val="21"/>
              </w:rPr>
            </w:pPr>
            <w:r>
              <w:rPr>
                <w:color w:val="000000"/>
                <w:szCs w:val="21"/>
              </w:rPr>
              <w:t>002307.SZ</w:t>
            </w:r>
          </w:p>
        </w:tc>
        <w:tc>
          <w:tcPr>
            <w:tcW w:w="1317" w:type="pct"/>
            <w:shd w:val="clear" w:color="auto" w:fill="FFFFFF"/>
            <w:noWrap/>
            <w:vAlign w:val="center"/>
          </w:tcPr>
          <w:p w14:paraId="445528A5" w14:textId="77777777" w:rsidR="00FC5A62" w:rsidRDefault="00C76273">
            <w:pPr>
              <w:jc w:val="center"/>
              <w:rPr>
                <w:color w:val="000000"/>
                <w:szCs w:val="21"/>
              </w:rPr>
            </w:pPr>
            <w:r>
              <w:rPr>
                <w:rFonts w:hint="eastAsia"/>
                <w:color w:val="000000"/>
                <w:szCs w:val="21"/>
              </w:rPr>
              <w:t>北新路桥</w:t>
            </w:r>
          </w:p>
        </w:tc>
        <w:tc>
          <w:tcPr>
            <w:tcW w:w="2236" w:type="pct"/>
            <w:shd w:val="clear" w:color="auto" w:fill="FFFFFF"/>
            <w:noWrap/>
            <w:vAlign w:val="center"/>
          </w:tcPr>
          <w:p w14:paraId="1205187D" w14:textId="77777777" w:rsidR="00FC5A62" w:rsidRDefault="00C76273">
            <w:pPr>
              <w:jc w:val="right"/>
              <w:rPr>
                <w:color w:val="000000"/>
                <w:szCs w:val="21"/>
              </w:rPr>
            </w:pPr>
            <w:r>
              <w:rPr>
                <w:color w:val="000000"/>
                <w:szCs w:val="21"/>
              </w:rPr>
              <w:t>89.41%</w:t>
            </w:r>
          </w:p>
        </w:tc>
      </w:tr>
      <w:tr w:rsidR="00FC5A62" w14:paraId="04DA0D48" w14:textId="77777777">
        <w:trPr>
          <w:cantSplit/>
          <w:trHeight w:val="397"/>
          <w:jc w:val="center"/>
        </w:trPr>
        <w:tc>
          <w:tcPr>
            <w:tcW w:w="1447" w:type="pct"/>
            <w:shd w:val="clear" w:color="auto" w:fill="FFFFFF"/>
            <w:noWrap/>
            <w:vAlign w:val="center"/>
          </w:tcPr>
          <w:p w14:paraId="6F77D1B7" w14:textId="77777777" w:rsidR="00FC5A62" w:rsidRDefault="00C76273">
            <w:pPr>
              <w:jc w:val="center"/>
              <w:rPr>
                <w:color w:val="000000"/>
                <w:szCs w:val="21"/>
              </w:rPr>
            </w:pPr>
            <w:r>
              <w:rPr>
                <w:color w:val="000000"/>
                <w:szCs w:val="21"/>
              </w:rPr>
              <w:t>002941.SZ</w:t>
            </w:r>
          </w:p>
        </w:tc>
        <w:tc>
          <w:tcPr>
            <w:tcW w:w="1317" w:type="pct"/>
            <w:shd w:val="clear" w:color="auto" w:fill="FFFFFF"/>
            <w:noWrap/>
            <w:vAlign w:val="center"/>
          </w:tcPr>
          <w:p w14:paraId="62B53D95" w14:textId="77777777" w:rsidR="00FC5A62" w:rsidRDefault="00C76273">
            <w:pPr>
              <w:jc w:val="center"/>
              <w:rPr>
                <w:color w:val="000000"/>
                <w:szCs w:val="21"/>
              </w:rPr>
            </w:pPr>
            <w:proofErr w:type="gramStart"/>
            <w:r>
              <w:rPr>
                <w:rFonts w:hint="eastAsia"/>
                <w:color w:val="000000"/>
                <w:szCs w:val="21"/>
              </w:rPr>
              <w:t>新疆交建</w:t>
            </w:r>
            <w:proofErr w:type="gramEnd"/>
          </w:p>
        </w:tc>
        <w:tc>
          <w:tcPr>
            <w:tcW w:w="2236" w:type="pct"/>
            <w:shd w:val="clear" w:color="auto" w:fill="FFFFFF"/>
            <w:noWrap/>
            <w:vAlign w:val="center"/>
          </w:tcPr>
          <w:p w14:paraId="5E0870BE" w14:textId="77777777" w:rsidR="00FC5A62" w:rsidRDefault="00C76273">
            <w:pPr>
              <w:jc w:val="right"/>
              <w:rPr>
                <w:color w:val="000000"/>
                <w:szCs w:val="21"/>
              </w:rPr>
            </w:pPr>
            <w:r>
              <w:rPr>
                <w:color w:val="000000"/>
                <w:szCs w:val="21"/>
              </w:rPr>
              <w:t>74.86%</w:t>
            </w:r>
          </w:p>
        </w:tc>
      </w:tr>
      <w:tr w:rsidR="00FC5A62" w14:paraId="43427E1A" w14:textId="77777777">
        <w:trPr>
          <w:cantSplit/>
          <w:trHeight w:val="397"/>
          <w:jc w:val="center"/>
        </w:trPr>
        <w:tc>
          <w:tcPr>
            <w:tcW w:w="2764" w:type="pct"/>
            <w:gridSpan w:val="2"/>
            <w:shd w:val="clear" w:color="auto" w:fill="FFFFFF"/>
            <w:noWrap/>
            <w:vAlign w:val="center"/>
          </w:tcPr>
          <w:p w14:paraId="3C3C37FB" w14:textId="77777777" w:rsidR="00FC5A62" w:rsidRDefault="00C76273">
            <w:pPr>
              <w:jc w:val="center"/>
              <w:rPr>
                <w:b/>
                <w:bCs/>
                <w:color w:val="000000"/>
                <w:szCs w:val="21"/>
              </w:rPr>
            </w:pPr>
            <w:r>
              <w:rPr>
                <w:rFonts w:hint="eastAsia"/>
                <w:b/>
                <w:bCs/>
                <w:color w:val="000000"/>
                <w:szCs w:val="21"/>
              </w:rPr>
              <w:t>平均值</w:t>
            </w:r>
          </w:p>
        </w:tc>
        <w:tc>
          <w:tcPr>
            <w:tcW w:w="2236" w:type="pct"/>
            <w:shd w:val="clear" w:color="auto" w:fill="FFFFFF"/>
            <w:noWrap/>
            <w:vAlign w:val="center"/>
          </w:tcPr>
          <w:p w14:paraId="6D3C7431" w14:textId="77777777" w:rsidR="00FC5A62" w:rsidRDefault="00C76273">
            <w:pPr>
              <w:jc w:val="right"/>
              <w:rPr>
                <w:b/>
                <w:bCs/>
                <w:color w:val="000000"/>
                <w:szCs w:val="21"/>
              </w:rPr>
            </w:pPr>
            <w:r>
              <w:rPr>
                <w:b/>
                <w:bCs/>
                <w:color w:val="000000"/>
                <w:szCs w:val="21"/>
              </w:rPr>
              <w:t>79.99%</w:t>
            </w:r>
          </w:p>
        </w:tc>
      </w:tr>
      <w:tr w:rsidR="00FC5A62" w14:paraId="1F03D10D" w14:textId="77777777">
        <w:trPr>
          <w:cantSplit/>
          <w:trHeight w:val="397"/>
          <w:jc w:val="center"/>
        </w:trPr>
        <w:tc>
          <w:tcPr>
            <w:tcW w:w="1447" w:type="pct"/>
            <w:shd w:val="clear" w:color="auto" w:fill="FFFFFF"/>
            <w:noWrap/>
            <w:vAlign w:val="center"/>
          </w:tcPr>
          <w:p w14:paraId="68EC807D" w14:textId="77777777" w:rsidR="00FC5A62" w:rsidRDefault="00C76273">
            <w:pPr>
              <w:jc w:val="center"/>
              <w:rPr>
                <w:color w:val="000000"/>
                <w:szCs w:val="21"/>
              </w:rPr>
            </w:pPr>
            <w:r>
              <w:rPr>
                <w:color w:val="000000"/>
                <w:szCs w:val="21"/>
              </w:rPr>
              <w:t>603815.SH</w:t>
            </w:r>
          </w:p>
        </w:tc>
        <w:tc>
          <w:tcPr>
            <w:tcW w:w="1317" w:type="pct"/>
            <w:shd w:val="clear" w:color="auto" w:fill="FFFFFF"/>
            <w:noWrap/>
            <w:vAlign w:val="center"/>
          </w:tcPr>
          <w:p w14:paraId="540A1B78" w14:textId="77777777" w:rsidR="00FC5A62" w:rsidRDefault="00C76273">
            <w:pPr>
              <w:jc w:val="center"/>
              <w:rPr>
                <w:color w:val="000000"/>
                <w:szCs w:val="21"/>
              </w:rPr>
            </w:pPr>
            <w:proofErr w:type="gramStart"/>
            <w:r>
              <w:rPr>
                <w:rFonts w:hint="eastAsia"/>
                <w:color w:val="000000"/>
                <w:szCs w:val="21"/>
              </w:rPr>
              <w:t>交建股份</w:t>
            </w:r>
            <w:proofErr w:type="gramEnd"/>
          </w:p>
        </w:tc>
        <w:tc>
          <w:tcPr>
            <w:tcW w:w="2236" w:type="pct"/>
            <w:shd w:val="clear" w:color="auto" w:fill="FFFFFF"/>
            <w:noWrap/>
            <w:vAlign w:val="center"/>
          </w:tcPr>
          <w:p w14:paraId="22CC9F31" w14:textId="77777777" w:rsidR="00FC5A62" w:rsidRDefault="00C76273">
            <w:pPr>
              <w:jc w:val="right"/>
              <w:rPr>
                <w:color w:val="000000"/>
                <w:szCs w:val="21"/>
              </w:rPr>
            </w:pPr>
            <w:r>
              <w:rPr>
                <w:rFonts w:hint="eastAsia"/>
                <w:color w:val="000000"/>
              </w:rPr>
              <w:t>7</w:t>
            </w:r>
            <w:r>
              <w:rPr>
                <w:color w:val="000000"/>
              </w:rPr>
              <w:t>7.12%</w:t>
            </w:r>
          </w:p>
        </w:tc>
      </w:tr>
    </w:tbl>
    <w:p w14:paraId="7077A6AD" w14:textId="77777777" w:rsidR="00FC5A62" w:rsidRDefault="00C76273">
      <w:pPr>
        <w:pStyle w:val="af3"/>
      </w:pPr>
      <w:r>
        <w:rPr>
          <w:rFonts w:hint="eastAsia"/>
        </w:rPr>
        <w:t>注：上述可比公司的数据来源于</w:t>
      </w:r>
      <w:r>
        <w:rPr>
          <w:rFonts w:hint="eastAsia"/>
        </w:rPr>
        <w:t>wind</w:t>
      </w:r>
      <w:r>
        <w:rPr>
          <w:rFonts w:hint="eastAsia"/>
        </w:rPr>
        <w:t>及公开披露报告</w:t>
      </w:r>
    </w:p>
    <w:p w14:paraId="39423B93" w14:textId="77777777" w:rsidR="00FC5A62" w:rsidRDefault="00C76273" w:rsidP="00B924A8">
      <w:pPr>
        <w:spacing w:beforeLines="50" w:before="156" w:afterLines="50" w:after="156" w:line="360" w:lineRule="auto"/>
        <w:ind w:firstLineChars="200" w:firstLine="480"/>
        <w:rPr>
          <w:color w:val="000000"/>
          <w:sz w:val="24"/>
        </w:rPr>
      </w:pPr>
      <w:r>
        <w:rPr>
          <w:rFonts w:hint="eastAsia"/>
          <w:color w:val="000000"/>
          <w:sz w:val="24"/>
        </w:rPr>
        <w:t>标的公司负债主要为预收合同</w:t>
      </w:r>
      <w:proofErr w:type="gramStart"/>
      <w:r>
        <w:rPr>
          <w:rFonts w:hint="eastAsia"/>
          <w:color w:val="000000"/>
          <w:sz w:val="24"/>
        </w:rPr>
        <w:t>款形成</w:t>
      </w:r>
      <w:proofErr w:type="gramEnd"/>
      <w:r>
        <w:rPr>
          <w:rFonts w:hint="eastAsia"/>
          <w:color w:val="000000"/>
          <w:sz w:val="24"/>
        </w:rPr>
        <w:t>的合同负债构成，本次交易完成后，不会造成上市公司偿债现金流压力的上升，不会实质</w:t>
      </w:r>
      <w:r>
        <w:rPr>
          <w:color w:val="000000"/>
          <w:sz w:val="24"/>
        </w:rPr>
        <w:t>对上市公司的资产负债结构产生不利影响</w:t>
      </w:r>
      <w:r>
        <w:rPr>
          <w:rFonts w:hint="eastAsia"/>
          <w:color w:val="000000"/>
          <w:sz w:val="24"/>
        </w:rPr>
        <w:t>。</w:t>
      </w:r>
    </w:p>
    <w:p w14:paraId="3CF452A4" w14:textId="77777777" w:rsidR="00FC5A62" w:rsidRDefault="00C76273" w:rsidP="00B924A8">
      <w:pPr>
        <w:spacing w:beforeLines="50" w:before="156" w:afterLines="50" w:after="156" w:line="360" w:lineRule="auto"/>
        <w:ind w:firstLineChars="200" w:firstLine="482"/>
        <w:outlineLvl w:val="4"/>
        <w:rPr>
          <w:b/>
          <w:bCs/>
          <w:sz w:val="24"/>
        </w:rPr>
      </w:pPr>
      <w:r>
        <w:rPr>
          <w:rFonts w:hint="eastAsia"/>
          <w:b/>
          <w:bCs/>
          <w:sz w:val="24"/>
        </w:rPr>
        <w:t>4</w:t>
      </w:r>
      <w:r>
        <w:rPr>
          <w:rFonts w:hint="eastAsia"/>
          <w:b/>
          <w:bCs/>
          <w:sz w:val="24"/>
        </w:rPr>
        <w:t>、上市公司可利用的融资渠道及授信额度情况</w:t>
      </w:r>
    </w:p>
    <w:p w14:paraId="04132810" w14:textId="77777777" w:rsidR="00FC5A62" w:rsidRDefault="00C76273" w:rsidP="00B924A8">
      <w:pPr>
        <w:spacing w:beforeLines="50" w:before="156" w:afterLines="50" w:after="156" w:line="360" w:lineRule="auto"/>
        <w:ind w:firstLineChars="200" w:firstLine="480"/>
        <w:rPr>
          <w:color w:val="000000"/>
          <w:sz w:val="24"/>
        </w:rPr>
      </w:pPr>
      <w:r>
        <w:rPr>
          <w:rFonts w:hint="eastAsia"/>
          <w:color w:val="000000"/>
          <w:sz w:val="24"/>
        </w:rPr>
        <w:t>除通过资本市场进行融资外，上市公司主要融资渠道为银行贷款，截至</w:t>
      </w:r>
      <w:r>
        <w:rPr>
          <w:color w:val="000000"/>
          <w:sz w:val="24"/>
        </w:rPr>
        <w:t xml:space="preserve"> 2023</w:t>
      </w:r>
      <w:r>
        <w:rPr>
          <w:color w:val="000000"/>
          <w:sz w:val="24"/>
        </w:rPr>
        <w:t>年</w:t>
      </w:r>
      <w:r>
        <w:rPr>
          <w:color w:val="000000"/>
          <w:sz w:val="24"/>
        </w:rPr>
        <w:t xml:space="preserve"> 6</w:t>
      </w:r>
      <w:r>
        <w:rPr>
          <w:color w:val="000000"/>
          <w:sz w:val="24"/>
        </w:rPr>
        <w:t>月</w:t>
      </w:r>
      <w:r>
        <w:rPr>
          <w:color w:val="000000"/>
          <w:sz w:val="24"/>
        </w:rPr>
        <w:t xml:space="preserve"> 30 </w:t>
      </w:r>
      <w:r>
        <w:rPr>
          <w:color w:val="000000"/>
          <w:sz w:val="24"/>
        </w:rPr>
        <w:t>日，</w:t>
      </w:r>
      <w:r>
        <w:rPr>
          <w:rFonts w:hint="eastAsia"/>
          <w:color w:val="000000"/>
          <w:sz w:val="24"/>
        </w:rPr>
        <w:t>上市公司</w:t>
      </w:r>
      <w:r>
        <w:rPr>
          <w:color w:val="000000"/>
          <w:sz w:val="24"/>
        </w:rPr>
        <w:t>及其子公司在国内主要合作商业银行获得的银行授信总额为</w:t>
      </w:r>
      <w:r>
        <w:rPr>
          <w:color w:val="000000"/>
          <w:sz w:val="24"/>
        </w:rPr>
        <w:t>662,520.00</w:t>
      </w:r>
      <w:r>
        <w:rPr>
          <w:color w:val="000000"/>
          <w:sz w:val="24"/>
        </w:rPr>
        <w:t>万元，已使用授信总额为</w:t>
      </w:r>
      <w:r>
        <w:rPr>
          <w:color w:val="000000"/>
          <w:sz w:val="24"/>
        </w:rPr>
        <w:t>310,011.19</w:t>
      </w:r>
      <w:r>
        <w:rPr>
          <w:rFonts w:hint="eastAsia"/>
          <w:color w:val="000000"/>
          <w:sz w:val="24"/>
        </w:rPr>
        <w:t>万元。上市公司银行授信额度充足，可以结合实际营运资金状况对借款规模进行调整，满足对外投资、日常经营以及银行借款还本付息等的资金需求。</w:t>
      </w:r>
    </w:p>
    <w:p w14:paraId="6DF4900D" w14:textId="77777777" w:rsidR="00FC5A62" w:rsidRDefault="00C76273" w:rsidP="00B924A8">
      <w:pPr>
        <w:spacing w:beforeLines="50" w:before="156" w:afterLines="50" w:after="156" w:line="360" w:lineRule="auto"/>
        <w:ind w:firstLineChars="200" w:firstLine="480"/>
        <w:rPr>
          <w:color w:val="000000"/>
          <w:sz w:val="24"/>
        </w:rPr>
      </w:pPr>
      <w:r>
        <w:rPr>
          <w:rFonts w:hint="eastAsia"/>
          <w:color w:val="000000"/>
          <w:sz w:val="24"/>
        </w:rPr>
        <w:t>综上所述，标的公司盈利能力较强、资产可变现性及流动性较强，能够及时满足应付账款等经营性负债项目的现金支出；基于行业惯例及标的公司在美国组件市场的地位，标的公司合同负债及资产负债率较高具备合理性，且标的公司后续订单完成</w:t>
      </w:r>
      <w:proofErr w:type="gramStart"/>
      <w:r>
        <w:rPr>
          <w:rFonts w:hint="eastAsia"/>
          <w:color w:val="000000"/>
          <w:sz w:val="24"/>
        </w:rPr>
        <w:t>后相应</w:t>
      </w:r>
      <w:proofErr w:type="gramEnd"/>
      <w:r>
        <w:rPr>
          <w:rFonts w:hint="eastAsia"/>
          <w:color w:val="000000"/>
          <w:sz w:val="24"/>
        </w:rPr>
        <w:t>合同负债将陆续转化为收入，偿债压力相对较小，本次交易完成后不会实质</w:t>
      </w:r>
      <w:r>
        <w:rPr>
          <w:color w:val="000000"/>
          <w:sz w:val="24"/>
        </w:rPr>
        <w:t>对上市公司的资产负债结构产生不利影响</w:t>
      </w:r>
      <w:r>
        <w:rPr>
          <w:rFonts w:hint="eastAsia"/>
          <w:color w:val="000000"/>
          <w:sz w:val="24"/>
        </w:rPr>
        <w:t>。上市公司除可通过资本市场进行融资外，始终与国内主要商业银行保持良好客户关系，具有相对较高的银行授信额度，具备较强的融资能力。未来随着标的公司并入上市公司，上市公司业务范围进一步拓宽，上市公司盈利能力将得到提高，经营性现金流将逐步改善，因此本次交易有利于增强上市公司财务稳定性，不会对上市公司财务稳定性构成重大不利影响。</w:t>
      </w:r>
    </w:p>
    <w:p w14:paraId="5A47434C" w14:textId="77777777" w:rsidR="00FC5A62" w:rsidRDefault="00C76273" w:rsidP="00B924A8">
      <w:pPr>
        <w:spacing w:beforeLines="50" w:before="156" w:afterLines="50" w:after="156" w:line="360" w:lineRule="auto"/>
        <w:ind w:firstLineChars="200" w:firstLine="482"/>
        <w:outlineLvl w:val="3"/>
        <w:rPr>
          <w:b/>
          <w:bCs/>
          <w:sz w:val="24"/>
        </w:rPr>
      </w:pPr>
      <w:r>
        <w:rPr>
          <w:rFonts w:hint="eastAsia"/>
          <w:b/>
          <w:bCs/>
          <w:sz w:val="24"/>
        </w:rPr>
        <w:t>（二）上市公司拟采取的应对措施</w:t>
      </w:r>
    </w:p>
    <w:p w14:paraId="7AEDAF1F" w14:textId="77777777" w:rsidR="00FC5A62" w:rsidRDefault="00C76273" w:rsidP="00B924A8">
      <w:pPr>
        <w:spacing w:beforeLines="50" w:before="156" w:afterLines="50" w:after="156" w:line="360" w:lineRule="auto"/>
        <w:ind w:firstLineChars="200" w:firstLine="480"/>
        <w:rPr>
          <w:bCs/>
          <w:sz w:val="24"/>
          <w:lang w:bidi="zh-CN"/>
        </w:rPr>
      </w:pPr>
      <w:r>
        <w:rPr>
          <w:rFonts w:hint="eastAsia"/>
          <w:bCs/>
          <w:sz w:val="24"/>
          <w:lang w:val="zh-CN" w:bidi="zh-CN"/>
        </w:rPr>
        <w:lastRenderedPageBreak/>
        <w:t>通过本次交易，上市公司可实现业务多元化布局，主营业务从工程施工拓展至光伏领域，进一步扩展上市公司的业务范围，增强上市公司的可持续发展能力和抗风险能力，进而提升上市公司核心竞争力。本次交易完成后，标的公司将成为上市公司的控股子公司，上市公司将依据实际情况，借助多年积累的内控管理经验和运营能力储备充分快速地理解标的公司业务体系，能够在后续经营和财务管理上为控制和运营资产提供坚实的基础。同时公司将在上市公司的层面上把握更多的产业机会，进一步提升对标的资产原有资产的运营和管理水平，严格按照上市公司的相关要求规范运作，提高资产使用效率。</w:t>
      </w:r>
    </w:p>
    <w:p w14:paraId="0B64236A" w14:textId="77777777" w:rsidR="00FC5A62" w:rsidRDefault="00C76273" w:rsidP="00B924A8">
      <w:pPr>
        <w:spacing w:beforeLines="50" w:before="156" w:afterLines="50" w:after="156" w:line="360" w:lineRule="auto"/>
        <w:ind w:firstLineChars="200" w:firstLine="480"/>
        <w:rPr>
          <w:sz w:val="24"/>
        </w:rPr>
      </w:pPr>
      <w:r>
        <w:rPr>
          <w:rFonts w:hint="eastAsia"/>
          <w:sz w:val="24"/>
        </w:rPr>
        <w:t>本次交易完成后，上市公司将根据符合上市公司治理要求的各项财务管理制度将标的公司纳入到自身规范、成熟的统一财务管理体系之中。依据标的公司自身业务模式特点和财务环境的特点，将严格执行上市公司包括但不限于财务会计制度、内部控制制度、资金管理制度、预决算制度、外部审计制度、信息披露制度等各项管理制度，定期向上市公司报送财务报告和相关财务资料，接受上市公司年度审计和内部控制评价，防范财务风险。</w:t>
      </w:r>
    </w:p>
    <w:p w14:paraId="1BAF4365" w14:textId="77777777" w:rsidR="00FC5A62" w:rsidRDefault="00C76273" w:rsidP="00B924A8">
      <w:pPr>
        <w:spacing w:beforeLines="50" w:before="156" w:afterLines="50" w:after="156" w:line="360" w:lineRule="auto"/>
        <w:ind w:firstLineChars="200" w:firstLine="480"/>
        <w:rPr>
          <w:sz w:val="24"/>
        </w:rPr>
      </w:pPr>
      <w:r>
        <w:rPr>
          <w:rFonts w:hint="eastAsia"/>
          <w:sz w:val="24"/>
        </w:rPr>
        <w:t>上市公司将通过整体管控，优化资金配置和融资机制，降低公司整体融资成本，有效提升财务效率，提高其财务核算及管理能力，严格控制标的公司的各项财务风险。</w:t>
      </w:r>
    </w:p>
    <w:p w14:paraId="2DB941C6" w14:textId="77777777" w:rsidR="00FC5A62" w:rsidRDefault="00C76273" w:rsidP="00B924A8">
      <w:pPr>
        <w:spacing w:beforeLines="50" w:before="156" w:afterLines="50" w:after="156" w:line="360" w:lineRule="auto"/>
        <w:ind w:firstLineChars="200" w:firstLine="480"/>
        <w:rPr>
          <w:color w:val="000000"/>
          <w:sz w:val="24"/>
        </w:rPr>
      </w:pPr>
      <w:r>
        <w:rPr>
          <w:rFonts w:hint="eastAsia"/>
          <w:color w:val="000000"/>
          <w:sz w:val="24"/>
        </w:rPr>
        <w:t>综上所述，本次交易有利于</w:t>
      </w:r>
      <w:r>
        <w:rPr>
          <w:rFonts w:hint="eastAsia"/>
          <w:bCs/>
          <w:sz w:val="24"/>
          <w:lang w:val="zh-CN" w:bidi="zh-CN"/>
        </w:rPr>
        <w:t>增强上市公司的可持续发展能力和抗风险能力，</w:t>
      </w:r>
      <w:r>
        <w:rPr>
          <w:rFonts w:hint="eastAsia"/>
          <w:color w:val="000000"/>
          <w:sz w:val="24"/>
        </w:rPr>
        <w:t>上市公司将积极推进交易完成后的财务整合工作，</w:t>
      </w:r>
      <w:r>
        <w:rPr>
          <w:rFonts w:hint="eastAsia"/>
          <w:sz w:val="24"/>
        </w:rPr>
        <w:t>严格控制标的公司的各项财务风险</w:t>
      </w:r>
      <w:r>
        <w:rPr>
          <w:rFonts w:hint="eastAsia"/>
          <w:color w:val="000000"/>
          <w:sz w:val="24"/>
        </w:rPr>
        <w:t>，维持上市公司财务稳定性。</w:t>
      </w:r>
    </w:p>
    <w:p w14:paraId="371D18BB" w14:textId="77777777" w:rsidR="00FC5A62" w:rsidRDefault="00C76273" w:rsidP="00B924A8">
      <w:pPr>
        <w:spacing w:beforeLines="50" w:before="156" w:afterLines="50" w:after="156" w:line="360" w:lineRule="auto"/>
        <w:ind w:firstLineChars="200" w:firstLine="482"/>
        <w:outlineLvl w:val="3"/>
        <w:rPr>
          <w:b/>
          <w:bCs/>
          <w:sz w:val="24"/>
        </w:rPr>
      </w:pPr>
      <w:r w:rsidRPr="008A1A3A">
        <w:rPr>
          <w:rFonts w:hint="eastAsia"/>
          <w:b/>
          <w:bCs/>
          <w:sz w:val="24"/>
        </w:rPr>
        <w:t>（三）</w:t>
      </w:r>
      <w:r>
        <w:rPr>
          <w:rFonts w:hint="eastAsia"/>
          <w:b/>
          <w:bCs/>
          <w:sz w:val="24"/>
        </w:rPr>
        <w:t>补充风险提示</w:t>
      </w:r>
    </w:p>
    <w:p w14:paraId="724A8291" w14:textId="02DCD580" w:rsidR="00FC5A62" w:rsidRDefault="00C76273" w:rsidP="00B924A8">
      <w:pPr>
        <w:spacing w:beforeLines="50" w:before="156" w:afterLines="50" w:after="156" w:line="360" w:lineRule="auto"/>
        <w:ind w:firstLineChars="200" w:firstLine="480"/>
        <w:rPr>
          <w:sz w:val="24"/>
        </w:rPr>
      </w:pPr>
      <w:r>
        <w:rPr>
          <w:rFonts w:hint="eastAsia"/>
          <w:sz w:val="24"/>
        </w:rPr>
        <w:t>上市公司已于《安徽省交通建设股份有限公司发行股份购买资产并募集配套资金暨关联交易预案（修订稿）》“重大风险提示”之“二、与标的公司相关的风险”之“（十一）上市公司财务稳定性风险”</w:t>
      </w:r>
      <w:r w:rsidR="008214CD">
        <w:rPr>
          <w:rFonts w:hint="eastAsia"/>
          <w:sz w:val="24"/>
        </w:rPr>
        <w:t>和“第八节</w:t>
      </w:r>
      <w:r w:rsidR="008214CD">
        <w:rPr>
          <w:rFonts w:hint="eastAsia"/>
          <w:sz w:val="24"/>
        </w:rPr>
        <w:t xml:space="preserve"> </w:t>
      </w:r>
      <w:r w:rsidR="008214CD">
        <w:rPr>
          <w:rFonts w:hint="eastAsia"/>
          <w:sz w:val="24"/>
        </w:rPr>
        <w:t>风险因素”</w:t>
      </w:r>
      <w:r w:rsidR="008214CD" w:rsidRPr="008214CD">
        <w:rPr>
          <w:rFonts w:hint="eastAsia"/>
          <w:sz w:val="24"/>
        </w:rPr>
        <w:t xml:space="preserve"> </w:t>
      </w:r>
      <w:r w:rsidR="008214CD">
        <w:rPr>
          <w:rFonts w:hint="eastAsia"/>
          <w:sz w:val="24"/>
        </w:rPr>
        <w:t>之“二、与标的公司相关的风险”之“（十一）上市公司财务稳定性风险”</w:t>
      </w:r>
      <w:r>
        <w:rPr>
          <w:rFonts w:hint="eastAsia"/>
          <w:sz w:val="24"/>
        </w:rPr>
        <w:t>中</w:t>
      </w:r>
      <w:r w:rsidR="008214CD">
        <w:rPr>
          <w:rFonts w:hint="eastAsia"/>
          <w:sz w:val="24"/>
        </w:rPr>
        <w:t>均</w:t>
      </w:r>
      <w:r>
        <w:rPr>
          <w:rFonts w:hint="eastAsia"/>
          <w:sz w:val="24"/>
        </w:rPr>
        <w:t>进行了补充风险提示。具体如下：</w:t>
      </w:r>
    </w:p>
    <w:p w14:paraId="2F7FDD34" w14:textId="450BFCD9" w:rsidR="00FC5A62" w:rsidRPr="008A1A3A" w:rsidRDefault="0063157D" w:rsidP="0098541E">
      <w:pPr>
        <w:spacing w:beforeLines="50" w:before="156" w:afterLines="50" w:after="156" w:line="360" w:lineRule="auto"/>
        <w:ind w:firstLineChars="200" w:firstLine="480"/>
        <w:rPr>
          <w:sz w:val="24"/>
        </w:rPr>
      </w:pPr>
      <w:r>
        <w:rPr>
          <w:rFonts w:hint="eastAsia"/>
          <w:sz w:val="24"/>
        </w:rPr>
        <w:t>“</w:t>
      </w:r>
      <w:r w:rsidR="00C76273">
        <w:rPr>
          <w:rFonts w:hint="eastAsia"/>
          <w:sz w:val="24"/>
        </w:rPr>
        <w:t>本次交易前，上市公司资产负债率相较于同行业可比上市公司处于合理水</w:t>
      </w:r>
      <w:r w:rsidR="00C76273">
        <w:rPr>
          <w:rFonts w:hint="eastAsia"/>
          <w:sz w:val="24"/>
        </w:rPr>
        <w:lastRenderedPageBreak/>
        <w:t>平，且融资渠道畅通、授信额度充足。标的公司</w:t>
      </w:r>
      <w:r w:rsidR="00C76273">
        <w:rPr>
          <w:rFonts w:hint="eastAsia"/>
          <w:sz w:val="24"/>
        </w:rPr>
        <w:t>2021</w:t>
      </w:r>
      <w:r w:rsidR="00C76273">
        <w:rPr>
          <w:rFonts w:hint="eastAsia"/>
          <w:sz w:val="24"/>
        </w:rPr>
        <w:t>年末、</w:t>
      </w:r>
      <w:r w:rsidR="00C76273">
        <w:rPr>
          <w:rFonts w:hint="eastAsia"/>
          <w:sz w:val="24"/>
        </w:rPr>
        <w:t>2022</w:t>
      </w:r>
      <w:r w:rsidR="00C76273">
        <w:rPr>
          <w:rFonts w:hint="eastAsia"/>
          <w:sz w:val="24"/>
        </w:rPr>
        <w:t>年末及</w:t>
      </w:r>
      <w:r w:rsidR="00C76273">
        <w:rPr>
          <w:rFonts w:hint="eastAsia"/>
          <w:sz w:val="24"/>
        </w:rPr>
        <w:t>2023</w:t>
      </w:r>
      <w:r w:rsidR="00C76273">
        <w:rPr>
          <w:rFonts w:hint="eastAsia"/>
          <w:sz w:val="24"/>
        </w:rPr>
        <w:t>年一季度末资产负债率分别为</w:t>
      </w:r>
      <w:r w:rsidR="00C76273">
        <w:rPr>
          <w:rFonts w:hint="eastAsia"/>
          <w:sz w:val="24"/>
        </w:rPr>
        <w:t>107.47%</w:t>
      </w:r>
      <w:r w:rsidR="00C76273">
        <w:rPr>
          <w:rFonts w:hint="eastAsia"/>
          <w:sz w:val="24"/>
        </w:rPr>
        <w:t>、</w:t>
      </w:r>
      <w:r w:rsidR="00C76273">
        <w:rPr>
          <w:rFonts w:hint="eastAsia"/>
          <w:sz w:val="24"/>
        </w:rPr>
        <w:t>93.63%</w:t>
      </w:r>
      <w:r w:rsidR="00C76273">
        <w:rPr>
          <w:rFonts w:hint="eastAsia"/>
          <w:sz w:val="24"/>
        </w:rPr>
        <w:t>和</w:t>
      </w:r>
      <w:r w:rsidR="00C76273">
        <w:rPr>
          <w:rFonts w:hint="eastAsia"/>
          <w:sz w:val="24"/>
        </w:rPr>
        <w:t>86.38%</w:t>
      </w:r>
      <w:r w:rsidR="00C76273">
        <w:rPr>
          <w:rFonts w:hint="eastAsia"/>
          <w:sz w:val="24"/>
        </w:rPr>
        <w:t>，资产负债率相对较高，但主要由合同负债构成，后续订单完成后相应合同负债将陆续转化为收入，偿债压力相对较小。本次交易不会实质对上市公司的资产负债结构产生重大不利影响，但若本次交易完成后，如后续上市公司相关融资渠道无法有效利用，上市公司将面临较高的资产负债率水平所带来的财务稳定性风险。</w:t>
      </w:r>
      <w:r>
        <w:rPr>
          <w:rFonts w:hint="eastAsia"/>
          <w:sz w:val="24"/>
        </w:rPr>
        <w:t>”</w:t>
      </w:r>
    </w:p>
    <w:p w14:paraId="5755D65A" w14:textId="77777777" w:rsidR="00FC5A62" w:rsidRDefault="00FC5A62">
      <w:pPr>
        <w:spacing w:line="500" w:lineRule="exact"/>
        <w:ind w:firstLineChars="200" w:firstLine="480"/>
        <w:rPr>
          <w:rFonts w:eastAsiaTheme="minorEastAsia"/>
          <w:color w:val="000000"/>
          <w:sz w:val="24"/>
        </w:rPr>
      </w:pPr>
    </w:p>
    <w:p w14:paraId="130D18F5" w14:textId="77777777" w:rsidR="00FC5A62" w:rsidRDefault="00C76273" w:rsidP="00242C3A">
      <w:pPr>
        <w:spacing w:beforeLines="50" w:before="156" w:afterLines="50" w:after="156" w:line="360" w:lineRule="auto"/>
        <w:ind w:firstLineChars="200" w:firstLine="480"/>
        <w:outlineLvl w:val="0"/>
        <w:rPr>
          <w:rFonts w:eastAsia="黑体"/>
          <w:sz w:val="24"/>
        </w:rPr>
      </w:pPr>
      <w:r>
        <w:rPr>
          <w:rFonts w:eastAsia="黑体"/>
          <w:sz w:val="24"/>
        </w:rPr>
        <w:t>三、关于交易安排</w:t>
      </w:r>
    </w:p>
    <w:p w14:paraId="788335CF" w14:textId="77777777" w:rsidR="00FC5A62" w:rsidRDefault="00C76273" w:rsidP="00242C3A">
      <w:pPr>
        <w:spacing w:beforeLines="50" w:before="156" w:afterLines="50" w:after="156" w:line="360" w:lineRule="auto"/>
        <w:ind w:firstLineChars="200" w:firstLine="480"/>
        <w:outlineLvl w:val="1"/>
        <w:rPr>
          <w:rFonts w:eastAsia="黑体"/>
          <w:sz w:val="24"/>
        </w:rPr>
      </w:pPr>
      <w:r>
        <w:rPr>
          <w:rFonts w:eastAsia="黑体" w:hint="eastAsia"/>
          <w:sz w:val="24"/>
        </w:rPr>
        <w:t>问题五</w:t>
      </w:r>
      <w:r>
        <w:rPr>
          <w:rFonts w:eastAsia="黑体"/>
          <w:sz w:val="24"/>
        </w:rPr>
        <w:t>、预案披露，标的公司主营光伏业务，与公司现有工程施工主业差异较大。同时，标的公司生产、销售业务主体均主要分布在海外地区，营业收入主要来自境外。请公司：（</w:t>
      </w:r>
      <w:r>
        <w:rPr>
          <w:rFonts w:eastAsia="黑体"/>
          <w:sz w:val="24"/>
        </w:rPr>
        <w:t>1</w:t>
      </w:r>
      <w:r>
        <w:rPr>
          <w:rFonts w:eastAsia="黑体"/>
          <w:sz w:val="24"/>
        </w:rPr>
        <w:t>）补充披露后续在业务、资产、财务、人员、机构等方面拟对标的公司实施整合的具体措施及计划安排；（</w:t>
      </w:r>
      <w:r>
        <w:rPr>
          <w:rFonts w:eastAsia="黑体"/>
          <w:sz w:val="24"/>
        </w:rPr>
        <w:t>2</w:t>
      </w:r>
      <w:r>
        <w:rPr>
          <w:rFonts w:eastAsia="黑体"/>
          <w:sz w:val="24"/>
        </w:rPr>
        <w:t>）结合公司现有的经验、人员及技术等储备，以及前述整合措施及计划，说明在主营业务、主要生产区域有较大差异的情况下，公司后续能否对标的公司经营和财务等方面实施有效管控。</w:t>
      </w:r>
    </w:p>
    <w:p w14:paraId="5CB438FD" w14:textId="77777777" w:rsidR="00FC5A62" w:rsidRDefault="00C76273" w:rsidP="00242C3A">
      <w:pPr>
        <w:spacing w:beforeLines="50" w:before="156" w:afterLines="50" w:after="156" w:line="360" w:lineRule="auto"/>
        <w:ind w:firstLineChars="200" w:firstLine="482"/>
        <w:rPr>
          <w:rFonts w:eastAsiaTheme="minorEastAsia"/>
          <w:b/>
          <w:bCs/>
          <w:color w:val="000000"/>
          <w:sz w:val="24"/>
        </w:rPr>
      </w:pPr>
      <w:r>
        <w:rPr>
          <w:rFonts w:eastAsiaTheme="minorEastAsia"/>
          <w:b/>
          <w:bCs/>
          <w:color w:val="000000"/>
          <w:sz w:val="24"/>
        </w:rPr>
        <w:t>回复：</w:t>
      </w:r>
    </w:p>
    <w:p w14:paraId="08FB263E" w14:textId="77777777" w:rsidR="00FC5A62" w:rsidRDefault="00C76273" w:rsidP="00242C3A">
      <w:pPr>
        <w:spacing w:beforeLines="50" w:before="156" w:afterLines="50" w:after="156" w:line="360" w:lineRule="auto"/>
        <w:ind w:firstLineChars="200" w:firstLine="482"/>
        <w:outlineLvl w:val="2"/>
        <w:rPr>
          <w:rFonts w:asciiTheme="majorEastAsia" w:eastAsiaTheme="majorEastAsia" w:hAnsiTheme="majorEastAsia"/>
          <w:b/>
          <w:bCs/>
          <w:sz w:val="24"/>
        </w:rPr>
      </w:pPr>
      <w:r>
        <w:rPr>
          <w:rFonts w:asciiTheme="majorEastAsia" w:eastAsiaTheme="majorEastAsia" w:hAnsiTheme="majorEastAsia" w:hint="eastAsia"/>
          <w:b/>
          <w:bCs/>
          <w:sz w:val="24"/>
        </w:rPr>
        <w:t>一、补充披露后续在业务、资产、财务、人员、机构等方面拟对标的公司实施整合的具体措施及计划安排</w:t>
      </w:r>
    </w:p>
    <w:p w14:paraId="093BFF52" w14:textId="77777777" w:rsidR="00FC5A62" w:rsidRDefault="00C76273" w:rsidP="00264594">
      <w:pPr>
        <w:spacing w:beforeLines="50" w:before="156" w:afterLines="50" w:after="156" w:line="360" w:lineRule="auto"/>
        <w:ind w:firstLineChars="200" w:firstLine="480"/>
        <w:rPr>
          <w:sz w:val="24"/>
        </w:rPr>
      </w:pPr>
      <w:r>
        <w:rPr>
          <w:rFonts w:hint="eastAsia"/>
          <w:sz w:val="24"/>
        </w:rPr>
        <w:t>本次交易完成后，工程施工业务与光</w:t>
      </w:r>
      <w:proofErr w:type="gramStart"/>
      <w:r>
        <w:rPr>
          <w:rFonts w:hint="eastAsia"/>
          <w:sz w:val="24"/>
        </w:rPr>
        <w:t>伏业务</w:t>
      </w:r>
      <w:proofErr w:type="gramEnd"/>
      <w:r>
        <w:rPr>
          <w:rFonts w:hint="eastAsia"/>
          <w:sz w:val="24"/>
        </w:rPr>
        <w:t>均作为公司重点发展的业务。上市公司将主要开展以下几方面整合措施：（</w:t>
      </w:r>
      <w:r>
        <w:rPr>
          <w:rFonts w:hint="eastAsia"/>
          <w:sz w:val="24"/>
        </w:rPr>
        <w:t>1</w:t>
      </w:r>
      <w:r>
        <w:rPr>
          <w:rFonts w:hint="eastAsia"/>
          <w:sz w:val="24"/>
        </w:rPr>
        <w:t>）上市公司将在保持标的公司主要经营管理团队的稳定性的基础上，与标的公司实现优势互补，在运营管理、财务管理、人员管理等方面进行整合。上市公司将采取包括但不限于提名董事、委派管理人员和财务人员、统一内控系统和制度等方式，在给予标的公司现有管理团队较为充分的授权和经营发展空间、尊重标的公司原有企业文化的基础上，完善各项管理流程，保证对标的公司的控制权，并充分发挥上市公司原有主业和标的公司业务的竞争优势；（</w:t>
      </w:r>
      <w:r>
        <w:rPr>
          <w:rFonts w:hint="eastAsia"/>
          <w:sz w:val="24"/>
        </w:rPr>
        <w:t>2</w:t>
      </w:r>
      <w:r>
        <w:rPr>
          <w:rFonts w:hint="eastAsia"/>
          <w:sz w:val="24"/>
        </w:rPr>
        <w:t>）借助上市公司的平台优势、资金优势等，以及已有的规范化管理经验等，统筹协调各方面资源，积极促进标的公司的发展；（</w:t>
      </w:r>
      <w:r>
        <w:rPr>
          <w:rFonts w:hint="eastAsia"/>
          <w:sz w:val="24"/>
        </w:rPr>
        <w:t>3</w:t>
      </w:r>
      <w:r>
        <w:rPr>
          <w:rFonts w:hint="eastAsia"/>
          <w:sz w:val="24"/>
        </w:rPr>
        <w:t>）上市公司将与标的公司共同制定整体发展战略，充分发挥二者优势。上市公司后</w:t>
      </w:r>
      <w:r>
        <w:rPr>
          <w:rFonts w:hint="eastAsia"/>
          <w:sz w:val="24"/>
        </w:rPr>
        <w:lastRenderedPageBreak/>
        <w:t>续在业务、资产、财务、人员、机构等方面拟对标的公司实施整合的措施及计划安排具体如下：</w:t>
      </w:r>
    </w:p>
    <w:p w14:paraId="5DBEA2BC" w14:textId="77777777" w:rsidR="00FC5A62" w:rsidRDefault="00C76273" w:rsidP="00264594">
      <w:pPr>
        <w:spacing w:beforeLines="50" w:before="156" w:afterLines="50" w:after="156" w:line="360" w:lineRule="auto"/>
        <w:ind w:firstLineChars="200" w:firstLine="482"/>
        <w:outlineLvl w:val="3"/>
        <w:rPr>
          <w:b/>
          <w:bCs/>
          <w:sz w:val="24"/>
        </w:rPr>
      </w:pPr>
      <w:r>
        <w:rPr>
          <w:rFonts w:hint="eastAsia"/>
          <w:b/>
          <w:bCs/>
          <w:sz w:val="24"/>
        </w:rPr>
        <w:t>（一）业务整合</w:t>
      </w:r>
    </w:p>
    <w:p w14:paraId="7575FE1B" w14:textId="77777777" w:rsidR="00FC5A62" w:rsidRDefault="00C76273" w:rsidP="00264594">
      <w:pPr>
        <w:spacing w:beforeLines="50" w:before="156" w:afterLines="50" w:after="156" w:line="360" w:lineRule="auto"/>
        <w:ind w:firstLineChars="200" w:firstLine="480"/>
        <w:rPr>
          <w:sz w:val="24"/>
        </w:rPr>
      </w:pPr>
      <w:r>
        <w:rPr>
          <w:rFonts w:hint="eastAsia"/>
          <w:sz w:val="24"/>
        </w:rPr>
        <w:t>本次重组完成后，光伏组件生产制造将成为上市公司的主要业务之一。通过本次交易，上市公司可实现业务多元化布局，主营业务从工程施工拓展至光伏领域，进一步扩展上市公司的业务范围，增强上市公司的可持续发展能力和抗风险能力，进而提升上市公司核心竞争力。</w:t>
      </w:r>
    </w:p>
    <w:p w14:paraId="4AA23CA8" w14:textId="77777777" w:rsidR="00FC5A62" w:rsidRDefault="00C76273" w:rsidP="007E1BCE">
      <w:pPr>
        <w:spacing w:beforeLines="50" w:before="156" w:afterLines="50" w:after="156" w:line="360" w:lineRule="auto"/>
        <w:ind w:firstLineChars="200" w:firstLine="482"/>
        <w:outlineLvl w:val="3"/>
        <w:rPr>
          <w:b/>
          <w:bCs/>
          <w:sz w:val="24"/>
        </w:rPr>
      </w:pPr>
      <w:r>
        <w:rPr>
          <w:rFonts w:hint="eastAsia"/>
          <w:b/>
          <w:bCs/>
          <w:sz w:val="24"/>
        </w:rPr>
        <w:t>（二）资产整合</w:t>
      </w:r>
    </w:p>
    <w:p w14:paraId="4CFDD3C5" w14:textId="77777777" w:rsidR="00FC5A62" w:rsidRDefault="00C76273" w:rsidP="007E1BCE">
      <w:pPr>
        <w:spacing w:beforeLines="50" w:before="156" w:afterLines="50" w:after="156" w:line="360" w:lineRule="auto"/>
        <w:ind w:firstLineChars="200" w:firstLine="480"/>
        <w:rPr>
          <w:sz w:val="24"/>
        </w:rPr>
      </w:pPr>
      <w:r>
        <w:rPr>
          <w:rFonts w:hint="eastAsia"/>
          <w:sz w:val="24"/>
        </w:rPr>
        <w:t>本次重组完成后，标的公司仍将保持资产的独立性，拥有与其业务经营匹配的资产和配套设施，并将在资产购买、使用、处置、关联交易、提供担保等方面严格按照中国证监会、上交所的相关法律法规、规划性文件以及上市公司章程和相关管理制度履行相应的审批程序。同时，上市公司将根据标的公司拥有的资产状况、生产特点、业务范围等实际情况，结合自身过往对资产要素的管理经验，优化标的公司资产配置，盘活存量，用好增量，以提高资产利用效率。</w:t>
      </w:r>
    </w:p>
    <w:p w14:paraId="40B20522" w14:textId="77777777" w:rsidR="00FC5A62" w:rsidRDefault="00C76273" w:rsidP="007E1BCE">
      <w:pPr>
        <w:spacing w:beforeLines="50" w:before="156" w:afterLines="50" w:after="156" w:line="360" w:lineRule="auto"/>
        <w:ind w:firstLineChars="200" w:firstLine="482"/>
        <w:outlineLvl w:val="3"/>
        <w:rPr>
          <w:b/>
          <w:bCs/>
          <w:sz w:val="24"/>
        </w:rPr>
      </w:pPr>
      <w:r>
        <w:rPr>
          <w:rFonts w:hint="eastAsia"/>
          <w:b/>
          <w:bCs/>
          <w:sz w:val="24"/>
        </w:rPr>
        <w:t>（三）财务整合</w:t>
      </w:r>
    </w:p>
    <w:p w14:paraId="087BB7A8" w14:textId="77777777" w:rsidR="00FC5A62" w:rsidRDefault="00C76273" w:rsidP="007E1BCE">
      <w:pPr>
        <w:spacing w:beforeLines="50" w:before="156" w:afterLines="50" w:after="156" w:line="360" w:lineRule="auto"/>
        <w:ind w:firstLineChars="200" w:firstLine="480"/>
        <w:rPr>
          <w:sz w:val="24"/>
        </w:rPr>
      </w:pPr>
      <w:r>
        <w:rPr>
          <w:rFonts w:hint="eastAsia"/>
          <w:sz w:val="24"/>
        </w:rPr>
        <w:t>本次重组完成后，上市公司将根据符合上市公司治理要求的各项财务管理制度将标的公司纳入到自身规范、成熟的统一财务管理体系之中。依据标的公司自身业务模式特点和财务环境的特点，一方面将严格执行上市公司包括但不限于财务会计制度、内部控制制度、资金管理制度、预决算制度、外部审计制度、信息披露制度等各项管理制度，定期向上市公司报送财务报告和相关财务资料，接受上市公司年度审计和内部控制评价，防范财务风险。另一方面，上市公司将通过整体管控，优化资金配置和融资机制，降低公司整体融资成本，有效提升财务效率，提高其财务核算及管理能力，严格控制标的公司的各项财务风险。</w:t>
      </w:r>
    </w:p>
    <w:p w14:paraId="0D415464" w14:textId="77777777" w:rsidR="00FC5A62" w:rsidRDefault="00C76273" w:rsidP="007E1BCE">
      <w:pPr>
        <w:spacing w:beforeLines="50" w:before="156" w:afterLines="50" w:after="156" w:line="360" w:lineRule="auto"/>
        <w:ind w:firstLineChars="200" w:firstLine="482"/>
        <w:outlineLvl w:val="3"/>
        <w:rPr>
          <w:b/>
          <w:bCs/>
          <w:sz w:val="24"/>
        </w:rPr>
      </w:pPr>
      <w:r>
        <w:rPr>
          <w:rFonts w:hint="eastAsia"/>
          <w:b/>
          <w:bCs/>
          <w:sz w:val="24"/>
        </w:rPr>
        <w:t>（四）人员整合</w:t>
      </w:r>
    </w:p>
    <w:p w14:paraId="1E4F4830" w14:textId="77777777" w:rsidR="00FC5A62" w:rsidRDefault="00C76273" w:rsidP="007E1BCE">
      <w:pPr>
        <w:spacing w:beforeLines="50" w:before="156" w:afterLines="50" w:after="156" w:line="360" w:lineRule="auto"/>
        <w:ind w:firstLineChars="200" w:firstLine="480"/>
        <w:rPr>
          <w:sz w:val="24"/>
        </w:rPr>
      </w:pPr>
      <w:r>
        <w:rPr>
          <w:rFonts w:hint="eastAsia"/>
          <w:sz w:val="24"/>
        </w:rPr>
        <w:t>本次重组完成后，标的公司将成为上市公司的控股子公司。上市公司将不对标的公司现有人员作重大调整，继续保持标的公司现有管理团队和核心业务团队的稳定性，给予管理层充分授权，维持其原有业务运营管理的相对独立和持续性。</w:t>
      </w:r>
    </w:p>
    <w:p w14:paraId="62911454" w14:textId="77777777" w:rsidR="00FC5A62" w:rsidRDefault="00C76273" w:rsidP="007E1BCE">
      <w:pPr>
        <w:spacing w:beforeLines="50" w:before="156" w:afterLines="50" w:after="156" w:line="360" w:lineRule="auto"/>
        <w:ind w:firstLineChars="200" w:firstLine="480"/>
        <w:rPr>
          <w:sz w:val="24"/>
        </w:rPr>
      </w:pPr>
      <w:r>
        <w:rPr>
          <w:rFonts w:hint="eastAsia"/>
          <w:sz w:val="24"/>
        </w:rPr>
        <w:lastRenderedPageBreak/>
        <w:t>同时，上市公司将通过营造公司特色文化氛围的方式提高员工的企业文化认同感、增强团队凝聚力；通过落实和加强与标的公司在业务、管理等方面的协同发展，促进各区域、各业务部门和团队间的认识与交流，降低因信息不对称导致的整合风险；通过定期召开经营会议等方式加强上市公司与标的公司及其下属子公司之间的交流和信息共享，建立共同认同的价值观和发展战略；通过完善公司人力资源制度以推动标的公司核心团队的建设、健全人才培养机制，强化对核心人员竞业禁止的管理，并适时推出具备可行性的综合长效激励方案，加强对优秀人才的吸引力，从而保障上市公司与标的公司现有经营团队的稳定。</w:t>
      </w:r>
    </w:p>
    <w:p w14:paraId="72C5D1E0" w14:textId="77777777" w:rsidR="00FC5A62" w:rsidRDefault="00C76273" w:rsidP="007E1BCE">
      <w:pPr>
        <w:spacing w:beforeLines="50" w:before="156" w:afterLines="50" w:after="156" w:line="360" w:lineRule="auto"/>
        <w:ind w:firstLineChars="200" w:firstLine="480"/>
        <w:rPr>
          <w:sz w:val="24"/>
        </w:rPr>
      </w:pPr>
      <w:r>
        <w:rPr>
          <w:rFonts w:hint="eastAsia"/>
          <w:sz w:val="24"/>
        </w:rPr>
        <w:t>本次交易完成后，标的公司保持核心人员稳定的相关具体安排如下：</w:t>
      </w:r>
    </w:p>
    <w:p w14:paraId="2A1165C7" w14:textId="77777777" w:rsidR="00FC5A62" w:rsidRDefault="00C76273" w:rsidP="007E1BCE">
      <w:pPr>
        <w:spacing w:beforeLines="50" w:before="156" w:afterLines="50" w:after="156" w:line="360" w:lineRule="auto"/>
        <w:ind w:firstLineChars="200" w:firstLine="482"/>
        <w:rPr>
          <w:b/>
          <w:bCs/>
          <w:sz w:val="24"/>
        </w:rPr>
      </w:pPr>
      <w:r>
        <w:rPr>
          <w:rFonts w:hint="eastAsia"/>
          <w:b/>
          <w:bCs/>
          <w:sz w:val="24"/>
        </w:rPr>
        <w:t>1</w:t>
      </w:r>
      <w:r>
        <w:rPr>
          <w:rFonts w:hint="eastAsia"/>
          <w:b/>
          <w:bCs/>
          <w:sz w:val="24"/>
        </w:rPr>
        <w:t>、劳动</w:t>
      </w:r>
      <w:proofErr w:type="gramStart"/>
      <w:r>
        <w:rPr>
          <w:rFonts w:hint="eastAsia"/>
          <w:b/>
          <w:bCs/>
          <w:sz w:val="24"/>
        </w:rPr>
        <w:t>合同及竞业</w:t>
      </w:r>
      <w:proofErr w:type="gramEnd"/>
      <w:r>
        <w:rPr>
          <w:rFonts w:hint="eastAsia"/>
          <w:b/>
          <w:bCs/>
          <w:sz w:val="24"/>
        </w:rPr>
        <w:t>禁止协议</w:t>
      </w:r>
    </w:p>
    <w:p w14:paraId="787A503E" w14:textId="7974912D" w:rsidR="00FC5A62" w:rsidRDefault="00C76273" w:rsidP="007E1BCE">
      <w:pPr>
        <w:spacing w:beforeLines="50" w:before="156" w:afterLines="50" w:after="156" w:line="360" w:lineRule="auto"/>
        <w:ind w:firstLineChars="200" w:firstLine="480"/>
        <w:rPr>
          <w:sz w:val="24"/>
        </w:rPr>
      </w:pPr>
      <w:r>
        <w:rPr>
          <w:rFonts w:hint="eastAsia"/>
          <w:sz w:val="24"/>
        </w:rPr>
        <w:t>截至本回复出具之日，博达新能已与核心技术人员签订了正式的劳动合同及相关竞业禁止协议。标的公司目前核心技术人员均在公司任职多年，且大部分</w:t>
      </w:r>
      <w:proofErr w:type="gramStart"/>
      <w:r>
        <w:rPr>
          <w:rFonts w:hint="eastAsia"/>
          <w:sz w:val="24"/>
        </w:rPr>
        <w:t>均签署了无</w:t>
      </w:r>
      <w:proofErr w:type="gramEnd"/>
      <w:r>
        <w:rPr>
          <w:rFonts w:hint="eastAsia"/>
          <w:sz w:val="24"/>
        </w:rPr>
        <w:t>固定期限劳动合同，具有较好的稳定性。</w:t>
      </w:r>
    </w:p>
    <w:p w14:paraId="07654945" w14:textId="77777777" w:rsidR="00FC5A62" w:rsidRDefault="00C76273" w:rsidP="007E1BCE">
      <w:pPr>
        <w:spacing w:beforeLines="50" w:before="156" w:afterLines="50" w:after="156" w:line="360" w:lineRule="auto"/>
        <w:ind w:firstLineChars="200" w:firstLine="482"/>
        <w:rPr>
          <w:b/>
          <w:bCs/>
          <w:sz w:val="24"/>
        </w:rPr>
      </w:pPr>
      <w:r>
        <w:rPr>
          <w:rFonts w:hint="eastAsia"/>
          <w:b/>
          <w:bCs/>
          <w:sz w:val="24"/>
        </w:rPr>
        <w:t>2</w:t>
      </w:r>
      <w:r>
        <w:rPr>
          <w:rFonts w:hint="eastAsia"/>
          <w:b/>
          <w:bCs/>
          <w:sz w:val="24"/>
        </w:rPr>
        <w:t>、完善薪酬及激励机制</w:t>
      </w:r>
    </w:p>
    <w:p w14:paraId="53B8A186" w14:textId="77777777" w:rsidR="00FC5A62" w:rsidRDefault="00C76273" w:rsidP="007E1BCE">
      <w:pPr>
        <w:spacing w:beforeLines="50" w:before="156" w:afterLines="50" w:after="156" w:line="360" w:lineRule="auto"/>
        <w:ind w:firstLineChars="200" w:firstLine="480"/>
        <w:rPr>
          <w:sz w:val="24"/>
        </w:rPr>
      </w:pPr>
      <w:r>
        <w:rPr>
          <w:rFonts w:hint="eastAsia"/>
          <w:sz w:val="24"/>
        </w:rPr>
        <w:t>为吸引和保持一支高素质的经营管理队伍，标的公司设立了长期有效的员工股权激励计划，从职级维度、岗位重要性维度、领导力维度、潜力维度等多个维度筛选激励人员。同时，标的公司通过设置锁定</w:t>
      </w:r>
      <w:proofErr w:type="gramStart"/>
      <w:r>
        <w:rPr>
          <w:rFonts w:hint="eastAsia"/>
          <w:sz w:val="24"/>
        </w:rPr>
        <w:t>期保持</w:t>
      </w:r>
      <w:proofErr w:type="gramEnd"/>
      <w:r>
        <w:rPr>
          <w:rFonts w:hint="eastAsia"/>
          <w:sz w:val="24"/>
        </w:rPr>
        <w:t>员工长期服务的稳定性，本次实施的员工股权激励计划锁定期为自</w:t>
      </w:r>
      <w:r>
        <w:rPr>
          <w:rFonts w:hint="eastAsia"/>
          <w:sz w:val="24"/>
        </w:rPr>
        <w:t>2023</w:t>
      </w:r>
      <w:r>
        <w:rPr>
          <w:rFonts w:hint="eastAsia"/>
          <w:sz w:val="24"/>
        </w:rPr>
        <w:t>年</w:t>
      </w:r>
      <w:r>
        <w:rPr>
          <w:rFonts w:hint="eastAsia"/>
          <w:sz w:val="24"/>
        </w:rPr>
        <w:t>8</w:t>
      </w:r>
      <w:r>
        <w:rPr>
          <w:rFonts w:hint="eastAsia"/>
          <w:sz w:val="24"/>
        </w:rPr>
        <w:t>月</w:t>
      </w:r>
      <w:r>
        <w:rPr>
          <w:rFonts w:hint="eastAsia"/>
          <w:sz w:val="24"/>
        </w:rPr>
        <w:t>30</w:t>
      </w:r>
      <w:r>
        <w:rPr>
          <w:rFonts w:hint="eastAsia"/>
          <w:sz w:val="24"/>
        </w:rPr>
        <w:t>日起至</w:t>
      </w:r>
      <w:r>
        <w:rPr>
          <w:rFonts w:hint="eastAsia"/>
          <w:sz w:val="24"/>
        </w:rPr>
        <w:t>2027</w:t>
      </w:r>
      <w:r>
        <w:rPr>
          <w:rFonts w:hint="eastAsia"/>
          <w:sz w:val="24"/>
        </w:rPr>
        <w:t>年</w:t>
      </w:r>
      <w:r>
        <w:rPr>
          <w:rFonts w:hint="eastAsia"/>
          <w:sz w:val="24"/>
        </w:rPr>
        <w:t>6</w:t>
      </w:r>
      <w:r>
        <w:rPr>
          <w:rFonts w:hint="eastAsia"/>
          <w:sz w:val="24"/>
        </w:rPr>
        <w:t>月</w:t>
      </w:r>
      <w:r>
        <w:rPr>
          <w:rFonts w:hint="eastAsia"/>
          <w:sz w:val="24"/>
        </w:rPr>
        <w:t>30</w:t>
      </w:r>
      <w:r>
        <w:rPr>
          <w:rFonts w:hint="eastAsia"/>
          <w:sz w:val="24"/>
        </w:rPr>
        <w:t>日止。锁定期结束后可分批次行权（亦指“出售”），行权批次不少于</w:t>
      </w:r>
      <w:r>
        <w:rPr>
          <w:rFonts w:hint="eastAsia"/>
          <w:sz w:val="24"/>
        </w:rPr>
        <w:t>2</w:t>
      </w:r>
      <w:r>
        <w:rPr>
          <w:rFonts w:hint="eastAsia"/>
          <w:sz w:val="24"/>
        </w:rPr>
        <w:t>次，行权批次间隔时长不低于</w:t>
      </w:r>
      <w:r>
        <w:rPr>
          <w:rFonts w:hint="eastAsia"/>
          <w:sz w:val="24"/>
        </w:rPr>
        <w:t>12</w:t>
      </w:r>
      <w:r>
        <w:rPr>
          <w:rFonts w:hint="eastAsia"/>
          <w:sz w:val="24"/>
        </w:rPr>
        <w:t>个月，每次行权不高于股数的</w:t>
      </w:r>
      <w:r>
        <w:rPr>
          <w:rFonts w:hint="eastAsia"/>
          <w:sz w:val="24"/>
        </w:rPr>
        <w:t>50%</w:t>
      </w:r>
      <w:r>
        <w:rPr>
          <w:rFonts w:hint="eastAsia"/>
          <w:sz w:val="24"/>
        </w:rPr>
        <w:t>。</w:t>
      </w:r>
    </w:p>
    <w:p w14:paraId="6D197A21" w14:textId="77777777" w:rsidR="00FC5A62" w:rsidRDefault="00C76273" w:rsidP="007E1BCE">
      <w:pPr>
        <w:spacing w:beforeLines="50" w:before="156" w:afterLines="50" w:after="156" w:line="360" w:lineRule="auto"/>
        <w:ind w:firstLineChars="200" w:firstLine="480"/>
        <w:rPr>
          <w:sz w:val="24"/>
        </w:rPr>
      </w:pPr>
      <w:r>
        <w:rPr>
          <w:rFonts w:hint="eastAsia"/>
          <w:sz w:val="24"/>
        </w:rPr>
        <w:t>此外，上市公司与标的公司签署的业绩承诺及补偿协议中</w:t>
      </w:r>
      <w:proofErr w:type="gramStart"/>
      <w:r>
        <w:rPr>
          <w:rFonts w:hint="eastAsia"/>
          <w:sz w:val="24"/>
        </w:rPr>
        <w:t>亦设置</w:t>
      </w:r>
      <w:proofErr w:type="gramEnd"/>
      <w:r>
        <w:rPr>
          <w:rFonts w:hint="eastAsia"/>
          <w:sz w:val="24"/>
        </w:rPr>
        <w:t>了超额业绩奖励条款。若标的公司业绩承诺期内累计</w:t>
      </w:r>
      <w:proofErr w:type="gramStart"/>
      <w:r>
        <w:rPr>
          <w:rFonts w:hint="eastAsia"/>
          <w:sz w:val="24"/>
        </w:rPr>
        <w:t>实际净</w:t>
      </w:r>
      <w:proofErr w:type="gramEnd"/>
      <w:r>
        <w:rPr>
          <w:rFonts w:hint="eastAsia"/>
          <w:sz w:val="24"/>
        </w:rPr>
        <w:t>利润（即三年合计实现的合并报表口径扣除非经常性损益后归属母公司股东的净利润）超出累计承诺净利润，</w:t>
      </w:r>
      <w:proofErr w:type="gramStart"/>
      <w:r>
        <w:rPr>
          <w:rFonts w:hint="eastAsia"/>
          <w:sz w:val="24"/>
        </w:rPr>
        <w:t>则上市</w:t>
      </w:r>
      <w:proofErr w:type="gramEnd"/>
      <w:r>
        <w:rPr>
          <w:rFonts w:hint="eastAsia"/>
          <w:sz w:val="24"/>
        </w:rPr>
        <w:t>公司同意标的公司以支付现金的方式给标的公司核心团队进行超额业绩奖励，并且超额业绩奖励不得超过本次重组交易价格的</w:t>
      </w:r>
      <w:r>
        <w:rPr>
          <w:rFonts w:hint="eastAsia"/>
          <w:sz w:val="24"/>
        </w:rPr>
        <w:t>20%</w:t>
      </w:r>
      <w:r>
        <w:rPr>
          <w:rFonts w:hint="eastAsia"/>
          <w:sz w:val="24"/>
        </w:rPr>
        <w:t>，不超过其超额业绩部分的</w:t>
      </w:r>
      <w:r>
        <w:rPr>
          <w:rFonts w:hint="eastAsia"/>
          <w:sz w:val="24"/>
        </w:rPr>
        <w:t>40%</w:t>
      </w:r>
      <w:r>
        <w:rPr>
          <w:rFonts w:hint="eastAsia"/>
          <w:sz w:val="24"/>
        </w:rPr>
        <w:t>。</w:t>
      </w:r>
    </w:p>
    <w:p w14:paraId="056F25C6" w14:textId="77777777" w:rsidR="00FC5A62" w:rsidRDefault="00C76273" w:rsidP="007E1BCE">
      <w:pPr>
        <w:spacing w:beforeLines="50" w:before="156" w:afterLines="50" w:after="156" w:line="360" w:lineRule="auto"/>
        <w:ind w:firstLineChars="200" w:firstLine="480"/>
        <w:rPr>
          <w:sz w:val="24"/>
        </w:rPr>
      </w:pPr>
      <w:r>
        <w:rPr>
          <w:rFonts w:hint="eastAsia"/>
          <w:sz w:val="24"/>
        </w:rPr>
        <w:t>因此，本次重组完成后标的公司会继续保持现有管理团队和核心业务团队的</w:t>
      </w:r>
      <w:r>
        <w:rPr>
          <w:rFonts w:hint="eastAsia"/>
          <w:sz w:val="24"/>
        </w:rPr>
        <w:lastRenderedPageBreak/>
        <w:t>稳定性并通过完善的薪酬及激励机制激发管理团队和核心业务团队的积极性，进而维持其原有业务运营管理的相对独立和持续性。</w:t>
      </w:r>
    </w:p>
    <w:p w14:paraId="1408D20F" w14:textId="77777777" w:rsidR="00FC5A62" w:rsidRDefault="00C76273" w:rsidP="00DD707B">
      <w:pPr>
        <w:spacing w:beforeLines="50" w:before="156" w:afterLines="50" w:after="156" w:line="360" w:lineRule="auto"/>
        <w:ind w:firstLineChars="200" w:firstLine="482"/>
        <w:outlineLvl w:val="3"/>
        <w:rPr>
          <w:b/>
          <w:bCs/>
          <w:sz w:val="24"/>
        </w:rPr>
      </w:pPr>
      <w:r>
        <w:rPr>
          <w:rFonts w:hint="eastAsia"/>
          <w:b/>
          <w:bCs/>
          <w:sz w:val="24"/>
        </w:rPr>
        <w:t>（五）机构整合</w:t>
      </w:r>
    </w:p>
    <w:p w14:paraId="316F349C" w14:textId="77777777" w:rsidR="00FC5A62" w:rsidRDefault="00C76273" w:rsidP="00DD707B">
      <w:pPr>
        <w:spacing w:beforeLines="50" w:before="156" w:afterLines="50" w:after="156" w:line="360" w:lineRule="auto"/>
        <w:ind w:firstLineChars="200" w:firstLine="480"/>
        <w:rPr>
          <w:sz w:val="24"/>
        </w:rPr>
      </w:pPr>
      <w:r>
        <w:rPr>
          <w:rFonts w:hint="eastAsia"/>
          <w:sz w:val="24"/>
        </w:rPr>
        <w:t>本次重组完成后，标的公司将成为上市公司的控股子公司，其生产经营与日常管理将与上市公司实现全面衔接并纳入统一管理体系。标的公司将继续以独立法人形式存在，作为上市公司的独立子公司运营，其现有的组织结构基本不变；上市公司的机构设置亦不会发生重大变化。上市公司将结合标的公司的特点对其原有的管理制度和体系进行补充和完善，使其在公司治理、内部控制以及信息披露等方面达到上市公司的标准，同时保持与子公司的沟通与协作，增强双方的协同效应。未来上市公司将根据《公司法》《公司章程》等的规定和要求履行股东义务并行使股东权利，积极参与并支持各标的公司的运营管理和决策。</w:t>
      </w:r>
    </w:p>
    <w:p w14:paraId="12421021" w14:textId="77777777" w:rsidR="00FC5A62" w:rsidRDefault="00C76273" w:rsidP="00DD707B">
      <w:pPr>
        <w:spacing w:beforeLines="50" w:before="156" w:afterLines="50" w:after="156" w:line="360" w:lineRule="auto"/>
        <w:ind w:firstLineChars="200" w:firstLine="480"/>
        <w:rPr>
          <w:sz w:val="24"/>
        </w:rPr>
      </w:pPr>
      <w:r>
        <w:rPr>
          <w:rFonts w:hint="eastAsia"/>
          <w:sz w:val="24"/>
        </w:rPr>
        <w:t>综上所述，当前公司的首要目标是完成重大资产重组工作，并不断增强与标的公司在人员、业务、管理架构等方面的整合。本次交易完成后，公司资产质量以及盈利能力得到有效提升。同时，公司将继续专注主营业务，充分利用本次交易带来的新业务增长点为公司未来长期发展积蓄力量。</w:t>
      </w:r>
    </w:p>
    <w:p w14:paraId="0B717219" w14:textId="77777777" w:rsidR="00FC5A62" w:rsidRPr="008A1A3A" w:rsidRDefault="00C76273" w:rsidP="00DD707B">
      <w:pPr>
        <w:spacing w:beforeLines="50" w:before="156" w:afterLines="50" w:after="156" w:line="360" w:lineRule="auto"/>
        <w:ind w:firstLineChars="200" w:firstLine="480"/>
        <w:rPr>
          <w:sz w:val="24"/>
        </w:rPr>
      </w:pPr>
      <w:r>
        <w:rPr>
          <w:rFonts w:hint="eastAsia"/>
          <w:sz w:val="24"/>
        </w:rPr>
        <w:t>上市公司已于《安徽省交通建设股份有限公司发行股份购买资产并募集配套资金暨关联交易预案（修订稿）》“第一节</w:t>
      </w:r>
      <w:r>
        <w:rPr>
          <w:rFonts w:hint="eastAsia"/>
          <w:sz w:val="24"/>
        </w:rPr>
        <w:t xml:space="preserve"> </w:t>
      </w:r>
      <w:r>
        <w:rPr>
          <w:rFonts w:hint="eastAsia"/>
          <w:sz w:val="24"/>
        </w:rPr>
        <w:t>本次交易概况”之“二、本次交易的具体方案”</w:t>
      </w:r>
      <w:r>
        <w:rPr>
          <w:rFonts w:hint="eastAsia"/>
          <w:sz w:val="24"/>
        </w:rPr>
        <w:t xml:space="preserve"> </w:t>
      </w:r>
      <w:r>
        <w:rPr>
          <w:rFonts w:hint="eastAsia"/>
          <w:sz w:val="24"/>
        </w:rPr>
        <w:t>之</w:t>
      </w:r>
      <w:r>
        <w:rPr>
          <w:rFonts w:hint="eastAsia"/>
          <w:sz w:val="24"/>
        </w:rPr>
        <w:t xml:space="preserve"> </w:t>
      </w:r>
      <w:r>
        <w:rPr>
          <w:rFonts w:hint="eastAsia"/>
          <w:sz w:val="24"/>
        </w:rPr>
        <w:t>“（四）本次交易完成后的整合计划”中补充披露后续拟对标的公司实施整合的具体措施及计划安排。</w:t>
      </w:r>
    </w:p>
    <w:p w14:paraId="2A0B053B" w14:textId="77777777" w:rsidR="00FC5A62" w:rsidRDefault="00C76273" w:rsidP="00DD707B">
      <w:pPr>
        <w:spacing w:beforeLines="50" w:before="156" w:afterLines="50" w:after="156" w:line="360" w:lineRule="auto"/>
        <w:ind w:firstLineChars="200" w:firstLine="482"/>
        <w:outlineLvl w:val="2"/>
        <w:rPr>
          <w:rFonts w:asciiTheme="majorEastAsia" w:eastAsiaTheme="majorEastAsia" w:hAnsiTheme="majorEastAsia"/>
          <w:b/>
          <w:bCs/>
          <w:sz w:val="24"/>
        </w:rPr>
      </w:pPr>
      <w:r>
        <w:rPr>
          <w:rFonts w:asciiTheme="majorEastAsia" w:eastAsiaTheme="majorEastAsia" w:hAnsiTheme="majorEastAsia" w:hint="eastAsia"/>
          <w:b/>
          <w:bCs/>
          <w:sz w:val="24"/>
        </w:rPr>
        <w:t>二、结合公司现有的经验、人员及技术等储备，以及前述整合措施及计划，说明在主营业务、主要生产区域有较大差异的情况下，公司后续能否对标的公司经营和财务等方面实施有效管控。</w:t>
      </w:r>
    </w:p>
    <w:p w14:paraId="03D465CE" w14:textId="77777777" w:rsidR="00FC5A62" w:rsidRDefault="00C76273" w:rsidP="00DD707B">
      <w:pPr>
        <w:spacing w:beforeLines="50" w:before="156" w:afterLines="50" w:after="156" w:line="360" w:lineRule="auto"/>
        <w:ind w:firstLineChars="200" w:firstLine="482"/>
        <w:outlineLvl w:val="3"/>
        <w:rPr>
          <w:rFonts w:eastAsiaTheme="majorEastAsia"/>
          <w:b/>
          <w:bCs/>
          <w:sz w:val="24"/>
        </w:rPr>
      </w:pPr>
      <w:r>
        <w:rPr>
          <w:rFonts w:eastAsiaTheme="majorEastAsia" w:hint="eastAsia"/>
          <w:b/>
          <w:bCs/>
          <w:sz w:val="24"/>
        </w:rPr>
        <w:t>（一）上市公司在现有的经验、人员及技术等储备和整合措施</w:t>
      </w:r>
    </w:p>
    <w:p w14:paraId="06523A40"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上市公司现有的经验、人员及技术等储备，以及前述整合措施及计划情况具体如下：</w:t>
      </w:r>
    </w:p>
    <w:p w14:paraId="1B915563" w14:textId="77777777" w:rsidR="00FC5A62" w:rsidRDefault="00C76273" w:rsidP="00DD707B">
      <w:pPr>
        <w:spacing w:beforeLines="50" w:before="156" w:afterLines="50" w:after="156" w:line="360" w:lineRule="auto"/>
        <w:ind w:firstLineChars="200" w:firstLine="482"/>
        <w:outlineLvl w:val="4"/>
        <w:rPr>
          <w:rFonts w:eastAsiaTheme="majorEastAsia"/>
          <w:b/>
          <w:bCs/>
          <w:sz w:val="24"/>
        </w:rPr>
      </w:pPr>
      <w:r>
        <w:rPr>
          <w:rFonts w:eastAsiaTheme="majorEastAsia" w:hint="eastAsia"/>
          <w:b/>
          <w:bCs/>
          <w:sz w:val="24"/>
        </w:rPr>
        <w:t>1</w:t>
      </w:r>
      <w:r>
        <w:rPr>
          <w:rFonts w:eastAsiaTheme="majorEastAsia" w:hint="eastAsia"/>
          <w:b/>
          <w:bCs/>
          <w:sz w:val="24"/>
        </w:rPr>
        <w:t>、内控管理经验和运营能力储备及整合措施</w:t>
      </w:r>
    </w:p>
    <w:p w14:paraId="318569EB"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lastRenderedPageBreak/>
        <w:t>上市公司具备丰富的内控管理经验和卓越的运营管理能力。自上市以来，公司不断完善内控体系，提升内控管理工作水平，优化公司治理结构，严格履行信息披露义务，使内部控制的完整性、合理性和有效性进一步增强，为公司稳健发展持续提供坚实的基础和保障。公司通过多年来的实践和总结，已经逐步形成了有效的目标考核机制、科学合理的项目策划管理体系、“先策划、后控制”的动态成本管理思想、“标准流程化、流程信息化”的管</w:t>
      </w:r>
      <w:proofErr w:type="gramStart"/>
      <w:r>
        <w:rPr>
          <w:rFonts w:eastAsiaTheme="majorEastAsia" w:hint="eastAsia"/>
          <w:sz w:val="24"/>
        </w:rPr>
        <w:t>控手段</w:t>
      </w:r>
      <w:proofErr w:type="gramEnd"/>
      <w:r>
        <w:rPr>
          <w:rFonts w:eastAsiaTheme="majorEastAsia" w:hint="eastAsia"/>
          <w:sz w:val="24"/>
        </w:rPr>
        <w:t>等为核心的项目管理模式，提高项目管理效率，保证了项目的品质。</w:t>
      </w:r>
    </w:p>
    <w:p w14:paraId="663D23A0"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本次交易完成后，标的公司将成为上市公司的控股子公司，上市公司将依据实际情况，借助多年积累的内控管理经验和运营能力储备充分快速地理解标的公司业务体系，能够在后续经营和财务管理上为控制和运营资产提供坚实的基础。同时公司将在上市公司的层面上把握更多的产业机会，进一步提升对标的资产原有资产的运营和管理水平，严格按照上市公司的相关要求规范运作，提高资产使用效率。</w:t>
      </w:r>
    </w:p>
    <w:p w14:paraId="528CA75C" w14:textId="77777777" w:rsidR="00FC5A62" w:rsidRDefault="00C76273" w:rsidP="00DD707B">
      <w:pPr>
        <w:spacing w:beforeLines="50" w:before="156" w:afterLines="50" w:after="156" w:line="360" w:lineRule="auto"/>
        <w:ind w:firstLineChars="200" w:firstLine="482"/>
        <w:outlineLvl w:val="4"/>
        <w:rPr>
          <w:rFonts w:eastAsiaTheme="majorEastAsia"/>
          <w:b/>
          <w:bCs/>
          <w:sz w:val="24"/>
        </w:rPr>
      </w:pPr>
      <w:r>
        <w:rPr>
          <w:rFonts w:eastAsiaTheme="majorEastAsia" w:hint="eastAsia"/>
          <w:b/>
          <w:bCs/>
          <w:sz w:val="24"/>
        </w:rPr>
        <w:t>2</w:t>
      </w:r>
      <w:r>
        <w:rPr>
          <w:rFonts w:eastAsiaTheme="majorEastAsia" w:hint="eastAsia"/>
          <w:b/>
          <w:bCs/>
          <w:sz w:val="24"/>
        </w:rPr>
        <w:t>、人员储备及整合措施</w:t>
      </w:r>
    </w:p>
    <w:p w14:paraId="78FD6662"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上市公司通过自身多年的行业经验，培养了一支稳定的经营团队，其核心管理运营团队成员多数拥有十年以上从业经验和较强的专业能力。同时，上市公司不断完善人力资源标准化体系建设，注重人才梯队建设和骨干人员的培养，打造了一支专业化、有活力的技术人才团队。</w:t>
      </w:r>
    </w:p>
    <w:p w14:paraId="2C4DC85F"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本次重组完成后，公司将结合业务发展需求，根据标的公司所在光</w:t>
      </w:r>
      <w:proofErr w:type="gramStart"/>
      <w:r>
        <w:rPr>
          <w:rFonts w:eastAsiaTheme="majorEastAsia" w:hint="eastAsia"/>
          <w:sz w:val="24"/>
        </w:rPr>
        <w:t>伏行业</w:t>
      </w:r>
      <w:proofErr w:type="gramEnd"/>
      <w:r>
        <w:rPr>
          <w:rFonts w:eastAsiaTheme="majorEastAsia" w:hint="eastAsia"/>
          <w:sz w:val="24"/>
        </w:rPr>
        <w:t>的特性，在充分利用现有人才资源的基础上，不断加强相关专业人员储备，不断完善人才专业结构配置，不断优化激励及考核体系，营造人才发展良好生态环境，提升团队凝聚力与战斗力，全面建设满足公司业务高质量发展的人才队伍。</w:t>
      </w:r>
    </w:p>
    <w:p w14:paraId="3F0CA746"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上市公司将不对标的公司现有人员作重大调整，继续保持标的公司现有管理团队和核心业务团队的稳定性，给予管理层充分授权，维持其原有业务运营管理的相对独立和持续性。同时，上市公司将通过营造公司特色文化氛围、落实和加强与标的公司的协同发展等方式推动标的公司核心团队的建设，并强化对核心人员竞业禁止的管理，并适时推出具备可行性的综合长效激励方案，加强对优秀人才的吸引力，从而保障上市公司与标的公司现有经营团队的稳定。</w:t>
      </w:r>
    </w:p>
    <w:p w14:paraId="6379FC33" w14:textId="77777777" w:rsidR="00FC5A62" w:rsidRDefault="00C76273" w:rsidP="00DD707B">
      <w:pPr>
        <w:spacing w:beforeLines="50" w:before="156" w:afterLines="50" w:after="156" w:line="360" w:lineRule="auto"/>
        <w:ind w:firstLineChars="200" w:firstLine="482"/>
        <w:outlineLvl w:val="4"/>
        <w:rPr>
          <w:rFonts w:eastAsiaTheme="majorEastAsia"/>
          <w:b/>
          <w:bCs/>
          <w:sz w:val="24"/>
        </w:rPr>
      </w:pPr>
      <w:r>
        <w:rPr>
          <w:rFonts w:eastAsiaTheme="majorEastAsia" w:hint="eastAsia"/>
          <w:b/>
          <w:bCs/>
          <w:sz w:val="24"/>
        </w:rPr>
        <w:lastRenderedPageBreak/>
        <w:t>3</w:t>
      </w:r>
      <w:r>
        <w:rPr>
          <w:rFonts w:eastAsiaTheme="majorEastAsia" w:hint="eastAsia"/>
          <w:b/>
          <w:bCs/>
          <w:sz w:val="24"/>
        </w:rPr>
        <w:t>、技术储备及整合措施</w:t>
      </w:r>
    </w:p>
    <w:p w14:paraId="59CD0D36"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上市公司自成立以来一直从事公路、市政基础设施建设，深耕工程施工领域，具备丰富的项目管理经验和过硬的工程品质，在行业内拥有着良好的品牌形象和优秀的工程业绩，已成为行业内具备较强影响力的综合型施工企业。近年来，公司以服务施工现场、打造核心能力、构建创新平台为目标，不断加大科技研发投入，提升科技创新能力。已形成发明专利</w:t>
      </w:r>
      <w:r>
        <w:rPr>
          <w:rFonts w:eastAsiaTheme="majorEastAsia" w:hint="eastAsia"/>
          <w:sz w:val="24"/>
        </w:rPr>
        <w:t>25</w:t>
      </w:r>
      <w:r>
        <w:rPr>
          <w:rFonts w:eastAsiaTheme="majorEastAsia" w:hint="eastAsia"/>
          <w:sz w:val="24"/>
        </w:rPr>
        <w:t>项，省部级、国家级工法</w:t>
      </w:r>
      <w:r>
        <w:rPr>
          <w:rFonts w:eastAsiaTheme="majorEastAsia" w:hint="eastAsia"/>
          <w:sz w:val="24"/>
        </w:rPr>
        <w:t>58</w:t>
      </w:r>
      <w:r>
        <w:rPr>
          <w:rFonts w:eastAsiaTheme="majorEastAsia" w:hint="eastAsia"/>
          <w:sz w:val="24"/>
        </w:rPr>
        <w:t>项，省部级科技奖</w:t>
      </w:r>
      <w:r>
        <w:rPr>
          <w:rFonts w:eastAsiaTheme="majorEastAsia" w:hint="eastAsia"/>
          <w:sz w:val="24"/>
        </w:rPr>
        <w:t>42</w:t>
      </w:r>
      <w:r>
        <w:rPr>
          <w:rFonts w:eastAsiaTheme="majorEastAsia" w:hint="eastAsia"/>
          <w:sz w:val="24"/>
        </w:rPr>
        <w:t>项，标准</w:t>
      </w:r>
      <w:r>
        <w:rPr>
          <w:rFonts w:eastAsiaTheme="majorEastAsia" w:hint="eastAsia"/>
          <w:sz w:val="24"/>
        </w:rPr>
        <w:t>10</w:t>
      </w:r>
      <w:r>
        <w:rPr>
          <w:rFonts w:eastAsiaTheme="majorEastAsia" w:hint="eastAsia"/>
          <w:sz w:val="24"/>
        </w:rPr>
        <w:t>项。</w:t>
      </w:r>
    </w:p>
    <w:p w14:paraId="2A80C4E8" w14:textId="39D89553"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2023</w:t>
      </w:r>
      <w:r>
        <w:rPr>
          <w:rFonts w:eastAsiaTheme="majorEastAsia" w:hint="eastAsia"/>
          <w:sz w:val="24"/>
        </w:rPr>
        <w:t>年，为深化公</w:t>
      </w:r>
      <w:r w:rsidR="006C4971">
        <w:rPr>
          <w:rFonts w:eastAsiaTheme="majorEastAsia" w:hint="eastAsia"/>
          <w:sz w:val="24"/>
        </w:rPr>
        <w:t>司</w:t>
      </w:r>
      <w:r>
        <w:rPr>
          <w:rFonts w:eastAsiaTheme="majorEastAsia" w:hint="eastAsia"/>
          <w:sz w:val="24"/>
        </w:rPr>
        <w:t>产业链向工业化、智能化、低碳型产业延伸，科学合理的促进产业转型升级，上市公司新取得电力工程施工总承包贰级资质，并组建电力施工技术团队，努力拓展承接电力工程项目</w:t>
      </w:r>
      <w:r>
        <w:rPr>
          <w:rFonts w:eastAsiaTheme="majorEastAsia" w:hint="eastAsia"/>
          <w:sz w:val="24"/>
        </w:rPr>
        <w:t>,</w:t>
      </w:r>
      <w:r>
        <w:rPr>
          <w:rFonts w:eastAsiaTheme="majorEastAsia" w:hint="eastAsia"/>
          <w:sz w:val="24"/>
        </w:rPr>
        <w:t>积极探索新基建、新能源施工业务</w:t>
      </w:r>
      <w:r>
        <w:rPr>
          <w:rFonts w:eastAsiaTheme="majorEastAsia" w:hint="eastAsia"/>
          <w:sz w:val="24"/>
        </w:rPr>
        <w:t>,</w:t>
      </w:r>
      <w:r>
        <w:rPr>
          <w:rFonts w:eastAsiaTheme="majorEastAsia" w:hint="eastAsia"/>
          <w:sz w:val="24"/>
        </w:rPr>
        <w:t>促进公司产业转型升级。</w:t>
      </w:r>
    </w:p>
    <w:p w14:paraId="290ECE87" w14:textId="77777777" w:rsidR="00FC5A62" w:rsidRDefault="00C76273" w:rsidP="00DD707B">
      <w:pPr>
        <w:spacing w:beforeLines="50" w:before="156" w:afterLines="50" w:after="156" w:line="360" w:lineRule="auto"/>
        <w:ind w:firstLineChars="200" w:firstLine="482"/>
        <w:outlineLvl w:val="3"/>
        <w:rPr>
          <w:rFonts w:eastAsiaTheme="majorEastAsia"/>
          <w:b/>
          <w:bCs/>
          <w:sz w:val="24"/>
        </w:rPr>
      </w:pPr>
      <w:r>
        <w:rPr>
          <w:rFonts w:eastAsiaTheme="majorEastAsia" w:hint="eastAsia"/>
          <w:b/>
          <w:bCs/>
          <w:sz w:val="24"/>
        </w:rPr>
        <w:t>（二）主营业务差异较大情况下的应对措施</w:t>
      </w:r>
    </w:p>
    <w:p w14:paraId="3815C724"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上市公司传统工程施工业务与标的公司光</w:t>
      </w:r>
      <w:proofErr w:type="gramStart"/>
      <w:r>
        <w:rPr>
          <w:rFonts w:eastAsiaTheme="majorEastAsia" w:hint="eastAsia"/>
          <w:sz w:val="24"/>
        </w:rPr>
        <w:t>伏业务</w:t>
      </w:r>
      <w:proofErr w:type="gramEnd"/>
      <w:r>
        <w:rPr>
          <w:rFonts w:eastAsiaTheme="majorEastAsia" w:hint="eastAsia"/>
          <w:sz w:val="24"/>
        </w:rPr>
        <w:t>存在较大差异，主要体现在工程施工类业务和光</w:t>
      </w:r>
      <w:proofErr w:type="gramStart"/>
      <w:r>
        <w:rPr>
          <w:rFonts w:eastAsiaTheme="majorEastAsia" w:hint="eastAsia"/>
          <w:sz w:val="24"/>
        </w:rPr>
        <w:t>伏业务</w:t>
      </w:r>
      <w:proofErr w:type="gramEnd"/>
      <w:r>
        <w:rPr>
          <w:rFonts w:eastAsiaTheme="majorEastAsia" w:hint="eastAsia"/>
          <w:sz w:val="24"/>
        </w:rPr>
        <w:t>的经营模式及业务流程存在差异，而上市公司目前在组织机构、管理制度、人力资源等管理体系方面均与工程施工业务相匹配，与光</w:t>
      </w:r>
      <w:proofErr w:type="gramStart"/>
      <w:r>
        <w:rPr>
          <w:rFonts w:eastAsiaTheme="majorEastAsia" w:hint="eastAsia"/>
          <w:sz w:val="24"/>
        </w:rPr>
        <w:t>伏行业</w:t>
      </w:r>
      <w:proofErr w:type="gramEnd"/>
      <w:r>
        <w:rPr>
          <w:rFonts w:eastAsiaTheme="majorEastAsia" w:hint="eastAsia"/>
          <w:sz w:val="24"/>
        </w:rPr>
        <w:t>存在较大的差异，可能导致现有管理体系无法适应光</w:t>
      </w:r>
      <w:proofErr w:type="gramStart"/>
      <w:r>
        <w:rPr>
          <w:rFonts w:eastAsiaTheme="majorEastAsia" w:hint="eastAsia"/>
          <w:sz w:val="24"/>
        </w:rPr>
        <w:t>伏业务</w:t>
      </w:r>
      <w:proofErr w:type="gramEnd"/>
      <w:r>
        <w:rPr>
          <w:rFonts w:eastAsiaTheme="majorEastAsia" w:hint="eastAsia"/>
          <w:sz w:val="24"/>
        </w:rPr>
        <w:t>发展需要的情况。此外，上市公司是一家在国内经营的工程施工企业，标的公司是一家具备境内</w:t>
      </w:r>
      <w:proofErr w:type="gramStart"/>
      <w:r>
        <w:rPr>
          <w:rFonts w:eastAsiaTheme="majorEastAsia" w:hint="eastAsia"/>
          <w:sz w:val="24"/>
        </w:rPr>
        <w:t>外供应</w:t>
      </w:r>
      <w:proofErr w:type="gramEnd"/>
      <w:r>
        <w:rPr>
          <w:rFonts w:eastAsiaTheme="majorEastAsia" w:hint="eastAsia"/>
          <w:sz w:val="24"/>
        </w:rPr>
        <w:t>链整合能力的全球化光伏组件生产制造和品牌企业，两种业务所受到的宏观环境影响、行业变化和风险、技术更迭、上下游关系等多个方面存在差异，同时双方在企业文化、经营环境、法律体系等方面存在较大差异。</w:t>
      </w:r>
    </w:p>
    <w:p w14:paraId="36858F76"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综上所述，本次交易完成后，上市公司存在跨界经营的风险。针对上述主营业务存在较大差异的情况，上市公司拟采取如下应对措施：</w:t>
      </w:r>
    </w:p>
    <w:p w14:paraId="3CDD8479"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1</w:t>
      </w:r>
      <w:r>
        <w:rPr>
          <w:rFonts w:eastAsiaTheme="majorEastAsia" w:hint="eastAsia"/>
          <w:sz w:val="24"/>
        </w:rPr>
        <w:t>、上市公司将以其丰富的内控管理经验和卓越的运营管理能力管控标的公司。公司未来将进一步完善内控体系，提升内控管理工作水平，优化公司治理结构，严格履行信息披露义务，使内部控制的完整性、合理性和有效性得以提升。本次交易完成后，标的公司将成为上市公司的控股子公司，上市公司将依据实际情况，借助多年积累的内控管理经验和运营能力储备充分快速地理解标的公司业</w:t>
      </w:r>
      <w:r>
        <w:rPr>
          <w:rFonts w:eastAsiaTheme="majorEastAsia" w:hint="eastAsia"/>
          <w:sz w:val="24"/>
        </w:rPr>
        <w:lastRenderedPageBreak/>
        <w:t>务体系，能够在后续经营和财务管理上为控制和运营资产提供坚实的基础。</w:t>
      </w:r>
    </w:p>
    <w:p w14:paraId="192FF14C"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sz w:val="24"/>
        </w:rPr>
        <w:t>2</w:t>
      </w:r>
      <w:r>
        <w:rPr>
          <w:rFonts w:eastAsiaTheme="majorEastAsia" w:hint="eastAsia"/>
          <w:sz w:val="24"/>
        </w:rPr>
        <w:t>、上市公司将在股东会、董事会层面对标的公司的重大事项实施管控；而光</w:t>
      </w:r>
      <w:proofErr w:type="gramStart"/>
      <w:r>
        <w:rPr>
          <w:rFonts w:eastAsiaTheme="majorEastAsia" w:hint="eastAsia"/>
          <w:sz w:val="24"/>
        </w:rPr>
        <w:t>伏业务</w:t>
      </w:r>
      <w:proofErr w:type="gramEnd"/>
      <w:r>
        <w:rPr>
          <w:rFonts w:eastAsiaTheme="majorEastAsia" w:hint="eastAsia"/>
          <w:sz w:val="24"/>
        </w:rPr>
        <w:t>的具体经营，继续由标的公司现有管理团队负责，维持标的公司日常经营管理的稳定性。同时，上市公司也将采取现场调研、检查等方式，跟踪标的公司的运营情况，增强对标的公司经营管理的掌控。</w:t>
      </w:r>
    </w:p>
    <w:p w14:paraId="5F48B431"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3</w:t>
      </w:r>
      <w:r>
        <w:rPr>
          <w:rFonts w:eastAsiaTheme="majorEastAsia" w:hint="eastAsia"/>
          <w:sz w:val="24"/>
        </w:rPr>
        <w:t>、上市公司层面将根据实际业务发展情况招聘光</w:t>
      </w:r>
      <w:proofErr w:type="gramStart"/>
      <w:r>
        <w:rPr>
          <w:rFonts w:eastAsiaTheme="majorEastAsia" w:hint="eastAsia"/>
          <w:sz w:val="24"/>
        </w:rPr>
        <w:t>伏行业</w:t>
      </w:r>
      <w:proofErr w:type="gramEnd"/>
      <w:r>
        <w:rPr>
          <w:rFonts w:eastAsiaTheme="majorEastAsia" w:hint="eastAsia"/>
          <w:sz w:val="24"/>
        </w:rPr>
        <w:t>经营领域的专业人才，为标的公司的运营管</w:t>
      </w:r>
      <w:proofErr w:type="gramStart"/>
      <w:r>
        <w:rPr>
          <w:rFonts w:eastAsiaTheme="majorEastAsia" w:hint="eastAsia"/>
          <w:sz w:val="24"/>
        </w:rPr>
        <w:t>控提供</w:t>
      </w:r>
      <w:proofErr w:type="gramEnd"/>
      <w:r>
        <w:rPr>
          <w:rFonts w:eastAsiaTheme="majorEastAsia" w:hint="eastAsia"/>
          <w:sz w:val="24"/>
        </w:rPr>
        <w:t>人力支持；并深入研究标的公司运营涉及的业务、法律等问题，化解上市公司进入光</w:t>
      </w:r>
      <w:proofErr w:type="gramStart"/>
      <w:r>
        <w:rPr>
          <w:rFonts w:eastAsiaTheme="majorEastAsia" w:hint="eastAsia"/>
          <w:sz w:val="24"/>
        </w:rPr>
        <w:t>伏行业</w:t>
      </w:r>
      <w:proofErr w:type="gramEnd"/>
      <w:r>
        <w:rPr>
          <w:rFonts w:eastAsiaTheme="majorEastAsia" w:hint="eastAsia"/>
          <w:sz w:val="24"/>
        </w:rPr>
        <w:t>面临的跨界经营风险，提高跨界管控能力。</w:t>
      </w:r>
    </w:p>
    <w:p w14:paraId="0335B5DD"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4</w:t>
      </w:r>
      <w:r>
        <w:rPr>
          <w:rFonts w:eastAsiaTheme="majorEastAsia" w:hint="eastAsia"/>
          <w:sz w:val="24"/>
        </w:rPr>
        <w:t>、上市公司将挖掘双方在管理体系和组织机构方面的优势，整合双方业务管理方面的共同点，取长补短，提高整体经营管理效率。</w:t>
      </w:r>
    </w:p>
    <w:p w14:paraId="3E8E8EA4"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5</w:t>
      </w:r>
      <w:r>
        <w:rPr>
          <w:rFonts w:eastAsiaTheme="majorEastAsia" w:hint="eastAsia"/>
          <w:sz w:val="24"/>
        </w:rPr>
        <w:t>、在保持标的公司现有管理体系和管理稳定的基础上，按照上市公司监管体系，要求标的公司进一步完善公司治理和内控体系。结合双方特点，对双方内部机构进行优化，实现上市公司与标的公司在内部管理方面的有效衔接，实现持续稳定发展的同时满足规范运作的要求。</w:t>
      </w:r>
    </w:p>
    <w:p w14:paraId="7E02FBA0"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6</w:t>
      </w:r>
      <w:r>
        <w:rPr>
          <w:rFonts w:eastAsiaTheme="majorEastAsia" w:hint="eastAsia"/>
          <w:sz w:val="24"/>
        </w:rPr>
        <w:t>、提供跨行业、跨文化的交流平台，加强双方之间对不同业务经营、不同企业文化、不同法律和社会环境等方面的沟通，实现工程施工业务和光</w:t>
      </w:r>
      <w:proofErr w:type="gramStart"/>
      <w:r>
        <w:rPr>
          <w:rFonts w:eastAsiaTheme="majorEastAsia" w:hint="eastAsia"/>
          <w:sz w:val="24"/>
        </w:rPr>
        <w:t>伏业务</w:t>
      </w:r>
      <w:proofErr w:type="gramEnd"/>
      <w:r>
        <w:rPr>
          <w:rFonts w:eastAsiaTheme="majorEastAsia" w:hint="eastAsia"/>
          <w:sz w:val="24"/>
        </w:rPr>
        <w:t>之间的有效整合。</w:t>
      </w:r>
    </w:p>
    <w:p w14:paraId="537C15FF" w14:textId="77777777" w:rsidR="00FC5A62" w:rsidRDefault="00C76273" w:rsidP="00DD707B">
      <w:pPr>
        <w:spacing w:beforeLines="50" w:before="156" w:afterLines="50" w:after="156" w:line="360" w:lineRule="auto"/>
        <w:ind w:firstLineChars="200" w:firstLine="482"/>
        <w:outlineLvl w:val="3"/>
        <w:rPr>
          <w:rFonts w:eastAsiaTheme="majorEastAsia"/>
          <w:b/>
          <w:bCs/>
          <w:sz w:val="24"/>
        </w:rPr>
      </w:pPr>
      <w:r>
        <w:rPr>
          <w:rFonts w:eastAsiaTheme="majorEastAsia" w:hint="eastAsia"/>
          <w:b/>
          <w:bCs/>
          <w:sz w:val="24"/>
        </w:rPr>
        <w:t>（三）主要生产区域差异较大情况下的应对措施</w:t>
      </w:r>
    </w:p>
    <w:p w14:paraId="5A64AEA1"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由于标的公司在境外拥有控股子公司，其销售业务主体主要分布在美国地区，生产业务主体主要分布在越南、柬埔寨等东南亚地区，同时标的公司主营业务收入以境外销售收入为主，其境外收入可能受到贸易政策、产业政策、法律政策、政治经济形势等因素变化的影响。</w:t>
      </w:r>
    </w:p>
    <w:p w14:paraId="638C2BE8"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因此，本次交易完成后，上市公司存在跨境经营的风险。针对上述主要生产区域存在较大差异的情况，上市公司拟采取如下应对措施：</w:t>
      </w:r>
    </w:p>
    <w:p w14:paraId="137D3FD2"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1</w:t>
      </w:r>
      <w:r>
        <w:rPr>
          <w:rFonts w:eastAsiaTheme="majorEastAsia" w:hint="eastAsia"/>
          <w:sz w:val="24"/>
        </w:rPr>
        <w:t>、签署标的公司的股东协议，在标的公司股东会层面以股东会决议形式对</w:t>
      </w:r>
      <w:r>
        <w:rPr>
          <w:rFonts w:eastAsiaTheme="majorEastAsia" w:hint="eastAsia"/>
          <w:sz w:val="24"/>
        </w:rPr>
        <w:lastRenderedPageBreak/>
        <w:t>标的公司属于股东会权限的重大事项进行决策。</w:t>
      </w:r>
    </w:p>
    <w:p w14:paraId="47061B47"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2</w:t>
      </w:r>
      <w:r>
        <w:rPr>
          <w:rFonts w:eastAsiaTheme="majorEastAsia" w:hint="eastAsia"/>
          <w:sz w:val="24"/>
        </w:rPr>
        <w:t>、改组标的公司的董事会，并选派标的公司董事，以占董事会多数席位的方式，对标的公司属于董事会权限的重大事项进行决策；同时，在董事会下面，新设立了投资委员会、薪酬委员会、审计委员会等专门委员会，并新增一名独立董事担任审计委员会主席。专门委员会对董事会负责，依照《公司章程》等有关规定，保持对标的公司董事会的战略、内部控制、财务状况和运营政策的管控。</w:t>
      </w:r>
    </w:p>
    <w:p w14:paraId="50515147"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3</w:t>
      </w:r>
      <w:r>
        <w:rPr>
          <w:rFonts w:eastAsiaTheme="majorEastAsia" w:hint="eastAsia"/>
          <w:sz w:val="24"/>
        </w:rPr>
        <w:t>、维护标的公司现有核心管理团队稳定性，充分发挥其积极性；包括</w:t>
      </w:r>
      <w:r>
        <w:rPr>
          <w:rFonts w:eastAsiaTheme="majorEastAsia" w:hint="eastAsia"/>
          <w:sz w:val="24"/>
        </w:rPr>
        <w:t>CEO</w:t>
      </w:r>
      <w:r>
        <w:rPr>
          <w:rFonts w:eastAsiaTheme="majorEastAsia" w:hint="eastAsia"/>
          <w:sz w:val="24"/>
        </w:rPr>
        <w:t>和</w:t>
      </w:r>
      <w:r>
        <w:rPr>
          <w:rFonts w:eastAsiaTheme="majorEastAsia" w:hint="eastAsia"/>
          <w:sz w:val="24"/>
        </w:rPr>
        <w:t>CFO</w:t>
      </w:r>
      <w:r>
        <w:rPr>
          <w:rFonts w:eastAsiaTheme="majorEastAsia" w:hint="eastAsia"/>
          <w:sz w:val="24"/>
        </w:rPr>
        <w:t>在内的原核心管理团队继续得到留用，并由上市公司进行任命。同时，上市公司对标的公司中高层管理人员的招聘进行管控，参与标的公司的人力资源管理。</w:t>
      </w:r>
    </w:p>
    <w:p w14:paraId="5AA7EC81"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4</w:t>
      </w:r>
      <w:r>
        <w:rPr>
          <w:rFonts w:eastAsiaTheme="majorEastAsia" w:hint="eastAsia"/>
          <w:sz w:val="24"/>
        </w:rPr>
        <w:t>、在管理体系建设方面，完善授权审批制度、人员招聘制度、投资管理制度、合同管理制度等。建立上市公司与标的公司管理层之间的周沟通、月度例会、季度董事会制度；对于重大或者特殊事项，不定期与标的公司管理层进行电话、视频、电邮等方式进行沟通。在此基础上，按照上市公司监管体系，要求标的公司按照上市公司监管和规范运作的要求，进一步完善公司治理和内控体系。</w:t>
      </w:r>
    </w:p>
    <w:p w14:paraId="7728F74A"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5</w:t>
      </w:r>
      <w:r>
        <w:rPr>
          <w:rFonts w:eastAsiaTheme="majorEastAsia" w:hint="eastAsia"/>
          <w:sz w:val="24"/>
        </w:rPr>
        <w:t>、在日常运营监督方面，上市公司跟踪标的公司的日常运作，做好标的公司各类议案、重要事项的跟进、审议和反馈，对标的公司的经营数据进行分析，对标的公司的财务预算进行审核，对标的公司的重大合同、重大资金、费用支付进行审批。</w:t>
      </w:r>
    </w:p>
    <w:p w14:paraId="79A3B755"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6</w:t>
      </w:r>
      <w:r>
        <w:rPr>
          <w:rFonts w:eastAsiaTheme="majorEastAsia" w:hint="eastAsia"/>
          <w:sz w:val="24"/>
        </w:rPr>
        <w:t>、上市公司将在交易后，通过招聘熟悉国际法律法规、经营环境、社会习俗等方面的人才，加强和加深对各国各地区的了解和研究，督促标的公司在当地合法合</w:t>
      </w:r>
      <w:proofErr w:type="gramStart"/>
      <w:r>
        <w:rPr>
          <w:rFonts w:eastAsiaTheme="majorEastAsia" w:hint="eastAsia"/>
          <w:sz w:val="24"/>
        </w:rPr>
        <w:t>规</w:t>
      </w:r>
      <w:proofErr w:type="gramEnd"/>
      <w:r>
        <w:rPr>
          <w:rFonts w:eastAsiaTheme="majorEastAsia" w:hint="eastAsia"/>
          <w:sz w:val="24"/>
        </w:rPr>
        <w:t>经营。</w:t>
      </w:r>
    </w:p>
    <w:p w14:paraId="18BD35FC"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7</w:t>
      </w:r>
      <w:r>
        <w:rPr>
          <w:rFonts w:eastAsiaTheme="majorEastAsia" w:hint="eastAsia"/>
          <w:sz w:val="24"/>
        </w:rPr>
        <w:t>、在原有激励机制的基础上，从上市公司层面进一步完善激励机制，调动标的公司核心管理团队及其他人才的积极性，加深交易后标的公司员工对上市公司整体的认同度，提高员工归属感。</w:t>
      </w:r>
    </w:p>
    <w:p w14:paraId="2DCCD300" w14:textId="77777777" w:rsidR="00FC5A62" w:rsidRDefault="00C76273" w:rsidP="00DD707B">
      <w:pPr>
        <w:spacing w:beforeLines="50" w:before="156" w:afterLines="50" w:after="156" w:line="360" w:lineRule="auto"/>
        <w:ind w:firstLineChars="200" w:firstLine="480"/>
        <w:rPr>
          <w:rFonts w:eastAsiaTheme="majorEastAsia"/>
          <w:sz w:val="24"/>
        </w:rPr>
      </w:pPr>
      <w:r>
        <w:rPr>
          <w:rFonts w:eastAsiaTheme="majorEastAsia" w:hint="eastAsia"/>
          <w:sz w:val="24"/>
        </w:rPr>
        <w:t>综上所述，虽然上市公司与标的公司在主营业务、主要生产区域有较大差异，但上市公司具备控制、管理运营标的资产所必要的经验、人员及技术储备，收购</w:t>
      </w:r>
      <w:r>
        <w:rPr>
          <w:rFonts w:eastAsiaTheme="majorEastAsia" w:hint="eastAsia"/>
          <w:sz w:val="24"/>
        </w:rPr>
        <w:lastRenderedPageBreak/>
        <w:t>后能够对标的资产的经营及财务等方面实施有效管控；且未来收购协议中会约定业绩承诺期，业绩承诺期届满后公司仍可聘请标的公司主要经营人员参与标的公司经营管理，经过磨合后，上市公司亦将进一步具备控制、管理运营标的资产所必要的经验、人员及技术储备，进而实现对标的资产的有效管控。</w:t>
      </w:r>
    </w:p>
    <w:p w14:paraId="25C7614C" w14:textId="77777777" w:rsidR="00FC5A62" w:rsidRDefault="00FC5A62" w:rsidP="00DD707B">
      <w:pPr>
        <w:spacing w:beforeLines="50" w:before="156" w:afterLines="50" w:after="156" w:line="360" w:lineRule="auto"/>
        <w:ind w:firstLineChars="200" w:firstLine="480"/>
        <w:rPr>
          <w:rFonts w:eastAsiaTheme="majorEastAsia"/>
          <w:sz w:val="24"/>
        </w:rPr>
      </w:pPr>
    </w:p>
    <w:p w14:paraId="43344CB7" w14:textId="77777777" w:rsidR="00FC5A62" w:rsidRDefault="00C76273" w:rsidP="00DD707B">
      <w:pPr>
        <w:spacing w:beforeLines="50" w:before="156" w:afterLines="50" w:after="156" w:line="360" w:lineRule="auto"/>
        <w:ind w:firstLineChars="200" w:firstLine="480"/>
        <w:outlineLvl w:val="1"/>
        <w:rPr>
          <w:rFonts w:eastAsia="黑体"/>
          <w:sz w:val="24"/>
        </w:rPr>
      </w:pPr>
      <w:r>
        <w:rPr>
          <w:rFonts w:eastAsia="黑体" w:hint="eastAsia"/>
          <w:sz w:val="24"/>
        </w:rPr>
        <w:t>问题六</w:t>
      </w:r>
      <w:r>
        <w:rPr>
          <w:rFonts w:eastAsia="黑体"/>
          <w:sz w:val="24"/>
        </w:rPr>
        <w:t>、预案披露，交易对方博达合一设立于</w:t>
      </w:r>
      <w:r>
        <w:rPr>
          <w:rFonts w:eastAsia="黑体"/>
          <w:sz w:val="24"/>
        </w:rPr>
        <w:t>2023</w:t>
      </w:r>
      <w:r>
        <w:rPr>
          <w:rFonts w:eastAsia="黑体"/>
          <w:sz w:val="24"/>
        </w:rPr>
        <w:t>年</w:t>
      </w:r>
      <w:r>
        <w:rPr>
          <w:rFonts w:eastAsia="黑体"/>
          <w:sz w:val="24"/>
        </w:rPr>
        <w:t>3</w:t>
      </w:r>
      <w:r>
        <w:rPr>
          <w:rFonts w:eastAsia="黑体"/>
          <w:sz w:val="24"/>
        </w:rPr>
        <w:t>月，其中自然人柳敬麒、黄久瑞、员工持股平台无锡</w:t>
      </w:r>
      <w:proofErr w:type="gramStart"/>
      <w:r>
        <w:rPr>
          <w:rFonts w:eastAsia="黑体"/>
          <w:sz w:val="24"/>
        </w:rPr>
        <w:t>博太分别</w:t>
      </w:r>
      <w:proofErr w:type="gramEnd"/>
      <w:r>
        <w:rPr>
          <w:rFonts w:eastAsia="黑体"/>
          <w:sz w:val="24"/>
        </w:rPr>
        <w:t>持股</w:t>
      </w:r>
      <w:r>
        <w:rPr>
          <w:rFonts w:eastAsia="黑体"/>
          <w:sz w:val="24"/>
        </w:rPr>
        <w:t>89.3%</w:t>
      </w:r>
      <w:r>
        <w:rPr>
          <w:rFonts w:eastAsia="黑体"/>
          <w:sz w:val="24"/>
        </w:rPr>
        <w:t>、</w:t>
      </w:r>
      <w:r>
        <w:rPr>
          <w:rFonts w:eastAsia="黑体"/>
          <w:sz w:val="24"/>
        </w:rPr>
        <w:t>4.7%</w:t>
      </w:r>
      <w:r>
        <w:rPr>
          <w:rFonts w:eastAsia="黑体"/>
          <w:sz w:val="24"/>
        </w:rPr>
        <w:t>、</w:t>
      </w:r>
      <w:r>
        <w:rPr>
          <w:rFonts w:eastAsia="黑体"/>
          <w:sz w:val="24"/>
        </w:rPr>
        <w:t>6%</w:t>
      </w:r>
      <w:r>
        <w:rPr>
          <w:rFonts w:eastAsia="黑体"/>
          <w:sz w:val="24"/>
        </w:rPr>
        <w:t>，预案未披露博达合一的主要业务情况。请公司核实并说明柳敬麒、黄久瑞、无锡</w:t>
      </w:r>
      <w:proofErr w:type="gramStart"/>
      <w:r>
        <w:rPr>
          <w:rFonts w:eastAsia="黑体"/>
          <w:sz w:val="24"/>
        </w:rPr>
        <w:t>博太是否</w:t>
      </w:r>
      <w:proofErr w:type="gramEnd"/>
      <w:r>
        <w:rPr>
          <w:rFonts w:eastAsia="黑体"/>
          <w:sz w:val="24"/>
        </w:rPr>
        <w:t>存在一致行动关系，并结合上述主体持续持有权益的时间，说明交易对方博达合一是否专为本次交易设立，如是，请补充披露交易完成后</w:t>
      </w:r>
      <w:proofErr w:type="gramStart"/>
      <w:r>
        <w:rPr>
          <w:rFonts w:eastAsia="黑体"/>
          <w:sz w:val="24"/>
        </w:rPr>
        <w:t>最终出</w:t>
      </w:r>
      <w:proofErr w:type="gramEnd"/>
      <w:r>
        <w:rPr>
          <w:rFonts w:eastAsia="黑体"/>
          <w:sz w:val="24"/>
        </w:rPr>
        <w:t>资方的锁定安排。</w:t>
      </w:r>
    </w:p>
    <w:p w14:paraId="486FD26F" w14:textId="77777777" w:rsidR="00FC5A62" w:rsidRDefault="00C76273" w:rsidP="00DD707B">
      <w:pPr>
        <w:spacing w:beforeLines="50" w:before="156" w:afterLines="50" w:after="156" w:line="360" w:lineRule="auto"/>
        <w:ind w:firstLineChars="200" w:firstLine="482"/>
        <w:rPr>
          <w:rFonts w:eastAsiaTheme="minorEastAsia"/>
          <w:b/>
          <w:bCs/>
          <w:color w:val="000000"/>
          <w:sz w:val="24"/>
        </w:rPr>
      </w:pPr>
      <w:r>
        <w:rPr>
          <w:rFonts w:eastAsiaTheme="minorEastAsia"/>
          <w:b/>
          <w:bCs/>
          <w:color w:val="000000"/>
          <w:sz w:val="24"/>
        </w:rPr>
        <w:t>回复：</w:t>
      </w:r>
    </w:p>
    <w:p w14:paraId="04E8D0E2" w14:textId="77777777" w:rsidR="00FC5A62" w:rsidRDefault="00C76273" w:rsidP="00DD707B">
      <w:pPr>
        <w:spacing w:beforeLines="50" w:before="156" w:afterLines="50" w:after="156" w:line="360" w:lineRule="auto"/>
        <w:ind w:firstLineChars="200" w:firstLine="482"/>
        <w:outlineLvl w:val="2"/>
        <w:rPr>
          <w:b/>
          <w:bCs/>
          <w:sz w:val="24"/>
        </w:rPr>
      </w:pPr>
      <w:r>
        <w:rPr>
          <w:rFonts w:hint="eastAsia"/>
          <w:b/>
          <w:bCs/>
          <w:sz w:val="24"/>
        </w:rPr>
        <w:t>一、</w:t>
      </w:r>
      <w:r>
        <w:rPr>
          <w:b/>
          <w:bCs/>
          <w:sz w:val="24"/>
        </w:rPr>
        <w:t>核实并说明柳敬麒、黄久瑞、无锡</w:t>
      </w:r>
      <w:proofErr w:type="gramStart"/>
      <w:r>
        <w:rPr>
          <w:b/>
          <w:bCs/>
          <w:sz w:val="24"/>
        </w:rPr>
        <w:t>博太是否</w:t>
      </w:r>
      <w:proofErr w:type="gramEnd"/>
      <w:r>
        <w:rPr>
          <w:b/>
          <w:bCs/>
          <w:sz w:val="24"/>
        </w:rPr>
        <w:t>存在一致行动关系</w:t>
      </w:r>
    </w:p>
    <w:p w14:paraId="72A2186F" w14:textId="07F26AA8" w:rsidR="00FC5A62" w:rsidRDefault="00C76273" w:rsidP="00DD707B">
      <w:pPr>
        <w:spacing w:beforeLines="50" w:before="156" w:afterLines="50" w:after="156" w:line="360" w:lineRule="auto"/>
        <w:ind w:firstLineChars="200" w:firstLine="480"/>
        <w:rPr>
          <w:sz w:val="24"/>
        </w:rPr>
      </w:pPr>
      <w:r>
        <w:rPr>
          <w:rFonts w:hint="eastAsia"/>
          <w:sz w:val="24"/>
        </w:rPr>
        <w:t>本次交易对方无锡博达合一的两名自然人股东</w:t>
      </w:r>
      <w:r>
        <w:rPr>
          <w:sz w:val="24"/>
        </w:rPr>
        <w:t>柳敬麒</w:t>
      </w:r>
      <w:r>
        <w:rPr>
          <w:rFonts w:hint="eastAsia"/>
          <w:sz w:val="24"/>
        </w:rPr>
        <w:t>与</w:t>
      </w:r>
      <w:r>
        <w:rPr>
          <w:sz w:val="24"/>
        </w:rPr>
        <w:t>黄久瑞系夫妻关系，</w:t>
      </w:r>
      <w:r>
        <w:rPr>
          <w:rFonts w:hint="eastAsia"/>
          <w:sz w:val="24"/>
        </w:rPr>
        <w:t>根据</w:t>
      </w:r>
      <w:r>
        <w:rPr>
          <w:sz w:val="24"/>
        </w:rPr>
        <w:t>《上市公司收购管理办法》第八十三条规定</w:t>
      </w:r>
      <w:r>
        <w:rPr>
          <w:rFonts w:hint="eastAsia"/>
          <w:sz w:val="24"/>
        </w:rPr>
        <w:t>，两人构成</w:t>
      </w:r>
      <w:r>
        <w:rPr>
          <w:sz w:val="24"/>
        </w:rPr>
        <w:t>一致行动关系</w:t>
      </w:r>
      <w:r>
        <w:rPr>
          <w:rFonts w:hint="eastAsia"/>
          <w:sz w:val="24"/>
        </w:rPr>
        <w:t>。机构股东</w:t>
      </w:r>
      <w:proofErr w:type="gramStart"/>
      <w:r>
        <w:rPr>
          <w:sz w:val="24"/>
        </w:rPr>
        <w:t>无锡博太</w:t>
      </w:r>
      <w:r>
        <w:rPr>
          <w:rFonts w:hint="eastAsia"/>
          <w:sz w:val="24"/>
        </w:rPr>
        <w:t>的</w:t>
      </w:r>
      <w:proofErr w:type="gramEnd"/>
      <w:r>
        <w:rPr>
          <w:sz w:val="24"/>
        </w:rPr>
        <w:t>普通合伙人宁波博达和</w:t>
      </w:r>
      <w:proofErr w:type="gramStart"/>
      <w:r>
        <w:rPr>
          <w:sz w:val="24"/>
        </w:rPr>
        <w:t>一</w:t>
      </w:r>
      <w:proofErr w:type="gramEnd"/>
      <w:r>
        <w:rPr>
          <w:sz w:val="24"/>
        </w:rPr>
        <w:t>科技有限公司系柳敬麒持股</w:t>
      </w:r>
      <w:r>
        <w:rPr>
          <w:sz w:val="24"/>
        </w:rPr>
        <w:t>95%</w:t>
      </w:r>
      <w:r>
        <w:rPr>
          <w:sz w:val="24"/>
        </w:rPr>
        <w:t>，黄久瑞持股</w:t>
      </w:r>
      <w:r>
        <w:rPr>
          <w:sz w:val="24"/>
        </w:rPr>
        <w:t>5%</w:t>
      </w:r>
      <w:r>
        <w:rPr>
          <w:sz w:val="24"/>
        </w:rPr>
        <w:t>的主体，因此</w:t>
      </w:r>
      <w:r>
        <w:rPr>
          <w:rFonts w:hint="eastAsia"/>
          <w:sz w:val="24"/>
        </w:rPr>
        <w:t>，</w:t>
      </w:r>
      <w:proofErr w:type="gramStart"/>
      <w:r>
        <w:rPr>
          <w:sz w:val="24"/>
        </w:rPr>
        <w:t>无锡博太是</w:t>
      </w:r>
      <w:proofErr w:type="gramEnd"/>
      <w:r>
        <w:rPr>
          <w:sz w:val="24"/>
        </w:rPr>
        <w:t>柳敬麒控制的主体，</w:t>
      </w:r>
      <w:r>
        <w:rPr>
          <w:rFonts w:hint="eastAsia"/>
          <w:sz w:val="24"/>
        </w:rPr>
        <w:t>根据</w:t>
      </w:r>
      <w:r>
        <w:rPr>
          <w:sz w:val="24"/>
        </w:rPr>
        <w:t>《上市公司收购管理办法》第八十三条规定</w:t>
      </w:r>
      <w:r>
        <w:rPr>
          <w:rFonts w:hint="eastAsia"/>
          <w:sz w:val="24"/>
        </w:rPr>
        <w:t>，</w:t>
      </w:r>
      <w:r>
        <w:rPr>
          <w:sz w:val="24"/>
        </w:rPr>
        <w:t>柳敬麒和无锡博</w:t>
      </w:r>
      <w:proofErr w:type="gramStart"/>
      <w:r>
        <w:rPr>
          <w:sz w:val="24"/>
        </w:rPr>
        <w:t>太</w:t>
      </w:r>
      <w:proofErr w:type="gramEnd"/>
      <w:r>
        <w:rPr>
          <w:rFonts w:hint="eastAsia"/>
          <w:sz w:val="24"/>
        </w:rPr>
        <w:t>同样构成</w:t>
      </w:r>
      <w:r>
        <w:rPr>
          <w:sz w:val="24"/>
        </w:rPr>
        <w:t>一致行动关系。</w:t>
      </w:r>
    </w:p>
    <w:p w14:paraId="4F904C37" w14:textId="77777777" w:rsidR="00FC5A62" w:rsidRDefault="00C76273" w:rsidP="00DD707B">
      <w:pPr>
        <w:spacing w:beforeLines="50" w:before="156" w:afterLines="50" w:after="156" w:line="360" w:lineRule="auto"/>
        <w:ind w:firstLineChars="200" w:firstLine="480"/>
        <w:rPr>
          <w:sz w:val="24"/>
        </w:rPr>
      </w:pPr>
      <w:r>
        <w:rPr>
          <w:sz w:val="24"/>
        </w:rPr>
        <w:t>综上</w:t>
      </w:r>
      <w:r>
        <w:rPr>
          <w:rFonts w:hint="eastAsia"/>
          <w:sz w:val="24"/>
        </w:rPr>
        <w:t>所述，</w:t>
      </w:r>
      <w:r>
        <w:rPr>
          <w:sz w:val="24"/>
        </w:rPr>
        <w:t>柳敬麒、黄久瑞、无锡</w:t>
      </w:r>
      <w:proofErr w:type="gramStart"/>
      <w:r>
        <w:rPr>
          <w:sz w:val="24"/>
        </w:rPr>
        <w:t>博太存在</w:t>
      </w:r>
      <w:proofErr w:type="gramEnd"/>
      <w:r>
        <w:rPr>
          <w:sz w:val="24"/>
        </w:rPr>
        <w:t>一致行动关系。</w:t>
      </w:r>
    </w:p>
    <w:p w14:paraId="6DC8B76A" w14:textId="77777777" w:rsidR="00FC5A62" w:rsidRDefault="00C76273" w:rsidP="00DD707B">
      <w:pPr>
        <w:spacing w:beforeLines="50" w:before="156" w:afterLines="50" w:after="156" w:line="360" w:lineRule="auto"/>
        <w:ind w:firstLineChars="200" w:firstLine="482"/>
        <w:outlineLvl w:val="2"/>
        <w:rPr>
          <w:b/>
          <w:bCs/>
          <w:sz w:val="24"/>
        </w:rPr>
      </w:pPr>
      <w:r>
        <w:rPr>
          <w:rFonts w:hint="eastAsia"/>
          <w:b/>
          <w:bCs/>
          <w:sz w:val="24"/>
        </w:rPr>
        <w:t>二、</w:t>
      </w:r>
      <w:r>
        <w:rPr>
          <w:b/>
          <w:bCs/>
          <w:sz w:val="24"/>
        </w:rPr>
        <w:t>结合上述主体持续持有权益的时间，说明交易对方博达合一是否专为本次交易设立，如是，请补充披露交易完成后</w:t>
      </w:r>
      <w:proofErr w:type="gramStart"/>
      <w:r>
        <w:rPr>
          <w:b/>
          <w:bCs/>
          <w:sz w:val="24"/>
        </w:rPr>
        <w:t>最终出</w:t>
      </w:r>
      <w:proofErr w:type="gramEnd"/>
      <w:r>
        <w:rPr>
          <w:b/>
          <w:bCs/>
          <w:sz w:val="24"/>
        </w:rPr>
        <w:t>资方的锁定安排</w:t>
      </w:r>
    </w:p>
    <w:p w14:paraId="48314AC1" w14:textId="77777777" w:rsidR="00FC5A62" w:rsidRDefault="00C76273" w:rsidP="00DD707B">
      <w:pPr>
        <w:spacing w:beforeLines="50" w:before="156" w:afterLines="50" w:after="156" w:line="360" w:lineRule="auto"/>
        <w:ind w:firstLineChars="200" w:firstLine="482"/>
        <w:outlineLvl w:val="3"/>
        <w:rPr>
          <w:b/>
          <w:bCs/>
          <w:sz w:val="24"/>
        </w:rPr>
      </w:pPr>
      <w:r>
        <w:rPr>
          <w:rFonts w:hint="eastAsia"/>
          <w:b/>
          <w:bCs/>
          <w:sz w:val="24"/>
        </w:rPr>
        <w:t>（一）相关主体持续持有标的公司权益时间及成立背景</w:t>
      </w:r>
    </w:p>
    <w:p w14:paraId="260DA1A9" w14:textId="77777777" w:rsidR="00FC5A62" w:rsidRPr="00E46AB1" w:rsidRDefault="00C76273" w:rsidP="00DD707B">
      <w:pPr>
        <w:spacing w:beforeLines="50" w:before="156" w:afterLines="50" w:after="156" w:line="360" w:lineRule="auto"/>
        <w:ind w:firstLineChars="200" w:firstLine="480"/>
        <w:rPr>
          <w:rFonts w:eastAsiaTheme="majorEastAsia"/>
          <w:sz w:val="24"/>
        </w:rPr>
      </w:pPr>
      <w:r w:rsidRPr="00E46AB1">
        <w:rPr>
          <w:rFonts w:eastAsiaTheme="majorEastAsia"/>
          <w:sz w:val="24"/>
        </w:rPr>
        <w:t>柳敬麒和黄久瑞自标的公司</w:t>
      </w:r>
      <w:r w:rsidRPr="00E46AB1">
        <w:rPr>
          <w:rFonts w:eastAsiaTheme="majorEastAsia"/>
          <w:sz w:val="24"/>
        </w:rPr>
        <w:t>2021</w:t>
      </w:r>
      <w:r w:rsidRPr="00E46AB1">
        <w:rPr>
          <w:rFonts w:eastAsiaTheme="majorEastAsia"/>
          <w:sz w:val="24"/>
        </w:rPr>
        <w:t>年</w:t>
      </w:r>
      <w:r w:rsidRPr="00E46AB1">
        <w:rPr>
          <w:rFonts w:eastAsiaTheme="majorEastAsia"/>
          <w:sz w:val="24"/>
        </w:rPr>
        <w:t>8</w:t>
      </w:r>
      <w:r w:rsidRPr="00E46AB1">
        <w:rPr>
          <w:rFonts w:eastAsiaTheme="majorEastAsia"/>
          <w:sz w:val="24"/>
        </w:rPr>
        <w:t>月</w:t>
      </w:r>
      <w:r w:rsidRPr="00E46AB1">
        <w:rPr>
          <w:rFonts w:eastAsiaTheme="majorEastAsia"/>
          <w:sz w:val="24"/>
        </w:rPr>
        <w:t>20</w:t>
      </w:r>
      <w:r w:rsidRPr="00E46AB1">
        <w:rPr>
          <w:rFonts w:eastAsiaTheme="majorEastAsia"/>
          <w:sz w:val="24"/>
        </w:rPr>
        <w:t>日设立起即通过宁波博达合一科技有限公司间接持有标的公司权益。</w:t>
      </w:r>
      <w:r w:rsidRPr="00E46AB1">
        <w:rPr>
          <w:rFonts w:eastAsiaTheme="majorEastAsia"/>
          <w:sz w:val="24"/>
        </w:rPr>
        <w:t>2023</w:t>
      </w:r>
      <w:r w:rsidRPr="00E46AB1">
        <w:rPr>
          <w:rFonts w:eastAsiaTheme="majorEastAsia"/>
          <w:sz w:val="24"/>
        </w:rPr>
        <w:t>年</w:t>
      </w:r>
      <w:r w:rsidRPr="00E46AB1">
        <w:rPr>
          <w:rFonts w:eastAsiaTheme="majorEastAsia"/>
          <w:sz w:val="24"/>
        </w:rPr>
        <w:t>3</w:t>
      </w:r>
      <w:r w:rsidRPr="00E46AB1">
        <w:rPr>
          <w:rFonts w:eastAsiaTheme="majorEastAsia"/>
          <w:sz w:val="24"/>
        </w:rPr>
        <w:t>月，为充分聚焦主营业务，打造更具市场竞争力的经营主体，并基于未来战略发展和组织结构调整的考虑，柳敬麒和黄久瑞决定设立无锡博达合一作为持股主体对境内、外经营公司进行整合，且将主要经营场所转移</w:t>
      </w:r>
      <w:proofErr w:type="gramStart"/>
      <w:r w:rsidRPr="00E46AB1">
        <w:rPr>
          <w:rFonts w:eastAsiaTheme="majorEastAsia"/>
          <w:sz w:val="24"/>
        </w:rPr>
        <w:t>至具备</w:t>
      </w:r>
      <w:proofErr w:type="gramEnd"/>
      <w:r w:rsidRPr="00E46AB1">
        <w:rPr>
          <w:rFonts w:eastAsiaTheme="majorEastAsia"/>
          <w:sz w:val="24"/>
        </w:rPr>
        <w:t>产业集群优势的无锡。因此，本次交易对方无锡博</w:t>
      </w:r>
      <w:r w:rsidRPr="00E46AB1">
        <w:rPr>
          <w:rFonts w:eastAsiaTheme="majorEastAsia"/>
          <w:sz w:val="24"/>
        </w:rPr>
        <w:lastRenderedPageBreak/>
        <w:t>达合一并非专为本次交易而设立。</w:t>
      </w:r>
    </w:p>
    <w:p w14:paraId="73FF982C" w14:textId="77777777" w:rsidR="00FC5A62" w:rsidRPr="00E46AB1" w:rsidRDefault="00C76273" w:rsidP="00DD707B">
      <w:pPr>
        <w:spacing w:beforeLines="50" w:before="156" w:afterLines="50" w:after="156" w:line="360" w:lineRule="auto"/>
        <w:ind w:firstLineChars="200" w:firstLine="480"/>
        <w:rPr>
          <w:rFonts w:eastAsiaTheme="majorEastAsia"/>
          <w:sz w:val="24"/>
        </w:rPr>
      </w:pPr>
      <w:r w:rsidRPr="00E46AB1">
        <w:rPr>
          <w:rFonts w:eastAsiaTheme="majorEastAsia"/>
          <w:sz w:val="24"/>
        </w:rPr>
        <w:t>无锡</w:t>
      </w:r>
      <w:proofErr w:type="gramStart"/>
      <w:r w:rsidRPr="00E46AB1">
        <w:rPr>
          <w:rFonts w:eastAsiaTheme="majorEastAsia"/>
          <w:sz w:val="24"/>
        </w:rPr>
        <w:t>博太系</w:t>
      </w:r>
      <w:proofErr w:type="gramEnd"/>
      <w:r w:rsidRPr="00E46AB1">
        <w:rPr>
          <w:rFonts w:eastAsiaTheme="majorEastAsia"/>
          <w:sz w:val="24"/>
        </w:rPr>
        <w:t>标的公司向骨干员工实施股权激励设立的员工持股平台。无锡博</w:t>
      </w:r>
      <w:proofErr w:type="gramStart"/>
      <w:r w:rsidRPr="00E46AB1">
        <w:rPr>
          <w:rFonts w:eastAsiaTheme="majorEastAsia"/>
          <w:sz w:val="24"/>
        </w:rPr>
        <w:t>太</w:t>
      </w:r>
      <w:proofErr w:type="gramEnd"/>
      <w:r w:rsidRPr="00E46AB1">
        <w:rPr>
          <w:rFonts w:eastAsiaTheme="majorEastAsia"/>
          <w:sz w:val="24"/>
        </w:rPr>
        <w:t>自</w:t>
      </w:r>
      <w:r w:rsidRPr="00E46AB1">
        <w:rPr>
          <w:rFonts w:eastAsiaTheme="majorEastAsia"/>
          <w:sz w:val="24"/>
        </w:rPr>
        <w:t>2023</w:t>
      </w:r>
      <w:r w:rsidRPr="00E46AB1">
        <w:rPr>
          <w:rFonts w:eastAsiaTheme="majorEastAsia"/>
          <w:sz w:val="24"/>
        </w:rPr>
        <w:t>年</w:t>
      </w:r>
      <w:r w:rsidRPr="00E46AB1">
        <w:rPr>
          <w:rFonts w:eastAsiaTheme="majorEastAsia"/>
          <w:sz w:val="24"/>
        </w:rPr>
        <w:t>9</w:t>
      </w:r>
      <w:r w:rsidRPr="00E46AB1">
        <w:rPr>
          <w:rFonts w:eastAsiaTheme="majorEastAsia"/>
          <w:sz w:val="24"/>
        </w:rPr>
        <w:t>月</w:t>
      </w:r>
      <w:r w:rsidRPr="00E46AB1">
        <w:rPr>
          <w:rFonts w:eastAsiaTheme="majorEastAsia"/>
          <w:sz w:val="24"/>
        </w:rPr>
        <w:t>6</w:t>
      </w:r>
      <w:r w:rsidRPr="00E46AB1">
        <w:rPr>
          <w:rFonts w:eastAsiaTheme="majorEastAsia"/>
          <w:sz w:val="24"/>
        </w:rPr>
        <w:t>日通过增资取得无锡博达合一股权而间接持有标的公司权益。</w:t>
      </w:r>
    </w:p>
    <w:p w14:paraId="2F7DD0A3" w14:textId="77777777" w:rsidR="00FC5A62" w:rsidRDefault="00C76273" w:rsidP="000F335B">
      <w:pPr>
        <w:spacing w:beforeLines="50" w:before="156" w:afterLines="50" w:after="156" w:line="360" w:lineRule="auto"/>
        <w:ind w:firstLineChars="200" w:firstLine="482"/>
        <w:outlineLvl w:val="3"/>
        <w:rPr>
          <w:b/>
          <w:sz w:val="24"/>
          <w:lang w:bidi="zh-CN"/>
        </w:rPr>
      </w:pPr>
      <w:r>
        <w:rPr>
          <w:rFonts w:hint="eastAsia"/>
          <w:b/>
          <w:sz w:val="24"/>
          <w:lang w:bidi="zh-CN"/>
        </w:rPr>
        <w:t>（二）交易对方及其</w:t>
      </w:r>
      <w:proofErr w:type="gramStart"/>
      <w:r>
        <w:rPr>
          <w:rFonts w:hint="eastAsia"/>
          <w:b/>
          <w:sz w:val="24"/>
          <w:lang w:bidi="zh-CN"/>
        </w:rPr>
        <w:t>最终出</w:t>
      </w:r>
      <w:proofErr w:type="gramEnd"/>
      <w:r>
        <w:rPr>
          <w:rFonts w:hint="eastAsia"/>
          <w:b/>
          <w:sz w:val="24"/>
          <w:lang w:bidi="zh-CN"/>
        </w:rPr>
        <w:t>资方锁定安排</w:t>
      </w:r>
    </w:p>
    <w:p w14:paraId="08B9D269" w14:textId="77777777" w:rsidR="00FC5A62" w:rsidRDefault="00C76273" w:rsidP="000F335B">
      <w:pPr>
        <w:spacing w:beforeLines="50" w:before="156" w:afterLines="50" w:after="156" w:line="360" w:lineRule="auto"/>
        <w:ind w:firstLineChars="200" w:firstLine="480"/>
        <w:rPr>
          <w:bCs/>
          <w:sz w:val="24"/>
          <w:lang w:bidi="zh-CN"/>
        </w:rPr>
      </w:pPr>
      <w:r w:rsidRPr="008A1A3A">
        <w:rPr>
          <w:rStyle w:val="fontstyle01"/>
          <w:rFonts w:ascii="Times New Roman" w:hAnsi="Times New Roman" w:hint="default"/>
        </w:rPr>
        <w:t>虽然无锡博达合一设立时间早于本次交易筹划时间，并非专为本次交易设立，但因无锡博达合一取得标的资产的时间为</w:t>
      </w:r>
      <w:r w:rsidRPr="008A1A3A">
        <w:rPr>
          <w:rStyle w:val="fontstyle01"/>
          <w:rFonts w:ascii="Times New Roman" w:hAnsi="Times New Roman" w:hint="default"/>
        </w:rPr>
        <w:t>2023</w:t>
      </w:r>
      <w:r w:rsidRPr="008A1A3A">
        <w:rPr>
          <w:rStyle w:val="fontstyle01"/>
          <w:rFonts w:ascii="Times New Roman" w:hAnsi="Times New Roman" w:hint="default"/>
        </w:rPr>
        <w:t>年</w:t>
      </w:r>
      <w:r w:rsidRPr="008A1A3A">
        <w:rPr>
          <w:rStyle w:val="fontstyle01"/>
          <w:rFonts w:ascii="Times New Roman" w:hAnsi="Times New Roman" w:hint="default"/>
        </w:rPr>
        <w:t>7</w:t>
      </w:r>
      <w:r w:rsidRPr="008A1A3A">
        <w:rPr>
          <w:rStyle w:val="fontstyle01"/>
          <w:rFonts w:ascii="Times New Roman" w:hAnsi="Times New Roman" w:hint="default"/>
        </w:rPr>
        <w:t>月，且除标的公司外无其他对外投资，因此</w:t>
      </w:r>
      <w:r>
        <w:rPr>
          <w:rStyle w:val="fontstyle01"/>
          <w:rFonts w:ascii="Times New Roman" w:hAnsi="Times New Roman" w:hint="default"/>
        </w:rPr>
        <w:t>，</w:t>
      </w:r>
      <w:r w:rsidRPr="008A1A3A">
        <w:rPr>
          <w:rStyle w:val="fontstyle01"/>
          <w:rFonts w:ascii="Times New Roman" w:hAnsi="Times New Roman" w:hint="default"/>
        </w:rPr>
        <w:t>无锡博达合一及其</w:t>
      </w:r>
      <w:proofErr w:type="gramStart"/>
      <w:r w:rsidRPr="008A1A3A">
        <w:rPr>
          <w:rStyle w:val="fontstyle01"/>
          <w:rFonts w:ascii="Times New Roman" w:hAnsi="Times New Roman" w:hint="default"/>
        </w:rPr>
        <w:t>最终出</w:t>
      </w:r>
      <w:proofErr w:type="gramEnd"/>
      <w:r w:rsidRPr="008A1A3A">
        <w:rPr>
          <w:rStyle w:val="fontstyle01"/>
          <w:rFonts w:ascii="Times New Roman" w:hAnsi="Times New Roman" w:hint="default"/>
        </w:rPr>
        <w:t>资方已根据法规要求出具锁定期承诺。具体如下：</w:t>
      </w:r>
    </w:p>
    <w:p w14:paraId="5BC9CDC6" w14:textId="77777777" w:rsidR="00FC5A62" w:rsidRDefault="00C76273" w:rsidP="000F335B">
      <w:pPr>
        <w:spacing w:beforeLines="50" w:before="156" w:afterLines="50" w:after="156" w:line="360" w:lineRule="auto"/>
        <w:ind w:firstLineChars="200" w:firstLine="482"/>
        <w:outlineLvl w:val="4"/>
        <w:rPr>
          <w:b/>
          <w:sz w:val="24"/>
        </w:rPr>
      </w:pPr>
      <w:r>
        <w:rPr>
          <w:b/>
          <w:sz w:val="24"/>
        </w:rPr>
        <w:t>1</w:t>
      </w:r>
      <w:r>
        <w:rPr>
          <w:rFonts w:hint="eastAsia"/>
          <w:b/>
          <w:sz w:val="24"/>
        </w:rPr>
        <w:t>、柳敬麒作为无锡博达合一实际控制人承诺</w:t>
      </w:r>
    </w:p>
    <w:p w14:paraId="67E817A5" w14:textId="77777777" w:rsidR="00FC5A62" w:rsidRDefault="00C76273" w:rsidP="000F335B">
      <w:pPr>
        <w:spacing w:beforeLines="50" w:before="156" w:afterLines="50" w:after="156" w:line="360" w:lineRule="auto"/>
        <w:ind w:firstLineChars="200" w:firstLine="420"/>
        <w:rPr>
          <w:sz w:val="24"/>
        </w:rPr>
      </w:pPr>
      <w:r>
        <w:rPr>
          <w:rFonts w:hint="eastAsia"/>
        </w:rPr>
        <w:t xml:space="preserve"> </w:t>
      </w:r>
      <w:r>
        <w:rPr>
          <w:rFonts w:hint="eastAsia"/>
          <w:sz w:val="24"/>
        </w:rPr>
        <w:t>（</w:t>
      </w:r>
      <w:r>
        <w:rPr>
          <w:rFonts w:hint="eastAsia"/>
          <w:sz w:val="24"/>
        </w:rPr>
        <w:t>1</w:t>
      </w:r>
      <w:r>
        <w:rPr>
          <w:rFonts w:hint="eastAsia"/>
          <w:sz w:val="24"/>
        </w:rPr>
        <w:t>）本次重组完成后，本人通过本次重组直接</w:t>
      </w:r>
      <w:r>
        <w:rPr>
          <w:rFonts w:hint="eastAsia"/>
          <w:sz w:val="24"/>
        </w:rPr>
        <w:t>/</w:t>
      </w:r>
      <w:r>
        <w:rPr>
          <w:rFonts w:hint="eastAsia"/>
          <w:sz w:val="24"/>
        </w:rPr>
        <w:t>间接取得的上市公司股份自该等股份上市之日起</w:t>
      </w:r>
      <w:r>
        <w:rPr>
          <w:rFonts w:hint="eastAsia"/>
          <w:sz w:val="24"/>
        </w:rPr>
        <w:t>36</w:t>
      </w:r>
      <w:r>
        <w:rPr>
          <w:rFonts w:hint="eastAsia"/>
          <w:sz w:val="24"/>
        </w:rPr>
        <w:t>个月内不予转让</w:t>
      </w:r>
      <w:r>
        <w:rPr>
          <w:rFonts w:hint="eastAsia"/>
          <w:sz w:val="24"/>
        </w:rPr>
        <w:t>;</w:t>
      </w:r>
    </w:p>
    <w:p w14:paraId="4DDFF24D" w14:textId="77777777" w:rsidR="00FC5A62" w:rsidRDefault="00C76273" w:rsidP="000F335B">
      <w:pPr>
        <w:spacing w:beforeLines="50" w:before="156" w:afterLines="50" w:after="156" w:line="360" w:lineRule="auto"/>
        <w:ind w:firstLineChars="200" w:firstLine="480"/>
        <w:rPr>
          <w:sz w:val="24"/>
        </w:rPr>
      </w:pPr>
      <w:r>
        <w:rPr>
          <w:rFonts w:hint="eastAsia"/>
          <w:sz w:val="24"/>
        </w:rPr>
        <w:t>（</w:t>
      </w:r>
      <w:r>
        <w:rPr>
          <w:rFonts w:hint="eastAsia"/>
          <w:sz w:val="24"/>
        </w:rPr>
        <w:t>2</w:t>
      </w:r>
      <w:r>
        <w:rPr>
          <w:rFonts w:hint="eastAsia"/>
          <w:sz w:val="24"/>
        </w:rPr>
        <w:t>）本次重组完成后</w:t>
      </w:r>
      <w:r>
        <w:rPr>
          <w:rFonts w:hint="eastAsia"/>
          <w:sz w:val="24"/>
        </w:rPr>
        <w:t>6</w:t>
      </w:r>
      <w:r>
        <w:rPr>
          <w:rFonts w:hint="eastAsia"/>
          <w:sz w:val="24"/>
        </w:rPr>
        <w:t>个月内，</w:t>
      </w:r>
      <w:proofErr w:type="gramStart"/>
      <w:r>
        <w:rPr>
          <w:rFonts w:hint="eastAsia"/>
          <w:sz w:val="24"/>
        </w:rPr>
        <w:t>如交建股份</w:t>
      </w:r>
      <w:proofErr w:type="gramEnd"/>
      <w:r>
        <w:rPr>
          <w:rFonts w:hint="eastAsia"/>
          <w:sz w:val="24"/>
        </w:rPr>
        <w:t>股票连续</w:t>
      </w:r>
      <w:r>
        <w:rPr>
          <w:rFonts w:hint="eastAsia"/>
          <w:sz w:val="24"/>
        </w:rPr>
        <w:t>20</w:t>
      </w:r>
      <w:r>
        <w:rPr>
          <w:rFonts w:hint="eastAsia"/>
          <w:sz w:val="24"/>
        </w:rPr>
        <w:t>个交易日的收盘价低于本次发行股份购买资产的发行价格，或者本次重组完成后</w:t>
      </w:r>
      <w:r>
        <w:rPr>
          <w:rFonts w:hint="eastAsia"/>
          <w:sz w:val="24"/>
        </w:rPr>
        <w:t>6</w:t>
      </w:r>
      <w:r>
        <w:rPr>
          <w:rFonts w:hint="eastAsia"/>
          <w:sz w:val="24"/>
        </w:rPr>
        <w:t>个月</w:t>
      </w:r>
      <w:proofErr w:type="gramStart"/>
      <w:r>
        <w:rPr>
          <w:rFonts w:hint="eastAsia"/>
          <w:sz w:val="24"/>
        </w:rPr>
        <w:t>期末交建股份</w:t>
      </w:r>
      <w:proofErr w:type="gramEnd"/>
      <w:r>
        <w:rPr>
          <w:rFonts w:hint="eastAsia"/>
          <w:sz w:val="24"/>
        </w:rPr>
        <w:t>股票收盘价低于本次发行股份购买资产的发行价格的</w:t>
      </w:r>
      <w:r>
        <w:rPr>
          <w:rFonts w:hint="eastAsia"/>
          <w:sz w:val="24"/>
        </w:rPr>
        <w:t>,</w:t>
      </w:r>
      <w:r>
        <w:rPr>
          <w:rFonts w:hint="eastAsia"/>
          <w:sz w:val="24"/>
        </w:rPr>
        <w:t>前述股份的锁定期自动延长</w:t>
      </w:r>
      <w:r>
        <w:rPr>
          <w:rFonts w:hint="eastAsia"/>
          <w:sz w:val="24"/>
        </w:rPr>
        <w:t>6</w:t>
      </w:r>
      <w:r>
        <w:rPr>
          <w:rFonts w:hint="eastAsia"/>
          <w:sz w:val="24"/>
        </w:rPr>
        <w:t>个月（若上述</w:t>
      </w:r>
      <w:proofErr w:type="gramStart"/>
      <w:r>
        <w:rPr>
          <w:rFonts w:hint="eastAsia"/>
          <w:sz w:val="24"/>
        </w:rPr>
        <w:t>期间交建股份</w:t>
      </w:r>
      <w:proofErr w:type="gramEnd"/>
      <w:r>
        <w:rPr>
          <w:rFonts w:hint="eastAsia"/>
          <w:sz w:val="24"/>
        </w:rPr>
        <w:t>发生派息、送股、转增股本或配股等除权除息事项的，则前述本次发行股份购买资产的发行价格以经除息、除权等因素调整后的价格计算）；于前述锁定期届满之时，如因标的公司未能达到《业绩承诺及补偿协议》约定的业绩承诺指标而导致本人需</w:t>
      </w:r>
      <w:proofErr w:type="gramStart"/>
      <w:r>
        <w:rPr>
          <w:rFonts w:hint="eastAsia"/>
          <w:sz w:val="24"/>
        </w:rPr>
        <w:t>向交建股份</w:t>
      </w:r>
      <w:proofErr w:type="gramEnd"/>
      <w:r>
        <w:rPr>
          <w:rFonts w:hint="eastAsia"/>
          <w:sz w:val="24"/>
        </w:rPr>
        <w:t>履行股份补偿义务且该等股份补偿义务尚未履行完毕的，上述锁定期延长至博达合一在《业绩承诺及补偿协议》项下的股份补偿义务履行完毕之日。</w:t>
      </w:r>
    </w:p>
    <w:p w14:paraId="235F5A40" w14:textId="77777777" w:rsidR="00FC5A62" w:rsidRDefault="00C76273" w:rsidP="000F335B">
      <w:pPr>
        <w:spacing w:beforeLines="50" w:before="156" w:afterLines="50" w:after="156" w:line="360" w:lineRule="auto"/>
        <w:ind w:firstLineChars="200" w:firstLine="480"/>
        <w:rPr>
          <w:sz w:val="24"/>
        </w:rPr>
      </w:pPr>
      <w:r>
        <w:rPr>
          <w:rFonts w:hint="eastAsia"/>
          <w:sz w:val="24"/>
        </w:rPr>
        <w:t>（</w:t>
      </w:r>
      <w:r>
        <w:rPr>
          <w:rFonts w:hint="eastAsia"/>
          <w:sz w:val="24"/>
        </w:rPr>
        <w:t>3</w:t>
      </w:r>
      <w:r>
        <w:rPr>
          <w:rFonts w:hint="eastAsia"/>
          <w:sz w:val="24"/>
        </w:rPr>
        <w:t>）如本次交易因涉嫌所提供或披露的信息存在虚假记载、误导性陈述或者重大遗漏，被司法机关立案侦查或者被中国证监会立案调查的，在案件调查结论明确以前，本人承诺不转让本人持有的上市公司股份。</w:t>
      </w:r>
    </w:p>
    <w:p w14:paraId="1C1620C5" w14:textId="77777777" w:rsidR="00FC5A62" w:rsidRDefault="00C76273" w:rsidP="000F335B">
      <w:pPr>
        <w:spacing w:beforeLines="50" w:before="156" w:afterLines="50" w:after="156" w:line="360" w:lineRule="auto"/>
        <w:ind w:firstLineChars="200" w:firstLine="482"/>
        <w:outlineLvl w:val="4"/>
        <w:rPr>
          <w:b/>
          <w:bCs/>
          <w:sz w:val="24"/>
        </w:rPr>
      </w:pPr>
      <w:r>
        <w:rPr>
          <w:b/>
          <w:bCs/>
          <w:sz w:val="24"/>
        </w:rPr>
        <w:t>2</w:t>
      </w:r>
      <w:r>
        <w:rPr>
          <w:rFonts w:hint="eastAsia"/>
          <w:b/>
          <w:bCs/>
          <w:sz w:val="24"/>
        </w:rPr>
        <w:t>、黄久瑞、无锡</w:t>
      </w:r>
      <w:proofErr w:type="gramStart"/>
      <w:r>
        <w:rPr>
          <w:rFonts w:hint="eastAsia"/>
          <w:b/>
          <w:bCs/>
          <w:sz w:val="24"/>
        </w:rPr>
        <w:t>博太作为</w:t>
      </w:r>
      <w:proofErr w:type="gramEnd"/>
      <w:r>
        <w:rPr>
          <w:rFonts w:hint="eastAsia"/>
          <w:b/>
          <w:bCs/>
          <w:sz w:val="24"/>
        </w:rPr>
        <w:t>无锡博达合一实际控制人之一致行动人承诺</w:t>
      </w:r>
    </w:p>
    <w:p w14:paraId="17F3DF0A" w14:textId="77777777" w:rsidR="00FC5A62" w:rsidRDefault="00C76273" w:rsidP="000F335B">
      <w:pPr>
        <w:spacing w:beforeLines="50" w:before="156" w:afterLines="50" w:after="156" w:line="360" w:lineRule="auto"/>
        <w:ind w:firstLineChars="200" w:firstLine="480"/>
        <w:rPr>
          <w:sz w:val="24"/>
        </w:rPr>
      </w:pPr>
      <w:r>
        <w:rPr>
          <w:rFonts w:hint="eastAsia"/>
          <w:sz w:val="24"/>
        </w:rPr>
        <w:t>（</w:t>
      </w:r>
      <w:r>
        <w:rPr>
          <w:rFonts w:hint="eastAsia"/>
          <w:sz w:val="24"/>
        </w:rPr>
        <w:t>1</w:t>
      </w:r>
      <w:r>
        <w:rPr>
          <w:rFonts w:hint="eastAsia"/>
          <w:sz w:val="24"/>
        </w:rPr>
        <w:t>）本次重组完成后，本人</w:t>
      </w:r>
      <w:r>
        <w:rPr>
          <w:rFonts w:hint="eastAsia"/>
          <w:sz w:val="24"/>
        </w:rPr>
        <w:t>/</w:t>
      </w:r>
      <w:r>
        <w:rPr>
          <w:rFonts w:hint="eastAsia"/>
          <w:sz w:val="24"/>
        </w:rPr>
        <w:t>本企业通过本次重组直接</w:t>
      </w:r>
      <w:r>
        <w:rPr>
          <w:rFonts w:hint="eastAsia"/>
          <w:sz w:val="24"/>
        </w:rPr>
        <w:t>/</w:t>
      </w:r>
      <w:r>
        <w:rPr>
          <w:rFonts w:hint="eastAsia"/>
          <w:sz w:val="24"/>
        </w:rPr>
        <w:t>间接取得的上市公司股份自该等股份上市之日起</w:t>
      </w:r>
      <w:r>
        <w:rPr>
          <w:rFonts w:hint="eastAsia"/>
          <w:sz w:val="24"/>
        </w:rPr>
        <w:t>36</w:t>
      </w:r>
      <w:r>
        <w:rPr>
          <w:rFonts w:hint="eastAsia"/>
          <w:sz w:val="24"/>
        </w:rPr>
        <w:t>个月内不予转让</w:t>
      </w:r>
      <w:r>
        <w:rPr>
          <w:rFonts w:hint="eastAsia"/>
          <w:sz w:val="24"/>
        </w:rPr>
        <w:t>;</w:t>
      </w:r>
    </w:p>
    <w:p w14:paraId="01C04253" w14:textId="77777777" w:rsidR="00FC5A62" w:rsidRDefault="00C76273" w:rsidP="000F335B">
      <w:pPr>
        <w:spacing w:beforeLines="50" w:before="156" w:afterLines="50" w:after="156" w:line="360" w:lineRule="auto"/>
        <w:ind w:firstLineChars="200" w:firstLine="480"/>
        <w:rPr>
          <w:sz w:val="24"/>
        </w:rPr>
      </w:pPr>
      <w:r>
        <w:rPr>
          <w:rFonts w:hint="eastAsia"/>
          <w:sz w:val="24"/>
        </w:rPr>
        <w:lastRenderedPageBreak/>
        <w:t>（</w:t>
      </w:r>
      <w:r>
        <w:rPr>
          <w:rFonts w:hint="eastAsia"/>
          <w:sz w:val="24"/>
        </w:rPr>
        <w:t>2</w:t>
      </w:r>
      <w:r>
        <w:rPr>
          <w:rFonts w:hint="eastAsia"/>
          <w:sz w:val="24"/>
        </w:rPr>
        <w:t>）本次重组完成后</w:t>
      </w:r>
      <w:r>
        <w:rPr>
          <w:rFonts w:hint="eastAsia"/>
          <w:sz w:val="24"/>
        </w:rPr>
        <w:t>6</w:t>
      </w:r>
      <w:r>
        <w:rPr>
          <w:rFonts w:hint="eastAsia"/>
          <w:sz w:val="24"/>
        </w:rPr>
        <w:t>个月内，</w:t>
      </w:r>
      <w:proofErr w:type="gramStart"/>
      <w:r>
        <w:rPr>
          <w:rFonts w:hint="eastAsia"/>
          <w:sz w:val="24"/>
        </w:rPr>
        <w:t>如交建股份</w:t>
      </w:r>
      <w:proofErr w:type="gramEnd"/>
      <w:r>
        <w:rPr>
          <w:rFonts w:hint="eastAsia"/>
          <w:sz w:val="24"/>
        </w:rPr>
        <w:t>股票连续</w:t>
      </w:r>
      <w:r>
        <w:rPr>
          <w:rFonts w:hint="eastAsia"/>
          <w:sz w:val="24"/>
        </w:rPr>
        <w:t>20</w:t>
      </w:r>
      <w:r>
        <w:rPr>
          <w:rFonts w:hint="eastAsia"/>
          <w:sz w:val="24"/>
        </w:rPr>
        <w:t>个交易日的收盘价低于本次发行股份购买资产的发行价格，或者本次重组完成后</w:t>
      </w:r>
      <w:r>
        <w:rPr>
          <w:rFonts w:hint="eastAsia"/>
          <w:sz w:val="24"/>
        </w:rPr>
        <w:t>6</w:t>
      </w:r>
      <w:r>
        <w:rPr>
          <w:rFonts w:hint="eastAsia"/>
          <w:sz w:val="24"/>
        </w:rPr>
        <w:t>个月</w:t>
      </w:r>
      <w:proofErr w:type="gramStart"/>
      <w:r>
        <w:rPr>
          <w:rFonts w:hint="eastAsia"/>
          <w:sz w:val="24"/>
        </w:rPr>
        <w:t>期末交建股份</w:t>
      </w:r>
      <w:proofErr w:type="gramEnd"/>
      <w:r>
        <w:rPr>
          <w:rFonts w:hint="eastAsia"/>
          <w:sz w:val="24"/>
        </w:rPr>
        <w:t>股票收盘价低于本次发行股份购买资产的发行价格的</w:t>
      </w:r>
      <w:r>
        <w:rPr>
          <w:rFonts w:hint="eastAsia"/>
          <w:sz w:val="24"/>
        </w:rPr>
        <w:t>,</w:t>
      </w:r>
      <w:r>
        <w:rPr>
          <w:rFonts w:hint="eastAsia"/>
          <w:sz w:val="24"/>
        </w:rPr>
        <w:t>前述股份的锁定期自动延长</w:t>
      </w:r>
      <w:r>
        <w:rPr>
          <w:rFonts w:hint="eastAsia"/>
          <w:sz w:val="24"/>
        </w:rPr>
        <w:t>6</w:t>
      </w:r>
      <w:r>
        <w:rPr>
          <w:rFonts w:hint="eastAsia"/>
          <w:sz w:val="24"/>
        </w:rPr>
        <w:t>个月（若上述</w:t>
      </w:r>
      <w:proofErr w:type="gramStart"/>
      <w:r>
        <w:rPr>
          <w:rFonts w:hint="eastAsia"/>
          <w:sz w:val="24"/>
        </w:rPr>
        <w:t>期间交建股份</w:t>
      </w:r>
      <w:proofErr w:type="gramEnd"/>
      <w:r>
        <w:rPr>
          <w:rFonts w:hint="eastAsia"/>
          <w:sz w:val="24"/>
        </w:rPr>
        <w:t>发生派息、送股、转增股本或配股等除权除息事项的，则前述本次发行股份购买资产的发行价格以经除息、除权等因素调整后的价格计算）。</w:t>
      </w:r>
    </w:p>
    <w:p w14:paraId="47BD2CC3" w14:textId="77777777" w:rsidR="00FC5A62" w:rsidRDefault="00C76273" w:rsidP="000F335B">
      <w:pPr>
        <w:spacing w:beforeLines="50" w:before="156" w:afterLines="50" w:after="156" w:line="360" w:lineRule="auto"/>
        <w:ind w:firstLineChars="200" w:firstLine="480"/>
        <w:rPr>
          <w:sz w:val="24"/>
        </w:rPr>
      </w:pPr>
      <w:r>
        <w:rPr>
          <w:rFonts w:hint="eastAsia"/>
          <w:sz w:val="24"/>
        </w:rPr>
        <w:t>（</w:t>
      </w:r>
      <w:r>
        <w:rPr>
          <w:rFonts w:hint="eastAsia"/>
          <w:sz w:val="24"/>
        </w:rPr>
        <w:t>3</w:t>
      </w:r>
      <w:r>
        <w:rPr>
          <w:rFonts w:hint="eastAsia"/>
          <w:sz w:val="24"/>
        </w:rPr>
        <w:t>）如本次交易因涉嫌所提供或披露的信息存在虚假记载、误导性陈述或者重大遗漏，被司法机关立案侦查或者被中国证监会立案调查的，在案件调查结论明确以前，本人</w:t>
      </w:r>
      <w:r>
        <w:rPr>
          <w:rFonts w:hint="eastAsia"/>
          <w:sz w:val="24"/>
        </w:rPr>
        <w:t>/</w:t>
      </w:r>
      <w:r>
        <w:rPr>
          <w:rFonts w:hint="eastAsia"/>
          <w:sz w:val="24"/>
        </w:rPr>
        <w:t>本企业承诺不转让本人</w:t>
      </w:r>
      <w:r>
        <w:rPr>
          <w:rFonts w:hint="eastAsia"/>
          <w:sz w:val="24"/>
        </w:rPr>
        <w:t>/</w:t>
      </w:r>
      <w:r>
        <w:rPr>
          <w:rFonts w:hint="eastAsia"/>
          <w:sz w:val="24"/>
        </w:rPr>
        <w:t>本企业持有的上市公司股份。</w:t>
      </w:r>
    </w:p>
    <w:p w14:paraId="3F6B210A" w14:textId="77777777" w:rsidR="00FC5A62" w:rsidRDefault="00C76273" w:rsidP="000F335B">
      <w:pPr>
        <w:spacing w:beforeLines="50" w:before="156" w:afterLines="50" w:after="156" w:line="360" w:lineRule="auto"/>
        <w:ind w:firstLineChars="200" w:firstLine="482"/>
        <w:outlineLvl w:val="4"/>
        <w:rPr>
          <w:b/>
          <w:bCs/>
          <w:sz w:val="24"/>
        </w:rPr>
      </w:pPr>
      <w:r>
        <w:rPr>
          <w:b/>
          <w:bCs/>
          <w:sz w:val="24"/>
        </w:rPr>
        <w:t>3</w:t>
      </w:r>
      <w:r>
        <w:rPr>
          <w:rFonts w:hint="eastAsia"/>
          <w:b/>
          <w:bCs/>
          <w:sz w:val="24"/>
        </w:rPr>
        <w:t>、无锡</w:t>
      </w:r>
      <w:proofErr w:type="gramStart"/>
      <w:r>
        <w:rPr>
          <w:rFonts w:hint="eastAsia"/>
          <w:b/>
          <w:bCs/>
          <w:sz w:val="24"/>
        </w:rPr>
        <w:t>博太上层</w:t>
      </w:r>
      <w:proofErr w:type="gramEnd"/>
      <w:r>
        <w:rPr>
          <w:rFonts w:hint="eastAsia"/>
          <w:b/>
          <w:bCs/>
          <w:sz w:val="24"/>
        </w:rPr>
        <w:t>有限合伙人关于其持有的合伙企业财产份额转让限制约定</w:t>
      </w:r>
    </w:p>
    <w:p w14:paraId="0BDF5234" w14:textId="77777777" w:rsidR="00FC5A62" w:rsidRDefault="00C76273" w:rsidP="000F335B">
      <w:pPr>
        <w:spacing w:beforeLines="50" w:before="156" w:afterLines="50" w:after="156" w:line="360" w:lineRule="auto"/>
        <w:ind w:firstLineChars="200" w:firstLine="480"/>
        <w:rPr>
          <w:sz w:val="24"/>
        </w:rPr>
      </w:pPr>
      <w:r>
        <w:rPr>
          <w:rFonts w:hint="eastAsia"/>
          <w:sz w:val="24"/>
        </w:rPr>
        <w:t>根据无锡博太、有限合伙人以及博达新能签署的《股权激励授予协议书》，无锡</w:t>
      </w:r>
      <w:proofErr w:type="gramStart"/>
      <w:r>
        <w:rPr>
          <w:rFonts w:hint="eastAsia"/>
          <w:sz w:val="24"/>
        </w:rPr>
        <w:t>博太上层</w:t>
      </w:r>
      <w:proofErr w:type="gramEnd"/>
      <w:r>
        <w:rPr>
          <w:rFonts w:hint="eastAsia"/>
          <w:sz w:val="24"/>
        </w:rPr>
        <w:t>有限合伙人持有合伙企业财产份额的</w:t>
      </w:r>
      <w:r>
        <w:rPr>
          <w:sz w:val="24"/>
        </w:rPr>
        <w:t>等待</w:t>
      </w:r>
      <w:r>
        <w:rPr>
          <w:sz w:val="24"/>
        </w:rPr>
        <w:t>/</w:t>
      </w:r>
      <w:r>
        <w:rPr>
          <w:sz w:val="24"/>
        </w:rPr>
        <w:t>锁定期自</w:t>
      </w:r>
      <w:r>
        <w:rPr>
          <w:sz w:val="24"/>
        </w:rPr>
        <w:t>2023</w:t>
      </w:r>
      <w:r>
        <w:rPr>
          <w:rFonts w:hint="eastAsia"/>
          <w:sz w:val="24"/>
        </w:rPr>
        <w:t>年</w:t>
      </w:r>
      <w:r>
        <w:rPr>
          <w:sz w:val="24"/>
        </w:rPr>
        <w:t xml:space="preserve">8 </w:t>
      </w:r>
      <w:r>
        <w:rPr>
          <w:sz w:val="24"/>
        </w:rPr>
        <w:t>月</w:t>
      </w:r>
      <w:r>
        <w:rPr>
          <w:sz w:val="24"/>
        </w:rPr>
        <w:t>30</w:t>
      </w:r>
      <w:r>
        <w:rPr>
          <w:sz w:val="24"/>
        </w:rPr>
        <w:t>日起至</w:t>
      </w:r>
      <w:r>
        <w:rPr>
          <w:sz w:val="24"/>
        </w:rPr>
        <w:t>2027</w:t>
      </w:r>
      <w:r>
        <w:rPr>
          <w:sz w:val="24"/>
        </w:rPr>
        <w:t>年</w:t>
      </w:r>
      <w:r>
        <w:rPr>
          <w:sz w:val="24"/>
        </w:rPr>
        <w:t>6</w:t>
      </w:r>
      <w:r>
        <w:rPr>
          <w:sz w:val="24"/>
        </w:rPr>
        <w:t>月</w:t>
      </w:r>
      <w:r>
        <w:rPr>
          <w:sz w:val="24"/>
        </w:rPr>
        <w:t>30</w:t>
      </w:r>
      <w:r>
        <w:rPr>
          <w:sz w:val="24"/>
        </w:rPr>
        <w:t>日止。</w:t>
      </w:r>
      <w:r>
        <w:rPr>
          <w:rFonts w:hint="eastAsia"/>
          <w:sz w:val="24"/>
        </w:rPr>
        <w:t>激励对象有权且应当按照股权激励的规定获得授予股权，并按协议约定和激励计划规定锁定和买卖股权。锁定期内</w:t>
      </w:r>
      <w:r>
        <w:rPr>
          <w:sz w:val="24"/>
        </w:rPr>
        <w:t>激励对象不得对其所持有的股权激励份额实施转让、赠与、偿债、交换或其他任何变更份额所有权的行为，以及不得设立抵押、质押、担保、</w:t>
      </w:r>
      <w:proofErr w:type="gramStart"/>
      <w:r>
        <w:rPr>
          <w:sz w:val="24"/>
        </w:rPr>
        <w:t>其他第三</w:t>
      </w:r>
      <w:proofErr w:type="gramEnd"/>
      <w:r>
        <w:rPr>
          <w:sz w:val="24"/>
        </w:rPr>
        <w:t>方权利或设定其他任何权利负担。</w:t>
      </w:r>
      <w:r>
        <w:rPr>
          <w:rFonts w:hint="eastAsia"/>
          <w:sz w:val="24"/>
        </w:rPr>
        <w:t>激励对象按照股权激励方案的规定获授的股权激励，在授予前不享受任何投票权和表决权，同时也不参与股权红利、股息的分配。激励对象在股权激励实施中出现相关法定条款规定的不得成为激励对象的情形时，其</w:t>
      </w:r>
      <w:proofErr w:type="gramStart"/>
      <w:r>
        <w:rPr>
          <w:rFonts w:hint="eastAsia"/>
          <w:sz w:val="24"/>
        </w:rPr>
        <w:t>已获授但尚未</w:t>
      </w:r>
      <w:proofErr w:type="gramEnd"/>
      <w:r>
        <w:rPr>
          <w:rFonts w:hint="eastAsia"/>
          <w:sz w:val="24"/>
        </w:rPr>
        <w:t>授予的股权激励不得授予；已获授予的股权激励将有持股平台予以收回。各方授权无锡</w:t>
      </w:r>
      <w:proofErr w:type="gramStart"/>
      <w:r>
        <w:rPr>
          <w:rFonts w:hint="eastAsia"/>
          <w:sz w:val="24"/>
        </w:rPr>
        <w:t>博太执行</w:t>
      </w:r>
      <w:proofErr w:type="gramEnd"/>
      <w:r>
        <w:rPr>
          <w:rFonts w:hint="eastAsia"/>
          <w:sz w:val="24"/>
        </w:rPr>
        <w:t>事务合伙人、博达新能董事会为博达新能发展之目的适当调整股权激励平台的组织形式和内部治理结构等。同时，激励对象需遵守法律、行政法规、规范性文件及股权激励规定的其他相关权利义务。</w:t>
      </w:r>
    </w:p>
    <w:p w14:paraId="5EA0331C" w14:textId="77777777" w:rsidR="00FC5A62" w:rsidRDefault="00C76273" w:rsidP="000F335B">
      <w:pPr>
        <w:spacing w:beforeLines="50" w:before="156" w:afterLines="50" w:after="156" w:line="360" w:lineRule="auto"/>
        <w:ind w:firstLineChars="200" w:firstLine="480"/>
        <w:rPr>
          <w:sz w:val="24"/>
        </w:rPr>
      </w:pPr>
      <w:r>
        <w:rPr>
          <w:rFonts w:hint="eastAsia"/>
          <w:sz w:val="24"/>
        </w:rPr>
        <w:t>根据博达新能</w:t>
      </w:r>
      <w:r>
        <w:rPr>
          <w:rFonts w:hint="eastAsia"/>
          <w:sz w:val="24"/>
        </w:rPr>
        <w:t>2</w:t>
      </w:r>
      <w:r>
        <w:rPr>
          <w:sz w:val="24"/>
        </w:rPr>
        <w:t>023</w:t>
      </w:r>
      <w:r>
        <w:rPr>
          <w:rFonts w:hint="eastAsia"/>
          <w:sz w:val="24"/>
        </w:rPr>
        <w:t>年</w:t>
      </w:r>
      <w:r>
        <w:rPr>
          <w:rFonts w:hint="eastAsia"/>
          <w:sz w:val="24"/>
        </w:rPr>
        <w:t>8</w:t>
      </w:r>
      <w:r>
        <w:rPr>
          <w:rFonts w:hint="eastAsia"/>
          <w:sz w:val="24"/>
        </w:rPr>
        <w:t>月</w:t>
      </w:r>
      <w:r>
        <w:rPr>
          <w:rFonts w:hint="eastAsia"/>
          <w:sz w:val="24"/>
        </w:rPr>
        <w:t>2</w:t>
      </w:r>
      <w:r>
        <w:rPr>
          <w:sz w:val="24"/>
        </w:rPr>
        <w:t>1</w:t>
      </w:r>
      <w:r>
        <w:rPr>
          <w:rFonts w:hint="eastAsia"/>
          <w:sz w:val="24"/>
        </w:rPr>
        <w:t>日股东会决议通过的股权激励计划，该等激励计划有效期为长期，等待</w:t>
      </w:r>
      <w:r>
        <w:rPr>
          <w:rFonts w:hint="eastAsia"/>
          <w:sz w:val="24"/>
        </w:rPr>
        <w:t>/</w:t>
      </w:r>
      <w:r>
        <w:rPr>
          <w:rFonts w:hint="eastAsia"/>
          <w:sz w:val="24"/>
        </w:rPr>
        <w:t>锁定期自</w:t>
      </w:r>
      <w:r>
        <w:rPr>
          <w:sz w:val="24"/>
        </w:rPr>
        <w:t>2023</w:t>
      </w:r>
      <w:r>
        <w:rPr>
          <w:rFonts w:hint="eastAsia"/>
          <w:sz w:val="24"/>
        </w:rPr>
        <w:t>年</w:t>
      </w:r>
      <w:r>
        <w:rPr>
          <w:sz w:val="24"/>
        </w:rPr>
        <w:t>8</w:t>
      </w:r>
      <w:r>
        <w:rPr>
          <w:rFonts w:hint="eastAsia"/>
          <w:sz w:val="24"/>
        </w:rPr>
        <w:t>月</w:t>
      </w:r>
      <w:r>
        <w:rPr>
          <w:sz w:val="24"/>
        </w:rPr>
        <w:t>30</w:t>
      </w:r>
      <w:r>
        <w:rPr>
          <w:rFonts w:hint="eastAsia"/>
          <w:sz w:val="24"/>
        </w:rPr>
        <w:t>日起至</w:t>
      </w:r>
      <w:r>
        <w:rPr>
          <w:sz w:val="24"/>
        </w:rPr>
        <w:t>2027</w:t>
      </w:r>
      <w:r>
        <w:rPr>
          <w:rFonts w:hint="eastAsia"/>
          <w:sz w:val="24"/>
        </w:rPr>
        <w:t>年</w:t>
      </w:r>
      <w:r>
        <w:rPr>
          <w:sz w:val="24"/>
        </w:rPr>
        <w:t>6</w:t>
      </w:r>
      <w:r>
        <w:rPr>
          <w:rFonts w:hint="eastAsia"/>
          <w:sz w:val="24"/>
        </w:rPr>
        <w:t>月</w:t>
      </w:r>
      <w:r>
        <w:rPr>
          <w:sz w:val="24"/>
        </w:rPr>
        <w:t>30</w:t>
      </w:r>
      <w:r>
        <w:rPr>
          <w:rFonts w:hint="eastAsia"/>
          <w:sz w:val="24"/>
        </w:rPr>
        <w:t>日止（各方另有约定的除外）。等待期</w:t>
      </w:r>
      <w:r>
        <w:rPr>
          <w:rFonts w:hint="eastAsia"/>
          <w:sz w:val="24"/>
        </w:rPr>
        <w:t>/</w:t>
      </w:r>
      <w:r>
        <w:rPr>
          <w:rFonts w:hint="eastAsia"/>
          <w:sz w:val="24"/>
        </w:rPr>
        <w:t>锁定期结束后可分批次行权（亦指“出售”），行权批次不少于</w:t>
      </w:r>
      <w:r>
        <w:rPr>
          <w:rFonts w:hint="eastAsia"/>
          <w:sz w:val="24"/>
        </w:rPr>
        <w:t>2</w:t>
      </w:r>
      <w:r>
        <w:rPr>
          <w:rFonts w:hint="eastAsia"/>
          <w:sz w:val="24"/>
        </w:rPr>
        <w:t>次，行权批次间隔时长不低于</w:t>
      </w:r>
      <w:r>
        <w:rPr>
          <w:rFonts w:hint="eastAsia"/>
          <w:sz w:val="24"/>
        </w:rPr>
        <w:t>12</w:t>
      </w:r>
      <w:r>
        <w:rPr>
          <w:rFonts w:hint="eastAsia"/>
          <w:sz w:val="24"/>
        </w:rPr>
        <w:t>个月，每次行权不高于股数的</w:t>
      </w:r>
      <w:r>
        <w:rPr>
          <w:rFonts w:hint="eastAsia"/>
          <w:sz w:val="24"/>
        </w:rPr>
        <w:t>50%</w:t>
      </w:r>
      <w:r>
        <w:rPr>
          <w:rFonts w:hint="eastAsia"/>
          <w:sz w:val="24"/>
        </w:rPr>
        <w:t>。此外，激励计划规定中国证监会、证券交易所以及届时监管机构</w:t>
      </w:r>
      <w:r>
        <w:rPr>
          <w:rFonts w:hint="eastAsia"/>
          <w:sz w:val="24"/>
        </w:rPr>
        <w:t>/</w:t>
      </w:r>
      <w:r>
        <w:rPr>
          <w:rFonts w:hint="eastAsia"/>
          <w:sz w:val="24"/>
        </w:rPr>
        <w:t>人员</w:t>
      </w:r>
      <w:r>
        <w:rPr>
          <w:rFonts w:hint="eastAsia"/>
          <w:sz w:val="24"/>
        </w:rPr>
        <w:lastRenderedPageBreak/>
        <w:t>等对锁定、行权、减持有规定的，应当按照相关法规要求进行锁定和减持。</w:t>
      </w:r>
    </w:p>
    <w:p w14:paraId="42D59868" w14:textId="607B00C3" w:rsidR="00FC5A62" w:rsidRDefault="00C76273" w:rsidP="000F335B">
      <w:pPr>
        <w:spacing w:beforeLines="50" w:before="156" w:afterLines="50" w:after="156" w:line="360" w:lineRule="auto"/>
        <w:ind w:firstLineChars="200" w:firstLine="480"/>
        <w:rPr>
          <w:sz w:val="24"/>
        </w:rPr>
      </w:pPr>
      <w:r>
        <w:rPr>
          <w:rFonts w:hint="eastAsia"/>
          <w:sz w:val="24"/>
        </w:rPr>
        <w:t>综上所述，根据博达新能的股权激励计划以及无锡</w:t>
      </w:r>
      <w:proofErr w:type="gramStart"/>
      <w:r>
        <w:rPr>
          <w:rFonts w:hint="eastAsia"/>
          <w:sz w:val="24"/>
        </w:rPr>
        <w:t>博太上层</w:t>
      </w:r>
      <w:proofErr w:type="gramEnd"/>
      <w:r>
        <w:rPr>
          <w:rFonts w:hint="eastAsia"/>
          <w:sz w:val="24"/>
        </w:rPr>
        <w:t>有限合伙人已签署相关协议约定，无锡</w:t>
      </w:r>
      <w:proofErr w:type="gramStart"/>
      <w:r>
        <w:rPr>
          <w:rFonts w:hint="eastAsia"/>
          <w:sz w:val="24"/>
        </w:rPr>
        <w:t>博太上层</w:t>
      </w:r>
      <w:proofErr w:type="gramEnd"/>
      <w:r>
        <w:rPr>
          <w:rFonts w:hint="eastAsia"/>
          <w:sz w:val="24"/>
        </w:rPr>
        <w:t>有限合伙人需遵守股权激励计划规定的锁定期限，此外中国证监会、证券交易所及届时监管机构等对锁定、行权、减持有规定的，将按照相关法规要求进行锁定和减持。</w:t>
      </w:r>
    </w:p>
    <w:p w14:paraId="25F41BB7" w14:textId="77777777" w:rsidR="00FC5A62" w:rsidRDefault="00FC5A62" w:rsidP="00242C3A">
      <w:pPr>
        <w:spacing w:before="50" w:after="50" w:line="360" w:lineRule="auto"/>
        <w:ind w:firstLineChars="200" w:firstLine="480"/>
        <w:rPr>
          <w:rFonts w:eastAsiaTheme="minorEastAsia"/>
          <w:color w:val="000000"/>
          <w:sz w:val="24"/>
        </w:rPr>
      </w:pPr>
    </w:p>
    <w:p w14:paraId="20D8140C" w14:textId="77777777" w:rsidR="00FC5A62" w:rsidRDefault="00C76273" w:rsidP="000F335B">
      <w:pPr>
        <w:spacing w:beforeLines="50" w:before="156" w:afterLines="50" w:after="156" w:line="360" w:lineRule="auto"/>
        <w:ind w:firstLineChars="200" w:firstLine="480"/>
        <w:rPr>
          <w:rFonts w:eastAsiaTheme="minorEastAsia"/>
          <w:color w:val="000000"/>
          <w:sz w:val="24"/>
        </w:rPr>
      </w:pPr>
      <w:r>
        <w:rPr>
          <w:rFonts w:eastAsiaTheme="minorEastAsia"/>
          <w:color w:val="000000"/>
          <w:sz w:val="24"/>
        </w:rPr>
        <w:t>特此公告。</w:t>
      </w:r>
    </w:p>
    <w:p w14:paraId="1C85DEA9" w14:textId="77777777" w:rsidR="00FC5A62" w:rsidRDefault="00FC5A62" w:rsidP="00242C3A">
      <w:pPr>
        <w:widowControl/>
        <w:snapToGrid w:val="0"/>
        <w:spacing w:before="50" w:after="50" w:line="360" w:lineRule="auto"/>
        <w:ind w:firstLineChars="200" w:firstLine="480"/>
        <w:jc w:val="right"/>
        <w:rPr>
          <w:rFonts w:eastAsiaTheme="minorEastAsia"/>
          <w:kern w:val="0"/>
          <w:sz w:val="24"/>
        </w:rPr>
      </w:pPr>
    </w:p>
    <w:p w14:paraId="2ABB0CB6" w14:textId="77777777" w:rsidR="00174A78" w:rsidRDefault="00174A78" w:rsidP="00242C3A">
      <w:pPr>
        <w:widowControl/>
        <w:snapToGrid w:val="0"/>
        <w:spacing w:before="50" w:after="50" w:line="360" w:lineRule="auto"/>
        <w:ind w:firstLineChars="200" w:firstLine="480"/>
        <w:jc w:val="right"/>
        <w:rPr>
          <w:rFonts w:eastAsiaTheme="minorEastAsia"/>
          <w:kern w:val="0"/>
          <w:sz w:val="24"/>
        </w:rPr>
      </w:pPr>
    </w:p>
    <w:p w14:paraId="053701C4" w14:textId="77777777" w:rsidR="00174A78" w:rsidRDefault="00174A78" w:rsidP="00242C3A">
      <w:pPr>
        <w:widowControl/>
        <w:snapToGrid w:val="0"/>
        <w:spacing w:before="50" w:after="50" w:line="360" w:lineRule="auto"/>
        <w:ind w:firstLineChars="200" w:firstLine="480"/>
        <w:jc w:val="right"/>
        <w:rPr>
          <w:rFonts w:eastAsiaTheme="minorEastAsia"/>
          <w:kern w:val="0"/>
          <w:sz w:val="24"/>
        </w:rPr>
      </w:pPr>
    </w:p>
    <w:p w14:paraId="56BBCC1D" w14:textId="77777777" w:rsidR="00FC5A62" w:rsidRDefault="00C76273" w:rsidP="000F335B">
      <w:pPr>
        <w:widowControl/>
        <w:snapToGrid w:val="0"/>
        <w:spacing w:beforeLines="50" w:before="156" w:afterLines="50" w:after="156" w:line="360" w:lineRule="auto"/>
        <w:ind w:firstLineChars="200" w:firstLine="480"/>
        <w:jc w:val="right"/>
        <w:rPr>
          <w:rFonts w:eastAsiaTheme="minorEastAsia"/>
          <w:kern w:val="0"/>
          <w:sz w:val="24"/>
        </w:rPr>
      </w:pPr>
      <w:r>
        <w:rPr>
          <w:rFonts w:eastAsiaTheme="minorEastAsia"/>
          <w:kern w:val="0"/>
          <w:sz w:val="24"/>
        </w:rPr>
        <w:t>安徽省交通建设股份有限公司董事会</w:t>
      </w:r>
    </w:p>
    <w:p w14:paraId="7D9262C0" w14:textId="395B401F" w:rsidR="00FC5A62" w:rsidRDefault="00C76273" w:rsidP="000F335B">
      <w:pPr>
        <w:widowControl/>
        <w:snapToGrid w:val="0"/>
        <w:spacing w:beforeLines="50" w:before="156" w:afterLines="50" w:after="156" w:line="360" w:lineRule="auto"/>
        <w:ind w:right="480" w:firstLineChars="200" w:firstLine="480"/>
        <w:jc w:val="right"/>
        <w:rPr>
          <w:rFonts w:eastAsiaTheme="minorEastAsia"/>
          <w:color w:val="000000"/>
          <w:sz w:val="24"/>
        </w:rPr>
      </w:pPr>
      <w:r>
        <w:rPr>
          <w:rFonts w:eastAsiaTheme="minorEastAsia"/>
          <w:kern w:val="0"/>
          <w:sz w:val="24"/>
        </w:rPr>
        <w:t>                 </w:t>
      </w:r>
      <w:r>
        <w:rPr>
          <w:rFonts w:eastAsiaTheme="minorEastAsia"/>
          <w:color w:val="000000"/>
          <w:sz w:val="24"/>
        </w:rPr>
        <w:t>  2023</w:t>
      </w:r>
      <w:r>
        <w:rPr>
          <w:rFonts w:eastAsiaTheme="minorEastAsia"/>
          <w:color w:val="000000"/>
          <w:sz w:val="24"/>
        </w:rPr>
        <w:t>年</w:t>
      </w:r>
      <w:r>
        <w:rPr>
          <w:rFonts w:eastAsiaTheme="minorEastAsia"/>
          <w:color w:val="000000"/>
          <w:sz w:val="24"/>
        </w:rPr>
        <w:t>10</w:t>
      </w:r>
      <w:r>
        <w:rPr>
          <w:rFonts w:eastAsiaTheme="minorEastAsia"/>
          <w:color w:val="000000"/>
          <w:sz w:val="24"/>
        </w:rPr>
        <w:t>月</w:t>
      </w:r>
      <w:r w:rsidR="00174A78">
        <w:rPr>
          <w:rFonts w:eastAsiaTheme="minorEastAsia" w:hint="eastAsia"/>
          <w:color w:val="000000"/>
          <w:sz w:val="24"/>
        </w:rPr>
        <w:t>1</w:t>
      </w:r>
      <w:r w:rsidR="00174A78">
        <w:rPr>
          <w:rFonts w:eastAsiaTheme="minorEastAsia"/>
          <w:color w:val="000000"/>
          <w:sz w:val="24"/>
        </w:rPr>
        <w:t>7</w:t>
      </w:r>
      <w:r>
        <w:rPr>
          <w:rFonts w:eastAsiaTheme="minorEastAsia"/>
          <w:color w:val="000000"/>
          <w:sz w:val="24"/>
        </w:rPr>
        <w:t>日</w:t>
      </w:r>
    </w:p>
    <w:sectPr w:rsidR="00FC5A6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32157" w14:textId="77777777" w:rsidR="009C7F99" w:rsidRDefault="009C7F99">
      <w:r>
        <w:separator/>
      </w:r>
    </w:p>
  </w:endnote>
  <w:endnote w:type="continuationSeparator" w:id="0">
    <w:p w14:paraId="16477AEF" w14:textId="77777777" w:rsidR="009C7F99" w:rsidRDefault="009C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54589"/>
    </w:sdtPr>
    <w:sdtEndPr>
      <w:rPr>
        <w:rFonts w:ascii="Times New Roman" w:hAnsi="Times New Roman" w:cs="Times New Roman"/>
      </w:rPr>
    </w:sdtEndPr>
    <w:sdtContent>
      <w:p w14:paraId="576B5AA3" w14:textId="77777777" w:rsidR="00FC5A62" w:rsidRDefault="00C76273">
        <w:pPr>
          <w:pStyle w:val="a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DB3535" w:rsidRPr="00DB3535">
          <w:rPr>
            <w:rFonts w:ascii="Times New Roman" w:hAnsi="Times New Roman" w:cs="Times New Roman"/>
            <w:noProof/>
            <w:lang w:val="zh-CN"/>
          </w:rPr>
          <w:t>1</w:t>
        </w:r>
        <w:r>
          <w:rPr>
            <w:rFonts w:ascii="Times New Roman" w:hAnsi="Times New Roman" w:cs="Times New Roman"/>
            <w:lang w:val="zh-CN"/>
          </w:rPr>
          <w:fldChar w:fldCharType="end"/>
        </w:r>
      </w:p>
    </w:sdtContent>
  </w:sdt>
  <w:p w14:paraId="4C80FC5A" w14:textId="77777777" w:rsidR="00FC5A62" w:rsidRDefault="00FC5A6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B118A" w14:textId="77777777" w:rsidR="009C7F99" w:rsidRDefault="009C7F99">
      <w:r>
        <w:separator/>
      </w:r>
    </w:p>
  </w:footnote>
  <w:footnote w:type="continuationSeparator" w:id="0">
    <w:p w14:paraId="5898EAC9" w14:textId="77777777" w:rsidR="009C7F99" w:rsidRDefault="009C7F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17825"/>
    <w:multiLevelType w:val="multilevel"/>
    <w:tmpl w:val="44B17825"/>
    <w:lvl w:ilvl="0">
      <w:start w:val="1"/>
      <w:numFmt w:val="bullet"/>
      <w:lvlText w:val=""/>
      <w:lvlJc w:val="left"/>
      <w:pPr>
        <w:tabs>
          <w:tab w:val="left" w:pos="780"/>
        </w:tabs>
        <w:ind w:left="78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M2U0YmNjMDI5NDk5NDYyZjY1MmZiYzYxMjcyOTYifQ=="/>
  </w:docVars>
  <w:rsids>
    <w:rsidRoot w:val="00B1571D"/>
    <w:rsid w:val="000000C1"/>
    <w:rsid w:val="000039CB"/>
    <w:rsid w:val="000077B5"/>
    <w:rsid w:val="000101EB"/>
    <w:rsid w:val="00011F9D"/>
    <w:rsid w:val="00012171"/>
    <w:rsid w:val="000146CC"/>
    <w:rsid w:val="0001477F"/>
    <w:rsid w:val="00015A53"/>
    <w:rsid w:val="00015E83"/>
    <w:rsid w:val="00016211"/>
    <w:rsid w:val="000171E7"/>
    <w:rsid w:val="00017548"/>
    <w:rsid w:val="00017574"/>
    <w:rsid w:val="00020442"/>
    <w:rsid w:val="000207C7"/>
    <w:rsid w:val="00020822"/>
    <w:rsid w:val="000214CE"/>
    <w:rsid w:val="0002492A"/>
    <w:rsid w:val="00024FD0"/>
    <w:rsid w:val="0003120B"/>
    <w:rsid w:val="0003183B"/>
    <w:rsid w:val="000356A0"/>
    <w:rsid w:val="000357A4"/>
    <w:rsid w:val="00036FA3"/>
    <w:rsid w:val="00037347"/>
    <w:rsid w:val="0004042A"/>
    <w:rsid w:val="000407CC"/>
    <w:rsid w:val="00040F41"/>
    <w:rsid w:val="0004199A"/>
    <w:rsid w:val="00042396"/>
    <w:rsid w:val="000427BE"/>
    <w:rsid w:val="00043F15"/>
    <w:rsid w:val="00044703"/>
    <w:rsid w:val="000472AA"/>
    <w:rsid w:val="00047CA9"/>
    <w:rsid w:val="00047CE3"/>
    <w:rsid w:val="00050F99"/>
    <w:rsid w:val="0005191F"/>
    <w:rsid w:val="00052F29"/>
    <w:rsid w:val="000533B2"/>
    <w:rsid w:val="00054375"/>
    <w:rsid w:val="00054A9D"/>
    <w:rsid w:val="000550DE"/>
    <w:rsid w:val="00055874"/>
    <w:rsid w:val="00056780"/>
    <w:rsid w:val="00057F79"/>
    <w:rsid w:val="00060AF4"/>
    <w:rsid w:val="00060D08"/>
    <w:rsid w:val="00061835"/>
    <w:rsid w:val="00061C2C"/>
    <w:rsid w:val="00063E16"/>
    <w:rsid w:val="00063FFA"/>
    <w:rsid w:val="00064D98"/>
    <w:rsid w:val="00065839"/>
    <w:rsid w:val="000679FF"/>
    <w:rsid w:val="000747C2"/>
    <w:rsid w:val="00075265"/>
    <w:rsid w:val="0007597C"/>
    <w:rsid w:val="00077D50"/>
    <w:rsid w:val="00084239"/>
    <w:rsid w:val="000854ED"/>
    <w:rsid w:val="00086B94"/>
    <w:rsid w:val="00086F79"/>
    <w:rsid w:val="00090C85"/>
    <w:rsid w:val="0009317C"/>
    <w:rsid w:val="000936F4"/>
    <w:rsid w:val="0009625A"/>
    <w:rsid w:val="000A233D"/>
    <w:rsid w:val="000A23F2"/>
    <w:rsid w:val="000A2556"/>
    <w:rsid w:val="000A30DD"/>
    <w:rsid w:val="000A3BD9"/>
    <w:rsid w:val="000A4B40"/>
    <w:rsid w:val="000A6FC8"/>
    <w:rsid w:val="000B0E5F"/>
    <w:rsid w:val="000B1E1D"/>
    <w:rsid w:val="000B2CE8"/>
    <w:rsid w:val="000B6495"/>
    <w:rsid w:val="000C028B"/>
    <w:rsid w:val="000C3B20"/>
    <w:rsid w:val="000C4984"/>
    <w:rsid w:val="000D0969"/>
    <w:rsid w:val="000D17BE"/>
    <w:rsid w:val="000D4064"/>
    <w:rsid w:val="000D5A08"/>
    <w:rsid w:val="000D7A96"/>
    <w:rsid w:val="000D7BBA"/>
    <w:rsid w:val="000E0DBA"/>
    <w:rsid w:val="000E4184"/>
    <w:rsid w:val="000E6713"/>
    <w:rsid w:val="000F0EE8"/>
    <w:rsid w:val="000F1716"/>
    <w:rsid w:val="000F19E1"/>
    <w:rsid w:val="000F1B50"/>
    <w:rsid w:val="000F335B"/>
    <w:rsid w:val="000F3DB1"/>
    <w:rsid w:val="000F52AA"/>
    <w:rsid w:val="000F54C3"/>
    <w:rsid w:val="000F581B"/>
    <w:rsid w:val="000F785E"/>
    <w:rsid w:val="001009E1"/>
    <w:rsid w:val="00102082"/>
    <w:rsid w:val="00102554"/>
    <w:rsid w:val="00105E8E"/>
    <w:rsid w:val="00106C19"/>
    <w:rsid w:val="00106ED1"/>
    <w:rsid w:val="001115F0"/>
    <w:rsid w:val="00112EDB"/>
    <w:rsid w:val="00113579"/>
    <w:rsid w:val="00115A47"/>
    <w:rsid w:val="00122C21"/>
    <w:rsid w:val="00125FBB"/>
    <w:rsid w:val="00126240"/>
    <w:rsid w:val="00131F47"/>
    <w:rsid w:val="00132F92"/>
    <w:rsid w:val="001342B3"/>
    <w:rsid w:val="00134592"/>
    <w:rsid w:val="001366FB"/>
    <w:rsid w:val="001404C6"/>
    <w:rsid w:val="001410C1"/>
    <w:rsid w:val="00141C76"/>
    <w:rsid w:val="001425A7"/>
    <w:rsid w:val="00142A56"/>
    <w:rsid w:val="0014389E"/>
    <w:rsid w:val="00144C67"/>
    <w:rsid w:val="00145310"/>
    <w:rsid w:val="001456FD"/>
    <w:rsid w:val="00146427"/>
    <w:rsid w:val="00150A84"/>
    <w:rsid w:val="00151008"/>
    <w:rsid w:val="001511F0"/>
    <w:rsid w:val="001518D9"/>
    <w:rsid w:val="001522F0"/>
    <w:rsid w:val="001529B0"/>
    <w:rsid w:val="00152B94"/>
    <w:rsid w:val="00153751"/>
    <w:rsid w:val="00154D0A"/>
    <w:rsid w:val="0016046A"/>
    <w:rsid w:val="00162BDB"/>
    <w:rsid w:val="00162DF5"/>
    <w:rsid w:val="00166481"/>
    <w:rsid w:val="00166B43"/>
    <w:rsid w:val="00166D60"/>
    <w:rsid w:val="00170B5C"/>
    <w:rsid w:val="00172F26"/>
    <w:rsid w:val="001739C6"/>
    <w:rsid w:val="00173DEA"/>
    <w:rsid w:val="00174A78"/>
    <w:rsid w:val="001758D6"/>
    <w:rsid w:val="00175D04"/>
    <w:rsid w:val="00177107"/>
    <w:rsid w:val="00177F5B"/>
    <w:rsid w:val="00183650"/>
    <w:rsid w:val="001866DF"/>
    <w:rsid w:val="00187F94"/>
    <w:rsid w:val="00187FB1"/>
    <w:rsid w:val="0019023D"/>
    <w:rsid w:val="0019066C"/>
    <w:rsid w:val="00191F01"/>
    <w:rsid w:val="00193408"/>
    <w:rsid w:val="00193705"/>
    <w:rsid w:val="001947EF"/>
    <w:rsid w:val="00196471"/>
    <w:rsid w:val="001A1794"/>
    <w:rsid w:val="001A1CA1"/>
    <w:rsid w:val="001A1D93"/>
    <w:rsid w:val="001A3743"/>
    <w:rsid w:val="001A486A"/>
    <w:rsid w:val="001A4EE3"/>
    <w:rsid w:val="001A5E97"/>
    <w:rsid w:val="001A607D"/>
    <w:rsid w:val="001A749B"/>
    <w:rsid w:val="001A75C4"/>
    <w:rsid w:val="001B0034"/>
    <w:rsid w:val="001B06E7"/>
    <w:rsid w:val="001B0F2B"/>
    <w:rsid w:val="001B11DA"/>
    <w:rsid w:val="001B13A2"/>
    <w:rsid w:val="001B1626"/>
    <w:rsid w:val="001B1697"/>
    <w:rsid w:val="001B2F00"/>
    <w:rsid w:val="001B3CDC"/>
    <w:rsid w:val="001B4339"/>
    <w:rsid w:val="001B65C5"/>
    <w:rsid w:val="001B706B"/>
    <w:rsid w:val="001C14AA"/>
    <w:rsid w:val="001C375D"/>
    <w:rsid w:val="001C49BA"/>
    <w:rsid w:val="001C49F3"/>
    <w:rsid w:val="001C6F55"/>
    <w:rsid w:val="001C7F6F"/>
    <w:rsid w:val="001D1A63"/>
    <w:rsid w:val="001D2E0D"/>
    <w:rsid w:val="001D38CF"/>
    <w:rsid w:val="001D3A4F"/>
    <w:rsid w:val="001D54C2"/>
    <w:rsid w:val="001E5CBD"/>
    <w:rsid w:val="001E6513"/>
    <w:rsid w:val="001F0590"/>
    <w:rsid w:val="001F11BD"/>
    <w:rsid w:val="001F1B69"/>
    <w:rsid w:val="001F31AD"/>
    <w:rsid w:val="001F42CF"/>
    <w:rsid w:val="001F5F6D"/>
    <w:rsid w:val="001F7908"/>
    <w:rsid w:val="0020049A"/>
    <w:rsid w:val="00204368"/>
    <w:rsid w:val="00205AB4"/>
    <w:rsid w:val="00206A12"/>
    <w:rsid w:val="00210A3D"/>
    <w:rsid w:val="00210C57"/>
    <w:rsid w:val="00211520"/>
    <w:rsid w:val="00211877"/>
    <w:rsid w:val="00211A4D"/>
    <w:rsid w:val="00217248"/>
    <w:rsid w:val="00217BB4"/>
    <w:rsid w:val="00222997"/>
    <w:rsid w:val="002229CE"/>
    <w:rsid w:val="0022373D"/>
    <w:rsid w:val="00223833"/>
    <w:rsid w:val="002248D1"/>
    <w:rsid w:val="002256F4"/>
    <w:rsid w:val="0022635C"/>
    <w:rsid w:val="002267B1"/>
    <w:rsid w:val="00226D41"/>
    <w:rsid w:val="00232123"/>
    <w:rsid w:val="002329B0"/>
    <w:rsid w:val="00234127"/>
    <w:rsid w:val="0023432E"/>
    <w:rsid w:val="0023550C"/>
    <w:rsid w:val="00236889"/>
    <w:rsid w:val="00237287"/>
    <w:rsid w:val="00240D9D"/>
    <w:rsid w:val="00242C3A"/>
    <w:rsid w:val="00245A20"/>
    <w:rsid w:val="00246895"/>
    <w:rsid w:val="00253041"/>
    <w:rsid w:val="00253FA7"/>
    <w:rsid w:val="00255337"/>
    <w:rsid w:val="002554B3"/>
    <w:rsid w:val="0025654D"/>
    <w:rsid w:val="0025748F"/>
    <w:rsid w:val="0026100D"/>
    <w:rsid w:val="00261FC2"/>
    <w:rsid w:val="00264594"/>
    <w:rsid w:val="002651C1"/>
    <w:rsid w:val="002664EC"/>
    <w:rsid w:val="002672AA"/>
    <w:rsid w:val="0027079F"/>
    <w:rsid w:val="002711FA"/>
    <w:rsid w:val="00273163"/>
    <w:rsid w:val="00274B37"/>
    <w:rsid w:val="00274C14"/>
    <w:rsid w:val="00276459"/>
    <w:rsid w:val="00281798"/>
    <w:rsid w:val="00284876"/>
    <w:rsid w:val="00284A72"/>
    <w:rsid w:val="00286093"/>
    <w:rsid w:val="00286FA1"/>
    <w:rsid w:val="002919F5"/>
    <w:rsid w:val="00291B0D"/>
    <w:rsid w:val="00292A44"/>
    <w:rsid w:val="00292AE2"/>
    <w:rsid w:val="00295A63"/>
    <w:rsid w:val="00297447"/>
    <w:rsid w:val="002A0CE8"/>
    <w:rsid w:val="002A0EF3"/>
    <w:rsid w:val="002A109E"/>
    <w:rsid w:val="002A55A9"/>
    <w:rsid w:val="002A5D8C"/>
    <w:rsid w:val="002B1FCF"/>
    <w:rsid w:val="002B237F"/>
    <w:rsid w:val="002B2AA7"/>
    <w:rsid w:val="002B2BB8"/>
    <w:rsid w:val="002B3049"/>
    <w:rsid w:val="002B5D3E"/>
    <w:rsid w:val="002B723B"/>
    <w:rsid w:val="002B7361"/>
    <w:rsid w:val="002C04FF"/>
    <w:rsid w:val="002C06C3"/>
    <w:rsid w:val="002C246B"/>
    <w:rsid w:val="002C4CE8"/>
    <w:rsid w:val="002C5D75"/>
    <w:rsid w:val="002C7276"/>
    <w:rsid w:val="002C7E24"/>
    <w:rsid w:val="002D1DB2"/>
    <w:rsid w:val="002D24F8"/>
    <w:rsid w:val="002D25AA"/>
    <w:rsid w:val="002D3DF0"/>
    <w:rsid w:val="002E0A3F"/>
    <w:rsid w:val="002E0A48"/>
    <w:rsid w:val="002E0D49"/>
    <w:rsid w:val="002E15DA"/>
    <w:rsid w:val="002E246A"/>
    <w:rsid w:val="002E26D1"/>
    <w:rsid w:val="002E2996"/>
    <w:rsid w:val="002E2B74"/>
    <w:rsid w:val="002E39AD"/>
    <w:rsid w:val="002E3D4F"/>
    <w:rsid w:val="002E4A56"/>
    <w:rsid w:val="002E4BEF"/>
    <w:rsid w:val="002E6D62"/>
    <w:rsid w:val="002E7004"/>
    <w:rsid w:val="002E7C7C"/>
    <w:rsid w:val="002F45DE"/>
    <w:rsid w:val="002F5D68"/>
    <w:rsid w:val="002F6E66"/>
    <w:rsid w:val="002F711F"/>
    <w:rsid w:val="003015DA"/>
    <w:rsid w:val="0030484D"/>
    <w:rsid w:val="00304B37"/>
    <w:rsid w:val="00312FCA"/>
    <w:rsid w:val="003136FE"/>
    <w:rsid w:val="00313ABE"/>
    <w:rsid w:val="0031431B"/>
    <w:rsid w:val="00315275"/>
    <w:rsid w:val="003206EE"/>
    <w:rsid w:val="0032082F"/>
    <w:rsid w:val="0032131F"/>
    <w:rsid w:val="0032147B"/>
    <w:rsid w:val="0032245D"/>
    <w:rsid w:val="00322CE8"/>
    <w:rsid w:val="00323CBE"/>
    <w:rsid w:val="00325822"/>
    <w:rsid w:val="003263DF"/>
    <w:rsid w:val="0032706B"/>
    <w:rsid w:val="00331C11"/>
    <w:rsid w:val="00333ED9"/>
    <w:rsid w:val="00334948"/>
    <w:rsid w:val="00335881"/>
    <w:rsid w:val="00335BB6"/>
    <w:rsid w:val="003361CD"/>
    <w:rsid w:val="00337622"/>
    <w:rsid w:val="00340309"/>
    <w:rsid w:val="003421F0"/>
    <w:rsid w:val="003437DC"/>
    <w:rsid w:val="00343902"/>
    <w:rsid w:val="00343AAB"/>
    <w:rsid w:val="00343CAF"/>
    <w:rsid w:val="00344CC7"/>
    <w:rsid w:val="0035056D"/>
    <w:rsid w:val="00350C92"/>
    <w:rsid w:val="00352B58"/>
    <w:rsid w:val="0035319D"/>
    <w:rsid w:val="0035558C"/>
    <w:rsid w:val="00356A09"/>
    <w:rsid w:val="00357753"/>
    <w:rsid w:val="00357E12"/>
    <w:rsid w:val="00361C01"/>
    <w:rsid w:val="00362BE3"/>
    <w:rsid w:val="00363A5A"/>
    <w:rsid w:val="00363B8C"/>
    <w:rsid w:val="00365981"/>
    <w:rsid w:val="00371923"/>
    <w:rsid w:val="00371B02"/>
    <w:rsid w:val="00372461"/>
    <w:rsid w:val="00372D6F"/>
    <w:rsid w:val="00377736"/>
    <w:rsid w:val="00377E89"/>
    <w:rsid w:val="0038045C"/>
    <w:rsid w:val="00385618"/>
    <w:rsid w:val="00390DAC"/>
    <w:rsid w:val="00392DFA"/>
    <w:rsid w:val="0039548C"/>
    <w:rsid w:val="00397EEB"/>
    <w:rsid w:val="003A0D2C"/>
    <w:rsid w:val="003A161E"/>
    <w:rsid w:val="003A4A66"/>
    <w:rsid w:val="003A53C2"/>
    <w:rsid w:val="003A5E9C"/>
    <w:rsid w:val="003A7E88"/>
    <w:rsid w:val="003B4A6F"/>
    <w:rsid w:val="003B54A1"/>
    <w:rsid w:val="003B6A4C"/>
    <w:rsid w:val="003B79D5"/>
    <w:rsid w:val="003C6790"/>
    <w:rsid w:val="003C718E"/>
    <w:rsid w:val="003D15DF"/>
    <w:rsid w:val="003D2BDB"/>
    <w:rsid w:val="003D45D3"/>
    <w:rsid w:val="003D4CE8"/>
    <w:rsid w:val="003D4D2F"/>
    <w:rsid w:val="003D77FB"/>
    <w:rsid w:val="003E0308"/>
    <w:rsid w:val="003E4021"/>
    <w:rsid w:val="003E52B9"/>
    <w:rsid w:val="003E5302"/>
    <w:rsid w:val="003E54F3"/>
    <w:rsid w:val="003F22BB"/>
    <w:rsid w:val="003F2A58"/>
    <w:rsid w:val="003F38F2"/>
    <w:rsid w:val="003F3C38"/>
    <w:rsid w:val="003F42DD"/>
    <w:rsid w:val="003F455B"/>
    <w:rsid w:val="003F68D2"/>
    <w:rsid w:val="003F7AC0"/>
    <w:rsid w:val="004007A1"/>
    <w:rsid w:val="00401547"/>
    <w:rsid w:val="00402F80"/>
    <w:rsid w:val="004040BB"/>
    <w:rsid w:val="0040484C"/>
    <w:rsid w:val="00404E6A"/>
    <w:rsid w:val="004061DD"/>
    <w:rsid w:val="0040771C"/>
    <w:rsid w:val="004112D8"/>
    <w:rsid w:val="00412B3C"/>
    <w:rsid w:val="00413669"/>
    <w:rsid w:val="004140E9"/>
    <w:rsid w:val="004142D7"/>
    <w:rsid w:val="0041434F"/>
    <w:rsid w:val="004144E0"/>
    <w:rsid w:val="00414811"/>
    <w:rsid w:val="0041557D"/>
    <w:rsid w:val="00415D19"/>
    <w:rsid w:val="00416D61"/>
    <w:rsid w:val="00420DB3"/>
    <w:rsid w:val="004213DC"/>
    <w:rsid w:val="0042234B"/>
    <w:rsid w:val="00422EAF"/>
    <w:rsid w:val="00424D73"/>
    <w:rsid w:val="00425673"/>
    <w:rsid w:val="00426194"/>
    <w:rsid w:val="004263B9"/>
    <w:rsid w:val="00430C26"/>
    <w:rsid w:val="00431E78"/>
    <w:rsid w:val="004332DF"/>
    <w:rsid w:val="0043375B"/>
    <w:rsid w:val="00434A23"/>
    <w:rsid w:val="004352D5"/>
    <w:rsid w:val="0043723D"/>
    <w:rsid w:val="00440492"/>
    <w:rsid w:val="00440785"/>
    <w:rsid w:val="004443E8"/>
    <w:rsid w:val="004449A7"/>
    <w:rsid w:val="00445013"/>
    <w:rsid w:val="0044506B"/>
    <w:rsid w:val="004451AD"/>
    <w:rsid w:val="004453EB"/>
    <w:rsid w:val="00450811"/>
    <w:rsid w:val="00450D44"/>
    <w:rsid w:val="0045128D"/>
    <w:rsid w:val="0045206F"/>
    <w:rsid w:val="0045208B"/>
    <w:rsid w:val="00453A35"/>
    <w:rsid w:val="00454714"/>
    <w:rsid w:val="004551EE"/>
    <w:rsid w:val="00456EF4"/>
    <w:rsid w:val="004616E6"/>
    <w:rsid w:val="00464281"/>
    <w:rsid w:val="00466DA6"/>
    <w:rsid w:val="004677DE"/>
    <w:rsid w:val="004700D6"/>
    <w:rsid w:val="0048014F"/>
    <w:rsid w:val="004805D4"/>
    <w:rsid w:val="00480DE5"/>
    <w:rsid w:val="0048155C"/>
    <w:rsid w:val="00483472"/>
    <w:rsid w:val="00485B71"/>
    <w:rsid w:val="00490A55"/>
    <w:rsid w:val="0049241F"/>
    <w:rsid w:val="00492DA9"/>
    <w:rsid w:val="0049305B"/>
    <w:rsid w:val="004943EA"/>
    <w:rsid w:val="004944C7"/>
    <w:rsid w:val="00496553"/>
    <w:rsid w:val="004A04BF"/>
    <w:rsid w:val="004A10BE"/>
    <w:rsid w:val="004A31A5"/>
    <w:rsid w:val="004A60D2"/>
    <w:rsid w:val="004A7126"/>
    <w:rsid w:val="004B1012"/>
    <w:rsid w:val="004B21C8"/>
    <w:rsid w:val="004B3F74"/>
    <w:rsid w:val="004B505B"/>
    <w:rsid w:val="004B5B9E"/>
    <w:rsid w:val="004B6283"/>
    <w:rsid w:val="004B6387"/>
    <w:rsid w:val="004C01B3"/>
    <w:rsid w:val="004C0803"/>
    <w:rsid w:val="004C3F71"/>
    <w:rsid w:val="004C48A1"/>
    <w:rsid w:val="004C6514"/>
    <w:rsid w:val="004D1D6A"/>
    <w:rsid w:val="004D34FC"/>
    <w:rsid w:val="004D3AC1"/>
    <w:rsid w:val="004D3CF5"/>
    <w:rsid w:val="004D480A"/>
    <w:rsid w:val="004D5B63"/>
    <w:rsid w:val="004D5CEF"/>
    <w:rsid w:val="004D6C07"/>
    <w:rsid w:val="004E015D"/>
    <w:rsid w:val="004E28F0"/>
    <w:rsid w:val="004E396A"/>
    <w:rsid w:val="004E65B8"/>
    <w:rsid w:val="004F0FE0"/>
    <w:rsid w:val="004F21A6"/>
    <w:rsid w:val="004F2F76"/>
    <w:rsid w:val="004F3500"/>
    <w:rsid w:val="004F4D96"/>
    <w:rsid w:val="004F6D07"/>
    <w:rsid w:val="004F7AFA"/>
    <w:rsid w:val="004F7D1F"/>
    <w:rsid w:val="004F7D54"/>
    <w:rsid w:val="005000D6"/>
    <w:rsid w:val="005019AB"/>
    <w:rsid w:val="00501B21"/>
    <w:rsid w:val="0050273D"/>
    <w:rsid w:val="00502B2E"/>
    <w:rsid w:val="00505198"/>
    <w:rsid w:val="00506D4F"/>
    <w:rsid w:val="00507511"/>
    <w:rsid w:val="00522C6B"/>
    <w:rsid w:val="0052360F"/>
    <w:rsid w:val="00524853"/>
    <w:rsid w:val="0052565E"/>
    <w:rsid w:val="00525D4E"/>
    <w:rsid w:val="00525DB8"/>
    <w:rsid w:val="0052788A"/>
    <w:rsid w:val="00530849"/>
    <w:rsid w:val="00531A52"/>
    <w:rsid w:val="00533004"/>
    <w:rsid w:val="00534D3D"/>
    <w:rsid w:val="005355E6"/>
    <w:rsid w:val="005402FD"/>
    <w:rsid w:val="005408CC"/>
    <w:rsid w:val="005434A4"/>
    <w:rsid w:val="00544831"/>
    <w:rsid w:val="005454C3"/>
    <w:rsid w:val="00547D06"/>
    <w:rsid w:val="005535A3"/>
    <w:rsid w:val="00553888"/>
    <w:rsid w:val="00554074"/>
    <w:rsid w:val="00556326"/>
    <w:rsid w:val="00556B11"/>
    <w:rsid w:val="005575B5"/>
    <w:rsid w:val="00557F40"/>
    <w:rsid w:val="00561BCE"/>
    <w:rsid w:val="00562E9D"/>
    <w:rsid w:val="0056491E"/>
    <w:rsid w:val="00565FAC"/>
    <w:rsid w:val="00566418"/>
    <w:rsid w:val="00567361"/>
    <w:rsid w:val="00570A9B"/>
    <w:rsid w:val="00571746"/>
    <w:rsid w:val="005718BB"/>
    <w:rsid w:val="00571DD5"/>
    <w:rsid w:val="00573193"/>
    <w:rsid w:val="0057395F"/>
    <w:rsid w:val="00573B4E"/>
    <w:rsid w:val="005746A4"/>
    <w:rsid w:val="00574AF6"/>
    <w:rsid w:val="00575E05"/>
    <w:rsid w:val="00576B00"/>
    <w:rsid w:val="00577E33"/>
    <w:rsid w:val="005803C6"/>
    <w:rsid w:val="0058160D"/>
    <w:rsid w:val="0058515D"/>
    <w:rsid w:val="005855A1"/>
    <w:rsid w:val="00585DDC"/>
    <w:rsid w:val="00586C36"/>
    <w:rsid w:val="00587348"/>
    <w:rsid w:val="00587BFD"/>
    <w:rsid w:val="005900CF"/>
    <w:rsid w:val="0059107B"/>
    <w:rsid w:val="00591084"/>
    <w:rsid w:val="00591511"/>
    <w:rsid w:val="00593D7D"/>
    <w:rsid w:val="00594C1C"/>
    <w:rsid w:val="005969EB"/>
    <w:rsid w:val="005A0113"/>
    <w:rsid w:val="005A2658"/>
    <w:rsid w:val="005A2952"/>
    <w:rsid w:val="005A3CD9"/>
    <w:rsid w:val="005A462F"/>
    <w:rsid w:val="005A528C"/>
    <w:rsid w:val="005B1532"/>
    <w:rsid w:val="005B16AC"/>
    <w:rsid w:val="005B2CCB"/>
    <w:rsid w:val="005B36C7"/>
    <w:rsid w:val="005B46C9"/>
    <w:rsid w:val="005B54B6"/>
    <w:rsid w:val="005B561F"/>
    <w:rsid w:val="005C04C0"/>
    <w:rsid w:val="005C34BE"/>
    <w:rsid w:val="005C457E"/>
    <w:rsid w:val="005D1836"/>
    <w:rsid w:val="005D1DF0"/>
    <w:rsid w:val="005D2A83"/>
    <w:rsid w:val="005D37EA"/>
    <w:rsid w:val="005D3F4C"/>
    <w:rsid w:val="005D45F9"/>
    <w:rsid w:val="005D53F3"/>
    <w:rsid w:val="005D7921"/>
    <w:rsid w:val="005E2CA8"/>
    <w:rsid w:val="005E308E"/>
    <w:rsid w:val="005E3322"/>
    <w:rsid w:val="005E3FE2"/>
    <w:rsid w:val="005E417B"/>
    <w:rsid w:val="005E4F7C"/>
    <w:rsid w:val="005E5B1B"/>
    <w:rsid w:val="005E5BE5"/>
    <w:rsid w:val="005E5ED1"/>
    <w:rsid w:val="005E737E"/>
    <w:rsid w:val="005E76C6"/>
    <w:rsid w:val="005E77CF"/>
    <w:rsid w:val="005F0AD8"/>
    <w:rsid w:val="005F45FF"/>
    <w:rsid w:val="005F4B86"/>
    <w:rsid w:val="005F5067"/>
    <w:rsid w:val="005F7B75"/>
    <w:rsid w:val="006024CF"/>
    <w:rsid w:val="00605483"/>
    <w:rsid w:val="00606973"/>
    <w:rsid w:val="006079FE"/>
    <w:rsid w:val="00612FC8"/>
    <w:rsid w:val="006130DD"/>
    <w:rsid w:val="0061387E"/>
    <w:rsid w:val="00616D79"/>
    <w:rsid w:val="006174F9"/>
    <w:rsid w:val="00617BD8"/>
    <w:rsid w:val="00621FEB"/>
    <w:rsid w:val="006220DD"/>
    <w:rsid w:val="00624ABD"/>
    <w:rsid w:val="006251C0"/>
    <w:rsid w:val="006254BE"/>
    <w:rsid w:val="0062585D"/>
    <w:rsid w:val="00625F9D"/>
    <w:rsid w:val="0063157D"/>
    <w:rsid w:val="0063207B"/>
    <w:rsid w:val="006350BD"/>
    <w:rsid w:val="006353C3"/>
    <w:rsid w:val="00635809"/>
    <w:rsid w:val="00635D66"/>
    <w:rsid w:val="00635E76"/>
    <w:rsid w:val="0063610C"/>
    <w:rsid w:val="006363BD"/>
    <w:rsid w:val="0063722C"/>
    <w:rsid w:val="006372F2"/>
    <w:rsid w:val="00641A02"/>
    <w:rsid w:val="00642926"/>
    <w:rsid w:val="0064493E"/>
    <w:rsid w:val="00645642"/>
    <w:rsid w:val="00645F1A"/>
    <w:rsid w:val="00647F8F"/>
    <w:rsid w:val="006503A4"/>
    <w:rsid w:val="00650EDE"/>
    <w:rsid w:val="006561EC"/>
    <w:rsid w:val="00661B1B"/>
    <w:rsid w:val="00662AB8"/>
    <w:rsid w:val="00662EB7"/>
    <w:rsid w:val="00664177"/>
    <w:rsid w:val="0066509E"/>
    <w:rsid w:val="00665DBD"/>
    <w:rsid w:val="006665DB"/>
    <w:rsid w:val="006720EC"/>
    <w:rsid w:val="00672F4C"/>
    <w:rsid w:val="00677147"/>
    <w:rsid w:val="00677B55"/>
    <w:rsid w:val="00680F83"/>
    <w:rsid w:val="00683666"/>
    <w:rsid w:val="006860E4"/>
    <w:rsid w:val="00687E07"/>
    <w:rsid w:val="0069016A"/>
    <w:rsid w:val="00690C12"/>
    <w:rsid w:val="0069107C"/>
    <w:rsid w:val="00691C00"/>
    <w:rsid w:val="00692CBF"/>
    <w:rsid w:val="00693731"/>
    <w:rsid w:val="006944A5"/>
    <w:rsid w:val="00695A34"/>
    <w:rsid w:val="00695A90"/>
    <w:rsid w:val="00696286"/>
    <w:rsid w:val="00696E7F"/>
    <w:rsid w:val="00697040"/>
    <w:rsid w:val="006971AC"/>
    <w:rsid w:val="006A1845"/>
    <w:rsid w:val="006A25C1"/>
    <w:rsid w:val="006A2F98"/>
    <w:rsid w:val="006A3A15"/>
    <w:rsid w:val="006A4332"/>
    <w:rsid w:val="006A5890"/>
    <w:rsid w:val="006A5C30"/>
    <w:rsid w:val="006A69AB"/>
    <w:rsid w:val="006A7943"/>
    <w:rsid w:val="006B1226"/>
    <w:rsid w:val="006B1B27"/>
    <w:rsid w:val="006B342B"/>
    <w:rsid w:val="006B5773"/>
    <w:rsid w:val="006B5A9E"/>
    <w:rsid w:val="006B7C7B"/>
    <w:rsid w:val="006B7DCD"/>
    <w:rsid w:val="006C26A5"/>
    <w:rsid w:val="006C2B2D"/>
    <w:rsid w:val="006C389A"/>
    <w:rsid w:val="006C397F"/>
    <w:rsid w:val="006C4971"/>
    <w:rsid w:val="006C56E1"/>
    <w:rsid w:val="006C6513"/>
    <w:rsid w:val="006C7B4F"/>
    <w:rsid w:val="006D06E5"/>
    <w:rsid w:val="006D1319"/>
    <w:rsid w:val="006D5439"/>
    <w:rsid w:val="006D6DDF"/>
    <w:rsid w:val="006E04B3"/>
    <w:rsid w:val="006E1C3D"/>
    <w:rsid w:val="006E2BD5"/>
    <w:rsid w:val="006E3132"/>
    <w:rsid w:val="006E56AC"/>
    <w:rsid w:val="006E6431"/>
    <w:rsid w:val="006E6E76"/>
    <w:rsid w:val="006E6F08"/>
    <w:rsid w:val="006E7C3B"/>
    <w:rsid w:val="006E7ECD"/>
    <w:rsid w:val="006F01A7"/>
    <w:rsid w:val="006F4CC3"/>
    <w:rsid w:val="006F5750"/>
    <w:rsid w:val="006F5AA1"/>
    <w:rsid w:val="006F689C"/>
    <w:rsid w:val="00700C8B"/>
    <w:rsid w:val="00703BD4"/>
    <w:rsid w:val="007044A4"/>
    <w:rsid w:val="007048E6"/>
    <w:rsid w:val="00704C73"/>
    <w:rsid w:val="007107FC"/>
    <w:rsid w:val="007114E5"/>
    <w:rsid w:val="00711674"/>
    <w:rsid w:val="00711DA5"/>
    <w:rsid w:val="0071279A"/>
    <w:rsid w:val="00713AC0"/>
    <w:rsid w:val="00713C5C"/>
    <w:rsid w:val="0071494B"/>
    <w:rsid w:val="007149B3"/>
    <w:rsid w:val="00714A9A"/>
    <w:rsid w:val="00716F0B"/>
    <w:rsid w:val="00716F27"/>
    <w:rsid w:val="00717212"/>
    <w:rsid w:val="007244E6"/>
    <w:rsid w:val="00724936"/>
    <w:rsid w:val="00724CD4"/>
    <w:rsid w:val="0072642C"/>
    <w:rsid w:val="007308ED"/>
    <w:rsid w:val="0073153E"/>
    <w:rsid w:val="00732E8B"/>
    <w:rsid w:val="0073361E"/>
    <w:rsid w:val="00733ADA"/>
    <w:rsid w:val="00734041"/>
    <w:rsid w:val="007356C7"/>
    <w:rsid w:val="00735A4E"/>
    <w:rsid w:val="007372DD"/>
    <w:rsid w:val="00737EF8"/>
    <w:rsid w:val="007402C0"/>
    <w:rsid w:val="007405FB"/>
    <w:rsid w:val="00740726"/>
    <w:rsid w:val="00740F5C"/>
    <w:rsid w:val="00743BD5"/>
    <w:rsid w:val="007444AE"/>
    <w:rsid w:val="00744859"/>
    <w:rsid w:val="007478FD"/>
    <w:rsid w:val="007504CB"/>
    <w:rsid w:val="007519FA"/>
    <w:rsid w:val="00753612"/>
    <w:rsid w:val="00755D18"/>
    <w:rsid w:val="007568FC"/>
    <w:rsid w:val="007605C0"/>
    <w:rsid w:val="00761273"/>
    <w:rsid w:val="007615AA"/>
    <w:rsid w:val="00761E46"/>
    <w:rsid w:val="007627C8"/>
    <w:rsid w:val="00763351"/>
    <w:rsid w:val="007645BA"/>
    <w:rsid w:val="007651E8"/>
    <w:rsid w:val="0076564E"/>
    <w:rsid w:val="00765A0C"/>
    <w:rsid w:val="00765C79"/>
    <w:rsid w:val="00774D93"/>
    <w:rsid w:val="0077648F"/>
    <w:rsid w:val="0077754D"/>
    <w:rsid w:val="0078048F"/>
    <w:rsid w:val="00780FE5"/>
    <w:rsid w:val="00781445"/>
    <w:rsid w:val="00784819"/>
    <w:rsid w:val="007857BE"/>
    <w:rsid w:val="0079119B"/>
    <w:rsid w:val="00791D76"/>
    <w:rsid w:val="00792A1F"/>
    <w:rsid w:val="00794927"/>
    <w:rsid w:val="007969CF"/>
    <w:rsid w:val="007A074D"/>
    <w:rsid w:val="007A259C"/>
    <w:rsid w:val="007A2E32"/>
    <w:rsid w:val="007A5068"/>
    <w:rsid w:val="007A7BF1"/>
    <w:rsid w:val="007A7EED"/>
    <w:rsid w:val="007B00FB"/>
    <w:rsid w:val="007B0245"/>
    <w:rsid w:val="007B0E1E"/>
    <w:rsid w:val="007B1A5A"/>
    <w:rsid w:val="007B2A1C"/>
    <w:rsid w:val="007B2BF6"/>
    <w:rsid w:val="007B49FD"/>
    <w:rsid w:val="007B66EC"/>
    <w:rsid w:val="007B673D"/>
    <w:rsid w:val="007B6E43"/>
    <w:rsid w:val="007B74B6"/>
    <w:rsid w:val="007C024A"/>
    <w:rsid w:val="007C0313"/>
    <w:rsid w:val="007C04C6"/>
    <w:rsid w:val="007C2219"/>
    <w:rsid w:val="007C22EF"/>
    <w:rsid w:val="007C3F80"/>
    <w:rsid w:val="007C53A0"/>
    <w:rsid w:val="007C6880"/>
    <w:rsid w:val="007C71DA"/>
    <w:rsid w:val="007D1918"/>
    <w:rsid w:val="007D1DDD"/>
    <w:rsid w:val="007D23F6"/>
    <w:rsid w:val="007D3411"/>
    <w:rsid w:val="007D3CAB"/>
    <w:rsid w:val="007D4E2D"/>
    <w:rsid w:val="007E0466"/>
    <w:rsid w:val="007E093E"/>
    <w:rsid w:val="007E14FE"/>
    <w:rsid w:val="007E1BCE"/>
    <w:rsid w:val="007E1F79"/>
    <w:rsid w:val="007E2708"/>
    <w:rsid w:val="007E37DA"/>
    <w:rsid w:val="007E37F7"/>
    <w:rsid w:val="007E3AF1"/>
    <w:rsid w:val="007E3E9C"/>
    <w:rsid w:val="007E4DC3"/>
    <w:rsid w:val="007F0ABD"/>
    <w:rsid w:val="007F2089"/>
    <w:rsid w:val="007F3579"/>
    <w:rsid w:val="007F4DF6"/>
    <w:rsid w:val="007F68A1"/>
    <w:rsid w:val="007F7B12"/>
    <w:rsid w:val="00801673"/>
    <w:rsid w:val="0080269A"/>
    <w:rsid w:val="0080373B"/>
    <w:rsid w:val="0080483B"/>
    <w:rsid w:val="00806621"/>
    <w:rsid w:val="008078BF"/>
    <w:rsid w:val="008102CF"/>
    <w:rsid w:val="008102F5"/>
    <w:rsid w:val="00810A9C"/>
    <w:rsid w:val="00810F07"/>
    <w:rsid w:val="00812DB7"/>
    <w:rsid w:val="00816450"/>
    <w:rsid w:val="008204BF"/>
    <w:rsid w:val="008214CD"/>
    <w:rsid w:val="008222FE"/>
    <w:rsid w:val="00822CC9"/>
    <w:rsid w:val="008244B1"/>
    <w:rsid w:val="008265C8"/>
    <w:rsid w:val="00832EFD"/>
    <w:rsid w:val="00834007"/>
    <w:rsid w:val="008356A5"/>
    <w:rsid w:val="008369AC"/>
    <w:rsid w:val="00836B36"/>
    <w:rsid w:val="00841379"/>
    <w:rsid w:val="00842804"/>
    <w:rsid w:val="00843F88"/>
    <w:rsid w:val="0084704B"/>
    <w:rsid w:val="008504B6"/>
    <w:rsid w:val="00850DC3"/>
    <w:rsid w:val="00855F52"/>
    <w:rsid w:val="00856803"/>
    <w:rsid w:val="008577E1"/>
    <w:rsid w:val="00857C6F"/>
    <w:rsid w:val="00860CCE"/>
    <w:rsid w:val="00864731"/>
    <w:rsid w:val="008655BF"/>
    <w:rsid w:val="00865704"/>
    <w:rsid w:val="00867624"/>
    <w:rsid w:val="00867659"/>
    <w:rsid w:val="008701FF"/>
    <w:rsid w:val="00871042"/>
    <w:rsid w:val="00871EB4"/>
    <w:rsid w:val="0087470C"/>
    <w:rsid w:val="008748BB"/>
    <w:rsid w:val="00875594"/>
    <w:rsid w:val="008756CE"/>
    <w:rsid w:val="008757C5"/>
    <w:rsid w:val="00875D09"/>
    <w:rsid w:val="008765B1"/>
    <w:rsid w:val="00876CCC"/>
    <w:rsid w:val="008770B5"/>
    <w:rsid w:val="00881468"/>
    <w:rsid w:val="008837E9"/>
    <w:rsid w:val="00884670"/>
    <w:rsid w:val="00885D12"/>
    <w:rsid w:val="008909EA"/>
    <w:rsid w:val="00892500"/>
    <w:rsid w:val="00894BFC"/>
    <w:rsid w:val="00895A4B"/>
    <w:rsid w:val="008A0F22"/>
    <w:rsid w:val="008A1A3A"/>
    <w:rsid w:val="008A207A"/>
    <w:rsid w:val="008A251F"/>
    <w:rsid w:val="008A28BB"/>
    <w:rsid w:val="008A29ED"/>
    <w:rsid w:val="008A4BEB"/>
    <w:rsid w:val="008A561C"/>
    <w:rsid w:val="008A5903"/>
    <w:rsid w:val="008A6B89"/>
    <w:rsid w:val="008B0CC1"/>
    <w:rsid w:val="008B1060"/>
    <w:rsid w:val="008B1557"/>
    <w:rsid w:val="008B362C"/>
    <w:rsid w:val="008B3CAD"/>
    <w:rsid w:val="008B5B71"/>
    <w:rsid w:val="008C01CF"/>
    <w:rsid w:val="008C1891"/>
    <w:rsid w:val="008C4DA0"/>
    <w:rsid w:val="008C582C"/>
    <w:rsid w:val="008C5F34"/>
    <w:rsid w:val="008C609E"/>
    <w:rsid w:val="008C6B12"/>
    <w:rsid w:val="008D1BF8"/>
    <w:rsid w:val="008D1C6D"/>
    <w:rsid w:val="008D26D7"/>
    <w:rsid w:val="008D3382"/>
    <w:rsid w:val="008E2D16"/>
    <w:rsid w:val="008E6960"/>
    <w:rsid w:val="008F2641"/>
    <w:rsid w:val="008F318A"/>
    <w:rsid w:val="008F3B2F"/>
    <w:rsid w:val="008F40CC"/>
    <w:rsid w:val="008F44CF"/>
    <w:rsid w:val="008F4E3C"/>
    <w:rsid w:val="008F5080"/>
    <w:rsid w:val="008F5F33"/>
    <w:rsid w:val="008F7CB9"/>
    <w:rsid w:val="00903684"/>
    <w:rsid w:val="00903A57"/>
    <w:rsid w:val="00903F8A"/>
    <w:rsid w:val="00903FCD"/>
    <w:rsid w:val="00904275"/>
    <w:rsid w:val="0090489A"/>
    <w:rsid w:val="00904AEA"/>
    <w:rsid w:val="009055F5"/>
    <w:rsid w:val="0090573E"/>
    <w:rsid w:val="00905FAE"/>
    <w:rsid w:val="00906A15"/>
    <w:rsid w:val="00910737"/>
    <w:rsid w:val="00911069"/>
    <w:rsid w:val="00912B3A"/>
    <w:rsid w:val="0091355C"/>
    <w:rsid w:val="00915219"/>
    <w:rsid w:val="00915307"/>
    <w:rsid w:val="00916925"/>
    <w:rsid w:val="009169A2"/>
    <w:rsid w:val="00916AF2"/>
    <w:rsid w:val="0091741A"/>
    <w:rsid w:val="00920C38"/>
    <w:rsid w:val="00922167"/>
    <w:rsid w:val="009232FD"/>
    <w:rsid w:val="0092423C"/>
    <w:rsid w:val="00927288"/>
    <w:rsid w:val="00927BD7"/>
    <w:rsid w:val="00927E78"/>
    <w:rsid w:val="00934707"/>
    <w:rsid w:val="00934F84"/>
    <w:rsid w:val="00941297"/>
    <w:rsid w:val="00942209"/>
    <w:rsid w:val="009431B5"/>
    <w:rsid w:val="00944B6E"/>
    <w:rsid w:val="00946624"/>
    <w:rsid w:val="00946979"/>
    <w:rsid w:val="00950523"/>
    <w:rsid w:val="00951453"/>
    <w:rsid w:val="0095219F"/>
    <w:rsid w:val="00952528"/>
    <w:rsid w:val="00953891"/>
    <w:rsid w:val="00955D8F"/>
    <w:rsid w:val="00957226"/>
    <w:rsid w:val="009577B9"/>
    <w:rsid w:val="0096062C"/>
    <w:rsid w:val="0096098C"/>
    <w:rsid w:val="00961F8E"/>
    <w:rsid w:val="009631D7"/>
    <w:rsid w:val="0096336F"/>
    <w:rsid w:val="00963457"/>
    <w:rsid w:val="009658EB"/>
    <w:rsid w:val="00965E4D"/>
    <w:rsid w:val="00966E03"/>
    <w:rsid w:val="00967A2B"/>
    <w:rsid w:val="00967D4A"/>
    <w:rsid w:val="00971CFD"/>
    <w:rsid w:val="00973851"/>
    <w:rsid w:val="009764AD"/>
    <w:rsid w:val="009766BD"/>
    <w:rsid w:val="00976BF8"/>
    <w:rsid w:val="00981D88"/>
    <w:rsid w:val="00982800"/>
    <w:rsid w:val="00982C0E"/>
    <w:rsid w:val="009836A3"/>
    <w:rsid w:val="00983FFD"/>
    <w:rsid w:val="00984414"/>
    <w:rsid w:val="0098541E"/>
    <w:rsid w:val="009864A8"/>
    <w:rsid w:val="00986E59"/>
    <w:rsid w:val="00987C4B"/>
    <w:rsid w:val="00987F95"/>
    <w:rsid w:val="009901FA"/>
    <w:rsid w:val="00990E24"/>
    <w:rsid w:val="009923FC"/>
    <w:rsid w:val="009925EC"/>
    <w:rsid w:val="009946F9"/>
    <w:rsid w:val="00995E02"/>
    <w:rsid w:val="00995E30"/>
    <w:rsid w:val="00997BEF"/>
    <w:rsid w:val="009A0544"/>
    <w:rsid w:val="009A05A9"/>
    <w:rsid w:val="009A18A8"/>
    <w:rsid w:val="009A3342"/>
    <w:rsid w:val="009A557B"/>
    <w:rsid w:val="009A6B33"/>
    <w:rsid w:val="009A782E"/>
    <w:rsid w:val="009B0CBD"/>
    <w:rsid w:val="009B0D8B"/>
    <w:rsid w:val="009B1B65"/>
    <w:rsid w:val="009B33CB"/>
    <w:rsid w:val="009B47B8"/>
    <w:rsid w:val="009B6322"/>
    <w:rsid w:val="009C3706"/>
    <w:rsid w:val="009C3EDF"/>
    <w:rsid w:val="009C3FC2"/>
    <w:rsid w:val="009C4AF2"/>
    <w:rsid w:val="009C7202"/>
    <w:rsid w:val="009C7F18"/>
    <w:rsid w:val="009C7F99"/>
    <w:rsid w:val="009D0ECF"/>
    <w:rsid w:val="009D190E"/>
    <w:rsid w:val="009D3A05"/>
    <w:rsid w:val="009D465D"/>
    <w:rsid w:val="009D604A"/>
    <w:rsid w:val="009D6A7C"/>
    <w:rsid w:val="009D7CE5"/>
    <w:rsid w:val="009E1464"/>
    <w:rsid w:val="009E18C9"/>
    <w:rsid w:val="009E2450"/>
    <w:rsid w:val="009E3C32"/>
    <w:rsid w:val="009E3C5D"/>
    <w:rsid w:val="009E3E98"/>
    <w:rsid w:val="009E45D6"/>
    <w:rsid w:val="009E5519"/>
    <w:rsid w:val="009E56D6"/>
    <w:rsid w:val="009E59A2"/>
    <w:rsid w:val="009E6230"/>
    <w:rsid w:val="009E743B"/>
    <w:rsid w:val="009E74A9"/>
    <w:rsid w:val="009F31EB"/>
    <w:rsid w:val="009F448A"/>
    <w:rsid w:val="009F4C10"/>
    <w:rsid w:val="009F5BA0"/>
    <w:rsid w:val="00A00160"/>
    <w:rsid w:val="00A0031D"/>
    <w:rsid w:val="00A00998"/>
    <w:rsid w:val="00A01368"/>
    <w:rsid w:val="00A02B31"/>
    <w:rsid w:val="00A02CCA"/>
    <w:rsid w:val="00A03213"/>
    <w:rsid w:val="00A03F22"/>
    <w:rsid w:val="00A04438"/>
    <w:rsid w:val="00A073E3"/>
    <w:rsid w:val="00A10E67"/>
    <w:rsid w:val="00A12534"/>
    <w:rsid w:val="00A130E3"/>
    <w:rsid w:val="00A14320"/>
    <w:rsid w:val="00A144C1"/>
    <w:rsid w:val="00A16320"/>
    <w:rsid w:val="00A17027"/>
    <w:rsid w:val="00A216E4"/>
    <w:rsid w:val="00A246ED"/>
    <w:rsid w:val="00A31793"/>
    <w:rsid w:val="00A344A6"/>
    <w:rsid w:val="00A35630"/>
    <w:rsid w:val="00A35CEF"/>
    <w:rsid w:val="00A407AF"/>
    <w:rsid w:val="00A41639"/>
    <w:rsid w:val="00A41E9B"/>
    <w:rsid w:val="00A44CCC"/>
    <w:rsid w:val="00A450DE"/>
    <w:rsid w:val="00A504D4"/>
    <w:rsid w:val="00A52639"/>
    <w:rsid w:val="00A53859"/>
    <w:rsid w:val="00A548C6"/>
    <w:rsid w:val="00A56594"/>
    <w:rsid w:val="00A56F07"/>
    <w:rsid w:val="00A57982"/>
    <w:rsid w:val="00A624A6"/>
    <w:rsid w:val="00A635B2"/>
    <w:rsid w:val="00A63FCF"/>
    <w:rsid w:val="00A660AD"/>
    <w:rsid w:val="00A7528C"/>
    <w:rsid w:val="00A766D1"/>
    <w:rsid w:val="00A77483"/>
    <w:rsid w:val="00A77A23"/>
    <w:rsid w:val="00A82981"/>
    <w:rsid w:val="00A82F84"/>
    <w:rsid w:val="00A830D4"/>
    <w:rsid w:val="00A83DB6"/>
    <w:rsid w:val="00A843C3"/>
    <w:rsid w:val="00A84A0D"/>
    <w:rsid w:val="00A8604E"/>
    <w:rsid w:val="00A8619A"/>
    <w:rsid w:val="00A86E3E"/>
    <w:rsid w:val="00A927A9"/>
    <w:rsid w:val="00A95412"/>
    <w:rsid w:val="00A960E7"/>
    <w:rsid w:val="00AA067C"/>
    <w:rsid w:val="00AA0985"/>
    <w:rsid w:val="00AA2244"/>
    <w:rsid w:val="00AA4003"/>
    <w:rsid w:val="00AA412A"/>
    <w:rsid w:val="00AA4C5F"/>
    <w:rsid w:val="00AA6E22"/>
    <w:rsid w:val="00AA7E12"/>
    <w:rsid w:val="00AB017D"/>
    <w:rsid w:val="00AB215B"/>
    <w:rsid w:val="00AB2D6A"/>
    <w:rsid w:val="00AB55AE"/>
    <w:rsid w:val="00AB5EE9"/>
    <w:rsid w:val="00AB6626"/>
    <w:rsid w:val="00AB675B"/>
    <w:rsid w:val="00AB6AE2"/>
    <w:rsid w:val="00AC0B3B"/>
    <w:rsid w:val="00AC247C"/>
    <w:rsid w:val="00AC2921"/>
    <w:rsid w:val="00AC2945"/>
    <w:rsid w:val="00AC2995"/>
    <w:rsid w:val="00AC3EF6"/>
    <w:rsid w:val="00AC4B20"/>
    <w:rsid w:val="00AC63C6"/>
    <w:rsid w:val="00AC651A"/>
    <w:rsid w:val="00AC6845"/>
    <w:rsid w:val="00AC717A"/>
    <w:rsid w:val="00AC73E3"/>
    <w:rsid w:val="00AC7885"/>
    <w:rsid w:val="00AD48F8"/>
    <w:rsid w:val="00AD632C"/>
    <w:rsid w:val="00AD63FC"/>
    <w:rsid w:val="00AD775F"/>
    <w:rsid w:val="00AE02FF"/>
    <w:rsid w:val="00AE1A0B"/>
    <w:rsid w:val="00AE2CE9"/>
    <w:rsid w:val="00AE4F29"/>
    <w:rsid w:val="00AE7C00"/>
    <w:rsid w:val="00AF0146"/>
    <w:rsid w:val="00AF4B62"/>
    <w:rsid w:val="00AF712B"/>
    <w:rsid w:val="00B023DA"/>
    <w:rsid w:val="00B0306B"/>
    <w:rsid w:val="00B03C4B"/>
    <w:rsid w:val="00B070F8"/>
    <w:rsid w:val="00B100E6"/>
    <w:rsid w:val="00B12676"/>
    <w:rsid w:val="00B12CF6"/>
    <w:rsid w:val="00B133BA"/>
    <w:rsid w:val="00B1571D"/>
    <w:rsid w:val="00B200B6"/>
    <w:rsid w:val="00B246D0"/>
    <w:rsid w:val="00B25629"/>
    <w:rsid w:val="00B309DC"/>
    <w:rsid w:val="00B30C81"/>
    <w:rsid w:val="00B317F1"/>
    <w:rsid w:val="00B31B52"/>
    <w:rsid w:val="00B3219A"/>
    <w:rsid w:val="00B33219"/>
    <w:rsid w:val="00B342A1"/>
    <w:rsid w:val="00B35AB6"/>
    <w:rsid w:val="00B41D81"/>
    <w:rsid w:val="00B42368"/>
    <w:rsid w:val="00B43459"/>
    <w:rsid w:val="00B452FA"/>
    <w:rsid w:val="00B4686F"/>
    <w:rsid w:val="00B46E5E"/>
    <w:rsid w:val="00B47960"/>
    <w:rsid w:val="00B539C3"/>
    <w:rsid w:val="00B55519"/>
    <w:rsid w:val="00B57179"/>
    <w:rsid w:val="00B57326"/>
    <w:rsid w:val="00B57A71"/>
    <w:rsid w:val="00B57BDA"/>
    <w:rsid w:val="00B60920"/>
    <w:rsid w:val="00B61ABB"/>
    <w:rsid w:val="00B6352F"/>
    <w:rsid w:val="00B63F40"/>
    <w:rsid w:val="00B64830"/>
    <w:rsid w:val="00B64991"/>
    <w:rsid w:val="00B64A3A"/>
    <w:rsid w:val="00B64EA2"/>
    <w:rsid w:val="00B664C2"/>
    <w:rsid w:val="00B666B4"/>
    <w:rsid w:val="00B66ABE"/>
    <w:rsid w:val="00B704D4"/>
    <w:rsid w:val="00B71D7B"/>
    <w:rsid w:val="00B72F07"/>
    <w:rsid w:val="00B74507"/>
    <w:rsid w:val="00B750FB"/>
    <w:rsid w:val="00B7660B"/>
    <w:rsid w:val="00B76DC2"/>
    <w:rsid w:val="00B77112"/>
    <w:rsid w:val="00B7714C"/>
    <w:rsid w:val="00B7719D"/>
    <w:rsid w:val="00B80632"/>
    <w:rsid w:val="00B80782"/>
    <w:rsid w:val="00B80835"/>
    <w:rsid w:val="00B83A84"/>
    <w:rsid w:val="00B83DD3"/>
    <w:rsid w:val="00B83ECA"/>
    <w:rsid w:val="00B851D1"/>
    <w:rsid w:val="00B853E6"/>
    <w:rsid w:val="00B859F6"/>
    <w:rsid w:val="00B85F76"/>
    <w:rsid w:val="00B8729F"/>
    <w:rsid w:val="00B8742F"/>
    <w:rsid w:val="00B87583"/>
    <w:rsid w:val="00B904E1"/>
    <w:rsid w:val="00B924A8"/>
    <w:rsid w:val="00B96764"/>
    <w:rsid w:val="00BA02B9"/>
    <w:rsid w:val="00BA19AC"/>
    <w:rsid w:val="00BA2D22"/>
    <w:rsid w:val="00BA37AE"/>
    <w:rsid w:val="00BA58C4"/>
    <w:rsid w:val="00BA74F0"/>
    <w:rsid w:val="00BA7EF1"/>
    <w:rsid w:val="00BB02B6"/>
    <w:rsid w:val="00BB220F"/>
    <w:rsid w:val="00BB4518"/>
    <w:rsid w:val="00BB65FD"/>
    <w:rsid w:val="00BC022F"/>
    <w:rsid w:val="00BC0B63"/>
    <w:rsid w:val="00BC15B7"/>
    <w:rsid w:val="00BC16D7"/>
    <w:rsid w:val="00BC3368"/>
    <w:rsid w:val="00BC66C8"/>
    <w:rsid w:val="00BD051C"/>
    <w:rsid w:val="00BD2518"/>
    <w:rsid w:val="00BD2676"/>
    <w:rsid w:val="00BD5994"/>
    <w:rsid w:val="00BD624C"/>
    <w:rsid w:val="00BD6E72"/>
    <w:rsid w:val="00BD7D96"/>
    <w:rsid w:val="00BE0724"/>
    <w:rsid w:val="00BE1A4E"/>
    <w:rsid w:val="00BE1BAC"/>
    <w:rsid w:val="00BE27CA"/>
    <w:rsid w:val="00BE2EB0"/>
    <w:rsid w:val="00BE3950"/>
    <w:rsid w:val="00BE4D42"/>
    <w:rsid w:val="00BE6D42"/>
    <w:rsid w:val="00BE6F80"/>
    <w:rsid w:val="00BF2465"/>
    <w:rsid w:val="00BF3106"/>
    <w:rsid w:val="00BF3660"/>
    <w:rsid w:val="00BF438F"/>
    <w:rsid w:val="00BF4ABA"/>
    <w:rsid w:val="00BF5CA0"/>
    <w:rsid w:val="00BF5D99"/>
    <w:rsid w:val="00BF7A7C"/>
    <w:rsid w:val="00C01053"/>
    <w:rsid w:val="00C01EB2"/>
    <w:rsid w:val="00C03560"/>
    <w:rsid w:val="00C04070"/>
    <w:rsid w:val="00C049D7"/>
    <w:rsid w:val="00C0564D"/>
    <w:rsid w:val="00C12CEB"/>
    <w:rsid w:val="00C1372B"/>
    <w:rsid w:val="00C137F6"/>
    <w:rsid w:val="00C159EB"/>
    <w:rsid w:val="00C224F0"/>
    <w:rsid w:val="00C23D7A"/>
    <w:rsid w:val="00C25568"/>
    <w:rsid w:val="00C26650"/>
    <w:rsid w:val="00C269D3"/>
    <w:rsid w:val="00C2761E"/>
    <w:rsid w:val="00C3055A"/>
    <w:rsid w:val="00C30DDE"/>
    <w:rsid w:val="00C30F54"/>
    <w:rsid w:val="00C31A93"/>
    <w:rsid w:val="00C32037"/>
    <w:rsid w:val="00C32087"/>
    <w:rsid w:val="00C3370A"/>
    <w:rsid w:val="00C366D1"/>
    <w:rsid w:val="00C377FE"/>
    <w:rsid w:val="00C400FB"/>
    <w:rsid w:val="00C42530"/>
    <w:rsid w:val="00C42D8D"/>
    <w:rsid w:val="00C44618"/>
    <w:rsid w:val="00C45482"/>
    <w:rsid w:val="00C45D60"/>
    <w:rsid w:val="00C46564"/>
    <w:rsid w:val="00C46F68"/>
    <w:rsid w:val="00C50CEF"/>
    <w:rsid w:val="00C52C8D"/>
    <w:rsid w:val="00C5363D"/>
    <w:rsid w:val="00C54353"/>
    <w:rsid w:val="00C54A6F"/>
    <w:rsid w:val="00C556A2"/>
    <w:rsid w:val="00C56C5B"/>
    <w:rsid w:val="00C57A5E"/>
    <w:rsid w:val="00C57F76"/>
    <w:rsid w:val="00C607E9"/>
    <w:rsid w:val="00C60E0E"/>
    <w:rsid w:val="00C62DA3"/>
    <w:rsid w:val="00C62FDE"/>
    <w:rsid w:val="00C64DEC"/>
    <w:rsid w:val="00C651BC"/>
    <w:rsid w:val="00C66C4B"/>
    <w:rsid w:val="00C66CAB"/>
    <w:rsid w:val="00C72F2C"/>
    <w:rsid w:val="00C72FE6"/>
    <w:rsid w:val="00C733EA"/>
    <w:rsid w:val="00C75F79"/>
    <w:rsid w:val="00C7622A"/>
    <w:rsid w:val="00C76273"/>
    <w:rsid w:val="00C7660F"/>
    <w:rsid w:val="00C76846"/>
    <w:rsid w:val="00C777B7"/>
    <w:rsid w:val="00C77E40"/>
    <w:rsid w:val="00C8158A"/>
    <w:rsid w:val="00C82257"/>
    <w:rsid w:val="00C825D4"/>
    <w:rsid w:val="00C83380"/>
    <w:rsid w:val="00C866BF"/>
    <w:rsid w:val="00C8708E"/>
    <w:rsid w:val="00C87193"/>
    <w:rsid w:val="00C93BD9"/>
    <w:rsid w:val="00C954DB"/>
    <w:rsid w:val="00C95D4F"/>
    <w:rsid w:val="00C96142"/>
    <w:rsid w:val="00C96C04"/>
    <w:rsid w:val="00C97533"/>
    <w:rsid w:val="00C975B6"/>
    <w:rsid w:val="00C9797F"/>
    <w:rsid w:val="00CA1CA3"/>
    <w:rsid w:val="00CA1D27"/>
    <w:rsid w:val="00CA2036"/>
    <w:rsid w:val="00CA20D3"/>
    <w:rsid w:val="00CA38AE"/>
    <w:rsid w:val="00CA49CE"/>
    <w:rsid w:val="00CA7C14"/>
    <w:rsid w:val="00CB1620"/>
    <w:rsid w:val="00CB5299"/>
    <w:rsid w:val="00CC10AB"/>
    <w:rsid w:val="00CC1BBB"/>
    <w:rsid w:val="00CC4323"/>
    <w:rsid w:val="00CC62C0"/>
    <w:rsid w:val="00CC7251"/>
    <w:rsid w:val="00CC7A91"/>
    <w:rsid w:val="00CD1B52"/>
    <w:rsid w:val="00CD4B2A"/>
    <w:rsid w:val="00CD5D8E"/>
    <w:rsid w:val="00CD6765"/>
    <w:rsid w:val="00CD7AFB"/>
    <w:rsid w:val="00CD7E3B"/>
    <w:rsid w:val="00CE1CA9"/>
    <w:rsid w:val="00CE372A"/>
    <w:rsid w:val="00CE3AAD"/>
    <w:rsid w:val="00CE3FD1"/>
    <w:rsid w:val="00CE4038"/>
    <w:rsid w:val="00CE4630"/>
    <w:rsid w:val="00CE4F3F"/>
    <w:rsid w:val="00CE51CE"/>
    <w:rsid w:val="00CE656A"/>
    <w:rsid w:val="00CE69D3"/>
    <w:rsid w:val="00CF0384"/>
    <w:rsid w:val="00CF15C1"/>
    <w:rsid w:val="00CF191A"/>
    <w:rsid w:val="00CF1957"/>
    <w:rsid w:val="00CF2F2C"/>
    <w:rsid w:val="00CF3552"/>
    <w:rsid w:val="00CF3F96"/>
    <w:rsid w:val="00CF4E47"/>
    <w:rsid w:val="00CF5515"/>
    <w:rsid w:val="00CF5EB8"/>
    <w:rsid w:val="00CF7269"/>
    <w:rsid w:val="00D033BD"/>
    <w:rsid w:val="00D0731C"/>
    <w:rsid w:val="00D0748E"/>
    <w:rsid w:val="00D1046C"/>
    <w:rsid w:val="00D11247"/>
    <w:rsid w:val="00D12E2D"/>
    <w:rsid w:val="00D13319"/>
    <w:rsid w:val="00D14DD3"/>
    <w:rsid w:val="00D1587B"/>
    <w:rsid w:val="00D15F9B"/>
    <w:rsid w:val="00D21CA2"/>
    <w:rsid w:val="00D223BD"/>
    <w:rsid w:val="00D226CF"/>
    <w:rsid w:val="00D2450B"/>
    <w:rsid w:val="00D247FA"/>
    <w:rsid w:val="00D26153"/>
    <w:rsid w:val="00D27803"/>
    <w:rsid w:val="00D3008A"/>
    <w:rsid w:val="00D303B2"/>
    <w:rsid w:val="00D31179"/>
    <w:rsid w:val="00D31C46"/>
    <w:rsid w:val="00D31DBD"/>
    <w:rsid w:val="00D3277F"/>
    <w:rsid w:val="00D32804"/>
    <w:rsid w:val="00D351A6"/>
    <w:rsid w:val="00D357E2"/>
    <w:rsid w:val="00D379F3"/>
    <w:rsid w:val="00D37B9D"/>
    <w:rsid w:val="00D404B7"/>
    <w:rsid w:val="00D408F5"/>
    <w:rsid w:val="00D41667"/>
    <w:rsid w:val="00D42010"/>
    <w:rsid w:val="00D4267F"/>
    <w:rsid w:val="00D4322F"/>
    <w:rsid w:val="00D4467D"/>
    <w:rsid w:val="00D45632"/>
    <w:rsid w:val="00D45F55"/>
    <w:rsid w:val="00D46111"/>
    <w:rsid w:val="00D4722F"/>
    <w:rsid w:val="00D5063F"/>
    <w:rsid w:val="00D519A7"/>
    <w:rsid w:val="00D51A1D"/>
    <w:rsid w:val="00D52A72"/>
    <w:rsid w:val="00D538FD"/>
    <w:rsid w:val="00D5539C"/>
    <w:rsid w:val="00D55823"/>
    <w:rsid w:val="00D55878"/>
    <w:rsid w:val="00D56537"/>
    <w:rsid w:val="00D57572"/>
    <w:rsid w:val="00D617C2"/>
    <w:rsid w:val="00D62053"/>
    <w:rsid w:val="00D63A6E"/>
    <w:rsid w:val="00D6538B"/>
    <w:rsid w:val="00D65BD0"/>
    <w:rsid w:val="00D70ED6"/>
    <w:rsid w:val="00D7118C"/>
    <w:rsid w:val="00D731D7"/>
    <w:rsid w:val="00D7344A"/>
    <w:rsid w:val="00D74A02"/>
    <w:rsid w:val="00D76D50"/>
    <w:rsid w:val="00D82EE2"/>
    <w:rsid w:val="00D83F29"/>
    <w:rsid w:val="00D844CB"/>
    <w:rsid w:val="00D8487D"/>
    <w:rsid w:val="00D872CB"/>
    <w:rsid w:val="00D87FA8"/>
    <w:rsid w:val="00D90B9A"/>
    <w:rsid w:val="00D90FD5"/>
    <w:rsid w:val="00D919D4"/>
    <w:rsid w:val="00D94381"/>
    <w:rsid w:val="00D95DFE"/>
    <w:rsid w:val="00D964DD"/>
    <w:rsid w:val="00D97102"/>
    <w:rsid w:val="00DA0A00"/>
    <w:rsid w:val="00DA1F69"/>
    <w:rsid w:val="00DA2676"/>
    <w:rsid w:val="00DA4360"/>
    <w:rsid w:val="00DA47EF"/>
    <w:rsid w:val="00DA4EE3"/>
    <w:rsid w:val="00DA5046"/>
    <w:rsid w:val="00DA5C10"/>
    <w:rsid w:val="00DB0AD6"/>
    <w:rsid w:val="00DB0CDC"/>
    <w:rsid w:val="00DB0D40"/>
    <w:rsid w:val="00DB3535"/>
    <w:rsid w:val="00DB4EE9"/>
    <w:rsid w:val="00DC0DB9"/>
    <w:rsid w:val="00DC3E57"/>
    <w:rsid w:val="00DC440C"/>
    <w:rsid w:val="00DC48CD"/>
    <w:rsid w:val="00DC68F5"/>
    <w:rsid w:val="00DD0C34"/>
    <w:rsid w:val="00DD3B77"/>
    <w:rsid w:val="00DD5181"/>
    <w:rsid w:val="00DD6C30"/>
    <w:rsid w:val="00DD707B"/>
    <w:rsid w:val="00DE0387"/>
    <w:rsid w:val="00DE1839"/>
    <w:rsid w:val="00DE3E59"/>
    <w:rsid w:val="00DE604E"/>
    <w:rsid w:val="00DE635A"/>
    <w:rsid w:val="00DE715E"/>
    <w:rsid w:val="00DE7814"/>
    <w:rsid w:val="00DE7929"/>
    <w:rsid w:val="00DF2B76"/>
    <w:rsid w:val="00DF2EF3"/>
    <w:rsid w:val="00DF519F"/>
    <w:rsid w:val="00DF5515"/>
    <w:rsid w:val="00DF7577"/>
    <w:rsid w:val="00DF7D9D"/>
    <w:rsid w:val="00E00622"/>
    <w:rsid w:val="00E02C72"/>
    <w:rsid w:val="00E02E75"/>
    <w:rsid w:val="00E06E0F"/>
    <w:rsid w:val="00E145D8"/>
    <w:rsid w:val="00E14E2A"/>
    <w:rsid w:val="00E22039"/>
    <w:rsid w:val="00E22863"/>
    <w:rsid w:val="00E24718"/>
    <w:rsid w:val="00E25C55"/>
    <w:rsid w:val="00E320C2"/>
    <w:rsid w:val="00E32905"/>
    <w:rsid w:val="00E32CCF"/>
    <w:rsid w:val="00E358D8"/>
    <w:rsid w:val="00E372F7"/>
    <w:rsid w:val="00E37394"/>
    <w:rsid w:val="00E439B5"/>
    <w:rsid w:val="00E45142"/>
    <w:rsid w:val="00E46AB1"/>
    <w:rsid w:val="00E5070A"/>
    <w:rsid w:val="00E51220"/>
    <w:rsid w:val="00E530BE"/>
    <w:rsid w:val="00E54D09"/>
    <w:rsid w:val="00E55C7C"/>
    <w:rsid w:val="00E56225"/>
    <w:rsid w:val="00E6006D"/>
    <w:rsid w:val="00E60ACB"/>
    <w:rsid w:val="00E60BC1"/>
    <w:rsid w:val="00E63802"/>
    <w:rsid w:val="00E64BA1"/>
    <w:rsid w:val="00E65316"/>
    <w:rsid w:val="00E65658"/>
    <w:rsid w:val="00E65B6D"/>
    <w:rsid w:val="00E77697"/>
    <w:rsid w:val="00E77CC5"/>
    <w:rsid w:val="00E84B07"/>
    <w:rsid w:val="00E85661"/>
    <w:rsid w:val="00E85D46"/>
    <w:rsid w:val="00E86A8E"/>
    <w:rsid w:val="00E86ED0"/>
    <w:rsid w:val="00E91FBF"/>
    <w:rsid w:val="00E958E3"/>
    <w:rsid w:val="00E96697"/>
    <w:rsid w:val="00E972D2"/>
    <w:rsid w:val="00EA03C7"/>
    <w:rsid w:val="00EA10DF"/>
    <w:rsid w:val="00EA16FA"/>
    <w:rsid w:val="00EA6A38"/>
    <w:rsid w:val="00EA6C18"/>
    <w:rsid w:val="00EA6E99"/>
    <w:rsid w:val="00EB287B"/>
    <w:rsid w:val="00EB29DA"/>
    <w:rsid w:val="00EB5779"/>
    <w:rsid w:val="00EC11B3"/>
    <w:rsid w:val="00EC58C6"/>
    <w:rsid w:val="00EC62C8"/>
    <w:rsid w:val="00EC723C"/>
    <w:rsid w:val="00ED08E1"/>
    <w:rsid w:val="00ED10E9"/>
    <w:rsid w:val="00ED141C"/>
    <w:rsid w:val="00ED296E"/>
    <w:rsid w:val="00ED3640"/>
    <w:rsid w:val="00ED3E77"/>
    <w:rsid w:val="00ED54AB"/>
    <w:rsid w:val="00ED67A3"/>
    <w:rsid w:val="00ED7574"/>
    <w:rsid w:val="00ED7ADB"/>
    <w:rsid w:val="00EE482F"/>
    <w:rsid w:val="00EE5DF5"/>
    <w:rsid w:val="00EE6D1B"/>
    <w:rsid w:val="00EF01D2"/>
    <w:rsid w:val="00EF0D18"/>
    <w:rsid w:val="00EF20E5"/>
    <w:rsid w:val="00EF2160"/>
    <w:rsid w:val="00EF299C"/>
    <w:rsid w:val="00EF64B3"/>
    <w:rsid w:val="00EF788B"/>
    <w:rsid w:val="00F02685"/>
    <w:rsid w:val="00F065FC"/>
    <w:rsid w:val="00F12480"/>
    <w:rsid w:val="00F1400F"/>
    <w:rsid w:val="00F14B2F"/>
    <w:rsid w:val="00F1532A"/>
    <w:rsid w:val="00F15AF9"/>
    <w:rsid w:val="00F16305"/>
    <w:rsid w:val="00F16F3A"/>
    <w:rsid w:val="00F21A54"/>
    <w:rsid w:val="00F228F3"/>
    <w:rsid w:val="00F24B5B"/>
    <w:rsid w:val="00F24F5C"/>
    <w:rsid w:val="00F30CAA"/>
    <w:rsid w:val="00F30D9A"/>
    <w:rsid w:val="00F31EC1"/>
    <w:rsid w:val="00F32F52"/>
    <w:rsid w:val="00F35AE9"/>
    <w:rsid w:val="00F3664E"/>
    <w:rsid w:val="00F367A3"/>
    <w:rsid w:val="00F36A79"/>
    <w:rsid w:val="00F370E5"/>
    <w:rsid w:val="00F401B6"/>
    <w:rsid w:val="00F4332D"/>
    <w:rsid w:val="00F441B7"/>
    <w:rsid w:val="00F47159"/>
    <w:rsid w:val="00F475DF"/>
    <w:rsid w:val="00F50FBB"/>
    <w:rsid w:val="00F5270B"/>
    <w:rsid w:val="00F53062"/>
    <w:rsid w:val="00F5366F"/>
    <w:rsid w:val="00F536BA"/>
    <w:rsid w:val="00F5445F"/>
    <w:rsid w:val="00F55A28"/>
    <w:rsid w:val="00F56517"/>
    <w:rsid w:val="00F60A5C"/>
    <w:rsid w:val="00F61774"/>
    <w:rsid w:val="00F61BBA"/>
    <w:rsid w:val="00F622FD"/>
    <w:rsid w:val="00F625E6"/>
    <w:rsid w:val="00F63431"/>
    <w:rsid w:val="00F646C0"/>
    <w:rsid w:val="00F65B20"/>
    <w:rsid w:val="00F664E5"/>
    <w:rsid w:val="00F701C4"/>
    <w:rsid w:val="00F72536"/>
    <w:rsid w:val="00F73A9C"/>
    <w:rsid w:val="00F73F92"/>
    <w:rsid w:val="00F751A0"/>
    <w:rsid w:val="00F752AF"/>
    <w:rsid w:val="00F768BC"/>
    <w:rsid w:val="00F76EC8"/>
    <w:rsid w:val="00F7714A"/>
    <w:rsid w:val="00F777DE"/>
    <w:rsid w:val="00F812F1"/>
    <w:rsid w:val="00F82842"/>
    <w:rsid w:val="00F862B9"/>
    <w:rsid w:val="00F86DF5"/>
    <w:rsid w:val="00F87039"/>
    <w:rsid w:val="00F87CDF"/>
    <w:rsid w:val="00F95052"/>
    <w:rsid w:val="00F9527F"/>
    <w:rsid w:val="00F9714D"/>
    <w:rsid w:val="00FA0018"/>
    <w:rsid w:val="00FA1244"/>
    <w:rsid w:val="00FA64D2"/>
    <w:rsid w:val="00FB0D10"/>
    <w:rsid w:val="00FB2827"/>
    <w:rsid w:val="00FB3051"/>
    <w:rsid w:val="00FB4194"/>
    <w:rsid w:val="00FB4202"/>
    <w:rsid w:val="00FB69E5"/>
    <w:rsid w:val="00FB7003"/>
    <w:rsid w:val="00FB75CE"/>
    <w:rsid w:val="00FC1A27"/>
    <w:rsid w:val="00FC54F3"/>
    <w:rsid w:val="00FC5A62"/>
    <w:rsid w:val="00FC5EF5"/>
    <w:rsid w:val="00FC7012"/>
    <w:rsid w:val="00FD04FA"/>
    <w:rsid w:val="00FD12A2"/>
    <w:rsid w:val="00FD2D74"/>
    <w:rsid w:val="00FD309B"/>
    <w:rsid w:val="00FD59A2"/>
    <w:rsid w:val="00FD6DA3"/>
    <w:rsid w:val="00FE0984"/>
    <w:rsid w:val="00FE116F"/>
    <w:rsid w:val="00FE2DE1"/>
    <w:rsid w:val="00FE4014"/>
    <w:rsid w:val="00FE79BC"/>
    <w:rsid w:val="00FF0C25"/>
    <w:rsid w:val="00FF3795"/>
    <w:rsid w:val="00FF535A"/>
    <w:rsid w:val="01A30785"/>
    <w:rsid w:val="115B7FE2"/>
    <w:rsid w:val="12133839"/>
    <w:rsid w:val="1677496A"/>
    <w:rsid w:val="19467ED2"/>
    <w:rsid w:val="1BD53449"/>
    <w:rsid w:val="25042CFA"/>
    <w:rsid w:val="307B4553"/>
    <w:rsid w:val="30F445E1"/>
    <w:rsid w:val="32BA22F8"/>
    <w:rsid w:val="3A320B64"/>
    <w:rsid w:val="414032D5"/>
    <w:rsid w:val="449C2DD8"/>
    <w:rsid w:val="47776FEB"/>
    <w:rsid w:val="586457D5"/>
    <w:rsid w:val="5B665415"/>
    <w:rsid w:val="5D137776"/>
    <w:rsid w:val="5D6C2B99"/>
    <w:rsid w:val="67982C74"/>
    <w:rsid w:val="72F14C16"/>
    <w:rsid w:val="7BAF1E3D"/>
    <w:rsid w:val="7BE662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6FB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Date" w:qFormat="1"/>
    <w:lsdException w:name="Body Text Indent 2" w:qFormat="1"/>
    <w:lsdException w:name="Hyperlink"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Chars="200" w:firstLine="420"/>
    </w:p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Indent"/>
    <w:basedOn w:val="a"/>
    <w:link w:val="Char1"/>
    <w:uiPriority w:val="99"/>
    <w:semiHidden/>
    <w:unhideWhenUsed/>
    <w:qFormat/>
    <w:pPr>
      <w:widowControl/>
      <w:spacing w:after="120"/>
      <w:ind w:left="420"/>
    </w:pPr>
    <w:rPr>
      <w:kern w:val="0"/>
      <w:szCs w:val="21"/>
    </w:rPr>
  </w:style>
  <w:style w:type="paragraph" w:styleId="a7">
    <w:name w:val="Date"/>
    <w:basedOn w:val="a"/>
    <w:next w:val="a"/>
    <w:link w:val="Char2"/>
    <w:uiPriority w:val="99"/>
    <w:semiHidden/>
    <w:unhideWhenUsed/>
    <w:qFormat/>
    <w:pPr>
      <w:ind w:leftChars="2500" w:left="100"/>
    </w:pPr>
  </w:style>
  <w:style w:type="paragraph" w:styleId="2">
    <w:name w:val="Body Text Indent 2"/>
    <w:basedOn w:val="a"/>
    <w:link w:val="2Char"/>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c">
    <w:name w:val="Title"/>
    <w:basedOn w:val="a"/>
    <w:next w:val="a"/>
    <w:link w:val="Char6"/>
    <w:uiPriority w:val="10"/>
    <w:qFormat/>
    <w:pPr>
      <w:spacing w:before="240" w:after="60"/>
      <w:jc w:val="center"/>
      <w:outlineLvl w:val="0"/>
    </w:pPr>
    <w:rPr>
      <w:rFonts w:asciiTheme="majorHAnsi" w:hAnsiTheme="majorHAnsi" w:cstheme="majorBidi"/>
      <w:b/>
      <w:bCs/>
      <w:sz w:val="32"/>
      <w:szCs w:val="32"/>
    </w:rPr>
  </w:style>
  <w:style w:type="paragraph" w:styleId="ad">
    <w:name w:val="annotation subject"/>
    <w:basedOn w:val="a5"/>
    <w:next w:val="a5"/>
    <w:link w:val="Char7"/>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Char5">
    <w:name w:val="页眉 Char"/>
    <w:basedOn w:val="a0"/>
    <w:link w:val="aa"/>
    <w:uiPriority w:val="99"/>
    <w:qFormat/>
    <w:rPr>
      <w:sz w:val="18"/>
      <w:szCs w:val="18"/>
    </w:rPr>
  </w:style>
  <w:style w:type="character" w:customStyle="1" w:styleId="Char4">
    <w:name w:val="页脚 Char"/>
    <w:basedOn w:val="a0"/>
    <w:link w:val="a9"/>
    <w:uiPriority w:val="99"/>
    <w:qFormat/>
    <w:rPr>
      <w:sz w:val="18"/>
      <w:szCs w:val="18"/>
    </w:rPr>
  </w:style>
  <w:style w:type="character" w:customStyle="1" w:styleId="da">
    <w:name w:val="da"/>
    <w:basedOn w:val="a0"/>
    <w:qFormat/>
  </w:style>
  <w:style w:type="paragraph" w:customStyle="1" w:styleId="0746">
    <w:name w:val="样式 首行缩进:  0.74 厘米 段前: 6 磅"/>
    <w:basedOn w:val="a"/>
    <w:qFormat/>
    <w:pPr>
      <w:spacing w:before="120" w:line="288" w:lineRule="auto"/>
      <w:ind w:firstLine="425"/>
    </w:pPr>
    <w:rPr>
      <w:rFonts w:cs="宋体"/>
      <w:sz w:val="24"/>
      <w:szCs w:val="20"/>
    </w:rPr>
  </w:style>
  <w:style w:type="paragraph" w:styleId="af2">
    <w:name w:val="List Paragraph"/>
    <w:basedOn w:val="a"/>
    <w:uiPriority w:val="99"/>
    <w:qFormat/>
    <w:pPr>
      <w:ind w:firstLineChars="200" w:firstLine="420"/>
    </w:pPr>
  </w:style>
  <w:style w:type="character" w:customStyle="1" w:styleId="Char2">
    <w:name w:val="日期 Char"/>
    <w:basedOn w:val="a0"/>
    <w:link w:val="a7"/>
    <w:uiPriority w:val="99"/>
    <w:semiHidden/>
    <w:qFormat/>
    <w:rPr>
      <w:rFonts w:ascii="Times New Roman" w:eastAsia="宋体" w:hAnsi="Times New Roman" w:cs="Times New Roman"/>
      <w:szCs w:val="24"/>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character" w:customStyle="1" w:styleId="Char1">
    <w:name w:val="正文文本缩进 Char"/>
    <w:basedOn w:val="a0"/>
    <w:link w:val="a6"/>
    <w:uiPriority w:val="99"/>
    <w:semiHidden/>
    <w:qFormat/>
    <w:rPr>
      <w:rFonts w:ascii="Times New Roman" w:eastAsia="宋体" w:hAnsi="Times New Roman" w:cs="Times New Roman"/>
      <w:kern w:val="0"/>
      <w:szCs w:val="21"/>
    </w:rPr>
  </w:style>
  <w:style w:type="character" w:customStyle="1" w:styleId="2Char">
    <w:name w:val="正文文本缩进 2 Char"/>
    <w:basedOn w:val="a0"/>
    <w:link w:val="2"/>
    <w:uiPriority w:val="99"/>
    <w:semiHidden/>
    <w:qFormat/>
    <w:rPr>
      <w:rFonts w:ascii="Times New Roman" w:eastAsia="宋体" w:hAnsi="Times New Roman" w:cs="Times New Roman"/>
      <w:szCs w:val="24"/>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6">
    <w:name w:val="标题 Char"/>
    <w:basedOn w:val="a0"/>
    <w:link w:val="ac"/>
    <w:uiPriority w:val="10"/>
    <w:qFormat/>
    <w:rPr>
      <w:rFonts w:asciiTheme="majorHAnsi" w:eastAsia="宋体" w:hAnsiTheme="majorHAnsi" w:cstheme="majorBidi"/>
      <w:b/>
      <w:bCs/>
      <w:sz w:val="32"/>
      <w:szCs w:val="32"/>
    </w:rPr>
  </w:style>
  <w:style w:type="character" w:customStyle="1" w:styleId="Char0">
    <w:name w:val="批注文字 Char"/>
    <w:basedOn w:val="a0"/>
    <w:link w:val="a5"/>
    <w:uiPriority w:val="99"/>
    <w:qFormat/>
    <w:rPr>
      <w:rFonts w:ascii="Times New Roman" w:eastAsia="宋体" w:hAnsi="Times New Roman" w:cs="Times New Roman"/>
      <w:szCs w:val="24"/>
    </w:rPr>
  </w:style>
  <w:style w:type="character" w:customStyle="1" w:styleId="Char7">
    <w:name w:val="批注主题 Char"/>
    <w:basedOn w:val="Char0"/>
    <w:link w:val="ad"/>
    <w:uiPriority w:val="99"/>
    <w:semiHidden/>
    <w:qFormat/>
    <w:rPr>
      <w:rFonts w:ascii="Times New Roman" w:eastAsia="宋体" w:hAnsi="Times New Roman" w:cs="Times New Roman"/>
      <w:b/>
      <w:bCs/>
      <w:szCs w:val="24"/>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10">
    <w:name w:val="（1）文本 字符"/>
    <w:link w:val="11"/>
    <w:qFormat/>
    <w:locked/>
    <w:rPr>
      <w:rFonts w:ascii="Times New Roman" w:eastAsia="宋体" w:hAnsi="Times New Roman" w:cs="Times New Roman"/>
      <w:sz w:val="24"/>
      <w:szCs w:val="24"/>
      <w:lang w:val="zh-CN" w:eastAsia="zh-CN"/>
    </w:rPr>
  </w:style>
  <w:style w:type="paragraph" w:customStyle="1" w:styleId="11">
    <w:name w:val="（1）文本"/>
    <w:basedOn w:val="a"/>
    <w:link w:val="10"/>
    <w:qFormat/>
    <w:pPr>
      <w:spacing w:beforeLines="50" w:before="50" w:line="360" w:lineRule="auto"/>
      <w:ind w:firstLineChars="200" w:firstLine="200"/>
    </w:pPr>
    <w:rPr>
      <w:sz w:val="24"/>
      <w:lang w:val="zh-CN"/>
    </w:rPr>
  </w:style>
  <w:style w:type="paragraph" w:customStyle="1" w:styleId="12">
    <w:name w:val="修订1"/>
    <w:hidden/>
    <w:uiPriority w:val="99"/>
    <w:semiHidden/>
    <w:qFormat/>
    <w:rPr>
      <w:kern w:val="2"/>
      <w:sz w:val="21"/>
      <w:szCs w:val="24"/>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5Char">
    <w:name w:val="标题 5 Char"/>
    <w:basedOn w:val="a0"/>
    <w:link w:val="5"/>
    <w:uiPriority w:val="9"/>
    <w:semiHidden/>
    <w:qFormat/>
    <w:rPr>
      <w:rFonts w:ascii="Times New Roman" w:eastAsia="宋体" w:hAnsi="Times New Roman" w:cs="Times New Roman"/>
      <w:b/>
      <w:bCs/>
      <w:sz w:val="28"/>
      <w:szCs w:val="28"/>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paragraph" w:customStyle="1" w:styleId="af3">
    <w:name w:val="表格后说明"/>
    <w:next w:val="a3"/>
    <w:uiPriority w:val="3"/>
    <w:qFormat/>
    <w:pPr>
      <w:jc w:val="both"/>
    </w:pPr>
    <w:rPr>
      <w:kern w:val="2"/>
      <w:sz w:val="21"/>
      <w:szCs w:val="24"/>
    </w:rPr>
  </w:style>
  <w:style w:type="paragraph" w:styleId="af4">
    <w:name w:val="Revision"/>
    <w:hidden/>
    <w:uiPriority w:val="99"/>
    <w:unhideWhenUsed/>
    <w:rsid w:val="005D2A8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Date" w:qFormat="1"/>
    <w:lsdException w:name="Body Text Indent 2" w:qFormat="1"/>
    <w:lsdException w:name="Hyperlink"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Chars="200" w:firstLine="420"/>
    </w:p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Indent"/>
    <w:basedOn w:val="a"/>
    <w:link w:val="Char1"/>
    <w:uiPriority w:val="99"/>
    <w:semiHidden/>
    <w:unhideWhenUsed/>
    <w:qFormat/>
    <w:pPr>
      <w:widowControl/>
      <w:spacing w:after="120"/>
      <w:ind w:left="420"/>
    </w:pPr>
    <w:rPr>
      <w:kern w:val="0"/>
      <w:szCs w:val="21"/>
    </w:rPr>
  </w:style>
  <w:style w:type="paragraph" w:styleId="a7">
    <w:name w:val="Date"/>
    <w:basedOn w:val="a"/>
    <w:next w:val="a"/>
    <w:link w:val="Char2"/>
    <w:uiPriority w:val="99"/>
    <w:semiHidden/>
    <w:unhideWhenUsed/>
    <w:qFormat/>
    <w:pPr>
      <w:ind w:leftChars="2500" w:left="100"/>
    </w:pPr>
  </w:style>
  <w:style w:type="paragraph" w:styleId="2">
    <w:name w:val="Body Text Indent 2"/>
    <w:basedOn w:val="a"/>
    <w:link w:val="2Char"/>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c">
    <w:name w:val="Title"/>
    <w:basedOn w:val="a"/>
    <w:next w:val="a"/>
    <w:link w:val="Char6"/>
    <w:uiPriority w:val="10"/>
    <w:qFormat/>
    <w:pPr>
      <w:spacing w:before="240" w:after="60"/>
      <w:jc w:val="center"/>
      <w:outlineLvl w:val="0"/>
    </w:pPr>
    <w:rPr>
      <w:rFonts w:asciiTheme="majorHAnsi" w:hAnsiTheme="majorHAnsi" w:cstheme="majorBidi"/>
      <w:b/>
      <w:bCs/>
      <w:sz w:val="32"/>
      <w:szCs w:val="32"/>
    </w:rPr>
  </w:style>
  <w:style w:type="paragraph" w:styleId="ad">
    <w:name w:val="annotation subject"/>
    <w:basedOn w:val="a5"/>
    <w:next w:val="a5"/>
    <w:link w:val="Char7"/>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Char5">
    <w:name w:val="页眉 Char"/>
    <w:basedOn w:val="a0"/>
    <w:link w:val="aa"/>
    <w:uiPriority w:val="99"/>
    <w:qFormat/>
    <w:rPr>
      <w:sz w:val="18"/>
      <w:szCs w:val="18"/>
    </w:rPr>
  </w:style>
  <w:style w:type="character" w:customStyle="1" w:styleId="Char4">
    <w:name w:val="页脚 Char"/>
    <w:basedOn w:val="a0"/>
    <w:link w:val="a9"/>
    <w:uiPriority w:val="99"/>
    <w:qFormat/>
    <w:rPr>
      <w:sz w:val="18"/>
      <w:szCs w:val="18"/>
    </w:rPr>
  </w:style>
  <w:style w:type="character" w:customStyle="1" w:styleId="da">
    <w:name w:val="da"/>
    <w:basedOn w:val="a0"/>
    <w:qFormat/>
  </w:style>
  <w:style w:type="paragraph" w:customStyle="1" w:styleId="0746">
    <w:name w:val="样式 首行缩进:  0.74 厘米 段前: 6 磅"/>
    <w:basedOn w:val="a"/>
    <w:qFormat/>
    <w:pPr>
      <w:spacing w:before="120" w:line="288" w:lineRule="auto"/>
      <w:ind w:firstLine="425"/>
    </w:pPr>
    <w:rPr>
      <w:rFonts w:cs="宋体"/>
      <w:sz w:val="24"/>
      <w:szCs w:val="20"/>
    </w:rPr>
  </w:style>
  <w:style w:type="paragraph" w:styleId="af2">
    <w:name w:val="List Paragraph"/>
    <w:basedOn w:val="a"/>
    <w:uiPriority w:val="99"/>
    <w:qFormat/>
    <w:pPr>
      <w:ind w:firstLineChars="200" w:firstLine="420"/>
    </w:pPr>
  </w:style>
  <w:style w:type="character" w:customStyle="1" w:styleId="Char2">
    <w:name w:val="日期 Char"/>
    <w:basedOn w:val="a0"/>
    <w:link w:val="a7"/>
    <w:uiPriority w:val="99"/>
    <w:semiHidden/>
    <w:qFormat/>
    <w:rPr>
      <w:rFonts w:ascii="Times New Roman" w:eastAsia="宋体" w:hAnsi="Times New Roman" w:cs="Times New Roman"/>
      <w:szCs w:val="24"/>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character" w:customStyle="1" w:styleId="Char1">
    <w:name w:val="正文文本缩进 Char"/>
    <w:basedOn w:val="a0"/>
    <w:link w:val="a6"/>
    <w:uiPriority w:val="99"/>
    <w:semiHidden/>
    <w:qFormat/>
    <w:rPr>
      <w:rFonts w:ascii="Times New Roman" w:eastAsia="宋体" w:hAnsi="Times New Roman" w:cs="Times New Roman"/>
      <w:kern w:val="0"/>
      <w:szCs w:val="21"/>
    </w:rPr>
  </w:style>
  <w:style w:type="character" w:customStyle="1" w:styleId="2Char">
    <w:name w:val="正文文本缩进 2 Char"/>
    <w:basedOn w:val="a0"/>
    <w:link w:val="2"/>
    <w:uiPriority w:val="99"/>
    <w:semiHidden/>
    <w:qFormat/>
    <w:rPr>
      <w:rFonts w:ascii="Times New Roman" w:eastAsia="宋体" w:hAnsi="Times New Roman" w:cs="Times New Roman"/>
      <w:szCs w:val="24"/>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6">
    <w:name w:val="标题 Char"/>
    <w:basedOn w:val="a0"/>
    <w:link w:val="ac"/>
    <w:uiPriority w:val="10"/>
    <w:qFormat/>
    <w:rPr>
      <w:rFonts w:asciiTheme="majorHAnsi" w:eastAsia="宋体" w:hAnsiTheme="majorHAnsi" w:cstheme="majorBidi"/>
      <w:b/>
      <w:bCs/>
      <w:sz w:val="32"/>
      <w:szCs w:val="32"/>
    </w:rPr>
  </w:style>
  <w:style w:type="character" w:customStyle="1" w:styleId="Char0">
    <w:name w:val="批注文字 Char"/>
    <w:basedOn w:val="a0"/>
    <w:link w:val="a5"/>
    <w:uiPriority w:val="99"/>
    <w:qFormat/>
    <w:rPr>
      <w:rFonts w:ascii="Times New Roman" w:eastAsia="宋体" w:hAnsi="Times New Roman" w:cs="Times New Roman"/>
      <w:szCs w:val="24"/>
    </w:rPr>
  </w:style>
  <w:style w:type="character" w:customStyle="1" w:styleId="Char7">
    <w:name w:val="批注主题 Char"/>
    <w:basedOn w:val="Char0"/>
    <w:link w:val="ad"/>
    <w:uiPriority w:val="99"/>
    <w:semiHidden/>
    <w:qFormat/>
    <w:rPr>
      <w:rFonts w:ascii="Times New Roman" w:eastAsia="宋体" w:hAnsi="Times New Roman" w:cs="Times New Roman"/>
      <w:b/>
      <w:bCs/>
      <w:szCs w:val="24"/>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10">
    <w:name w:val="（1）文本 字符"/>
    <w:link w:val="11"/>
    <w:qFormat/>
    <w:locked/>
    <w:rPr>
      <w:rFonts w:ascii="Times New Roman" w:eastAsia="宋体" w:hAnsi="Times New Roman" w:cs="Times New Roman"/>
      <w:sz w:val="24"/>
      <w:szCs w:val="24"/>
      <w:lang w:val="zh-CN" w:eastAsia="zh-CN"/>
    </w:rPr>
  </w:style>
  <w:style w:type="paragraph" w:customStyle="1" w:styleId="11">
    <w:name w:val="（1）文本"/>
    <w:basedOn w:val="a"/>
    <w:link w:val="10"/>
    <w:qFormat/>
    <w:pPr>
      <w:spacing w:beforeLines="50" w:before="50" w:line="360" w:lineRule="auto"/>
      <w:ind w:firstLineChars="200" w:firstLine="200"/>
    </w:pPr>
    <w:rPr>
      <w:sz w:val="24"/>
      <w:lang w:val="zh-CN"/>
    </w:rPr>
  </w:style>
  <w:style w:type="paragraph" w:customStyle="1" w:styleId="12">
    <w:name w:val="修订1"/>
    <w:hidden/>
    <w:uiPriority w:val="99"/>
    <w:semiHidden/>
    <w:qFormat/>
    <w:rPr>
      <w:kern w:val="2"/>
      <w:sz w:val="21"/>
      <w:szCs w:val="24"/>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5Char">
    <w:name w:val="标题 5 Char"/>
    <w:basedOn w:val="a0"/>
    <w:link w:val="5"/>
    <w:uiPriority w:val="9"/>
    <w:semiHidden/>
    <w:qFormat/>
    <w:rPr>
      <w:rFonts w:ascii="Times New Roman" w:eastAsia="宋体" w:hAnsi="Times New Roman" w:cs="Times New Roman"/>
      <w:b/>
      <w:bCs/>
      <w:sz w:val="28"/>
      <w:szCs w:val="28"/>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paragraph" w:customStyle="1" w:styleId="af3">
    <w:name w:val="表格后说明"/>
    <w:next w:val="a3"/>
    <w:uiPriority w:val="3"/>
    <w:qFormat/>
    <w:pPr>
      <w:jc w:val="both"/>
    </w:pPr>
    <w:rPr>
      <w:kern w:val="2"/>
      <w:sz w:val="21"/>
      <w:szCs w:val="24"/>
    </w:rPr>
  </w:style>
  <w:style w:type="paragraph" w:styleId="af4">
    <w:name w:val="Revision"/>
    <w:hidden/>
    <w:uiPriority w:val="99"/>
    <w:unhideWhenUsed/>
    <w:rsid w:val="005D2A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BNEF\report\&#32654;&#22269;&#35013;&#26426;&#37327;&#25968;&#25454;.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100" b="0" i="0" u="none" strike="noStrike" kern="1200" spc="0" baseline="0">
                <a:solidFill>
                  <a:schemeClr val="tx1">
                    <a:lumMod val="65000"/>
                    <a:lumOff val="35000"/>
                  </a:schemeClr>
                </a:solidFill>
                <a:latin typeface="Times New Roman" panose="02020603050405020304" charset="0"/>
                <a:ea typeface="宋体" panose="02010600030101010101" charset="-122"/>
                <a:cs typeface="Times New Roman" panose="02020603050405020304" charset="0"/>
              </a:defRPr>
            </a:pPr>
            <a:r>
              <a:rPr lang="en-US" sz="1100">
                <a:latin typeface="Times New Roman" panose="02020603050405020304" charset="0"/>
                <a:ea typeface="宋体" panose="02010600030101010101" charset="-122"/>
                <a:cs typeface="Times New Roman" panose="02020603050405020304" charset="0"/>
              </a:rPr>
              <a:t>2017-2030</a:t>
            </a:r>
            <a:r>
              <a:rPr lang="zh-CN" altLang="en-US" sz="1100">
                <a:latin typeface="Times New Roman" panose="02020603050405020304" charset="0"/>
                <a:ea typeface="宋体" panose="02010600030101010101" charset="-122"/>
                <a:cs typeface="Times New Roman" panose="02020603050405020304" charset="0"/>
              </a:rPr>
              <a:t>年</a:t>
            </a:r>
            <a:r>
              <a:rPr lang="zh-CN" sz="1100">
                <a:latin typeface="Times New Roman" panose="02020603050405020304" charset="0"/>
                <a:ea typeface="宋体" panose="02010600030101010101" charset="-122"/>
                <a:cs typeface="Times New Roman" panose="02020603050405020304" charset="0"/>
              </a:rPr>
              <a:t>美国装机量数据</a:t>
            </a:r>
            <a:r>
              <a:rPr lang="en-US" sz="1100">
                <a:latin typeface="Times New Roman" panose="02020603050405020304" charset="0"/>
                <a:ea typeface="宋体" panose="02010600030101010101" charset="-122"/>
                <a:cs typeface="Times New Roman" panose="02020603050405020304" charset="0"/>
              </a:rPr>
              <a:t>&amp;</a:t>
            </a:r>
            <a:r>
              <a:rPr lang="zh-CN" sz="1100">
                <a:latin typeface="Times New Roman" panose="02020603050405020304" charset="0"/>
                <a:ea typeface="宋体" panose="02010600030101010101" charset="-122"/>
                <a:cs typeface="Times New Roman" panose="02020603050405020304" charset="0"/>
              </a:rPr>
              <a:t>预测</a:t>
            </a:r>
            <a:r>
              <a:rPr lang="zh-CN" altLang="en-US" sz="1100">
                <a:latin typeface="Times New Roman" panose="02020603050405020304" charset="0"/>
                <a:ea typeface="宋体" panose="02010600030101010101" charset="-122"/>
                <a:cs typeface="Times New Roman" panose="02020603050405020304" charset="0"/>
              </a:rPr>
              <a:t>（</a:t>
            </a:r>
            <a:r>
              <a:rPr lang="en-US" altLang="zh-CN" sz="1100">
                <a:latin typeface="Times New Roman" panose="02020603050405020304" charset="0"/>
                <a:ea typeface="宋体" panose="02010600030101010101" charset="-122"/>
                <a:cs typeface="Times New Roman" panose="02020603050405020304" charset="0"/>
              </a:rPr>
              <a:t>MW</a:t>
            </a:r>
            <a:r>
              <a:rPr lang="zh-CN" altLang="en-US" sz="1100">
                <a:latin typeface="Times New Roman" panose="02020603050405020304" charset="0"/>
                <a:ea typeface="宋体" panose="02010600030101010101" charset="-122"/>
                <a:cs typeface="Times New Roman" panose="02020603050405020304" charset="0"/>
              </a:rPr>
              <a:t>）</a:t>
            </a:r>
            <a:endParaRPr lang="zh-CN" sz="1100">
              <a:latin typeface="Times New Roman" panose="02020603050405020304" charset="0"/>
              <a:ea typeface="宋体" panose="02010600030101010101" charset="-122"/>
              <a:cs typeface="Times New Roman" panose="02020603050405020304" charset="0"/>
            </a:endParaRPr>
          </a:p>
        </c:rich>
      </c:tx>
      <c:overlay val="0"/>
      <c:spPr>
        <a:noFill/>
        <a:ln>
          <a:noFill/>
        </a:ln>
        <a:effectLst/>
      </c:spPr>
    </c:title>
    <c:autoTitleDeleted val="0"/>
    <c:plotArea>
      <c:layout/>
      <c:barChart>
        <c:barDir val="col"/>
        <c:grouping val="clustered"/>
        <c:varyColors val="0"/>
        <c:ser>
          <c:idx val="1"/>
          <c:order val="0"/>
          <c:tx>
            <c:strRef>
              <c:f>[美国装机量数据.xlsx]Sheet1!$B$9</c:f>
              <c:strCache>
                <c:ptCount val="1"/>
                <c:pt idx="0">
                  <c:v>United States</c:v>
                </c:pt>
              </c:strCache>
            </c:strRef>
          </c:tx>
          <c:spPr>
            <a:solidFill>
              <a:srgbClr val="2F75B5"/>
            </a:solidFill>
            <a:ln>
              <a:noFill/>
            </a:ln>
            <a:effectLst/>
          </c:spPr>
          <c:invertIfNegative val="0"/>
          <c:dLbls>
            <c:numFmt formatCode="#,##0_);[Red]\(#,##0\)" sourceLinked="0"/>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mj-ea"/>
                    <a:cs typeface="Times New Roman" panose="02020603050405020304" charset="0"/>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[美国装机量数据.xlsx]Sheet1!$C$8:$P$8</c:f>
              <c:numCache>
                <c:formatCode>General</c:formatCode>
                <c:ptCount val="14"/>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numCache>
            </c:numRef>
          </c:cat>
          <c:val>
            <c:numRef>
              <c:f>[美国装机量数据.xlsx]Sheet1!$C$9:$P$9</c:f>
              <c:numCache>
                <c:formatCode>0_ </c:formatCode>
                <c:ptCount val="14"/>
                <c:pt idx="0">
                  <c:v>10906.3388950964</c:v>
                </c:pt>
                <c:pt idx="1">
                  <c:v>10233.976815051799</c:v>
                </c:pt>
                <c:pt idx="2">
                  <c:v>11607.4130762391</c:v>
                </c:pt>
                <c:pt idx="3">
                  <c:v>18590.328766342001</c:v>
                </c:pt>
                <c:pt idx="4">
                  <c:v>24514.1113678123</c:v>
                </c:pt>
                <c:pt idx="5">
                  <c:v>23622.9193270127</c:v>
                </c:pt>
                <c:pt idx="6" formatCode="#,##0">
                  <c:v>38401.8591989919</c:v>
                </c:pt>
                <c:pt idx="7" formatCode="#,##0">
                  <c:v>43727.050210171197</c:v>
                </c:pt>
                <c:pt idx="8" formatCode="#,##0">
                  <c:v>47307.075489175499</c:v>
                </c:pt>
                <c:pt idx="9" formatCode="#,##0">
                  <c:v>52985.118395088197</c:v>
                </c:pt>
                <c:pt idx="10" formatCode="#,##0">
                  <c:v>55486.9105602329</c:v>
                </c:pt>
                <c:pt idx="11" formatCode="#,##0">
                  <c:v>57147.466078475903</c:v>
                </c:pt>
                <c:pt idx="12" formatCode="#,##0">
                  <c:v>55582.869927403997</c:v>
                </c:pt>
                <c:pt idx="13" formatCode="#,##0">
                  <c:v>59296.8726303531</c:v>
                </c:pt>
              </c:numCache>
            </c:numRef>
          </c:val>
          <c:extLst xmlns:c16r2="http://schemas.microsoft.com/office/drawing/2015/06/chart">
            <c:ext xmlns:c16="http://schemas.microsoft.com/office/drawing/2014/chart" uri="{C3380CC4-5D6E-409C-BE32-E72D297353CC}">
              <c16:uniqueId val="{00000000-6A8C-4E15-8BB4-C538134953BF}"/>
            </c:ext>
          </c:extLst>
        </c:ser>
        <c:dLbls>
          <c:showLegendKey val="0"/>
          <c:showVal val="1"/>
          <c:showCatName val="0"/>
          <c:showSerName val="0"/>
          <c:showPercent val="0"/>
          <c:showBubbleSize val="0"/>
        </c:dLbls>
        <c:gapWidth val="219"/>
        <c:overlap val="-27"/>
        <c:axId val="369110016"/>
        <c:axId val="369354624"/>
      </c:barChart>
      <c:catAx>
        <c:axId val="36911001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j-ea"/>
                <a:cs typeface="Times New Roman" panose="02020603050405020304" charset="0"/>
              </a:defRPr>
            </a:pPr>
            <a:endParaRPr lang="zh-CN"/>
          </a:p>
        </c:txPr>
        <c:crossAx val="369354624"/>
        <c:crosses val="autoZero"/>
        <c:auto val="1"/>
        <c:lblAlgn val="ctr"/>
        <c:lblOffset val="100"/>
        <c:noMultiLvlLbl val="0"/>
      </c:catAx>
      <c:valAx>
        <c:axId val="369354624"/>
        <c:scaling>
          <c:orientation val="minMax"/>
        </c:scaling>
        <c:delete val="0"/>
        <c:axPos val="l"/>
        <c:numFmt formatCode="#,##0_ " sourceLinked="0"/>
        <c:majorTickMark val="in"/>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j-ea"/>
                <a:cs typeface="Times New Roman" panose="02020603050405020304" charset="0"/>
              </a:defRPr>
            </a:pPr>
            <a:endParaRPr lang="zh-CN"/>
          </a:p>
        </c:txPr>
        <c:crossAx val="369110016"/>
        <c:crosses val="autoZero"/>
        <c:crossBetween val="between"/>
      </c:valAx>
      <c:spPr>
        <a:noFill/>
        <a:ln>
          <a:noFill/>
        </a:ln>
        <a:effectLst/>
      </c:spPr>
    </c:plotArea>
    <c:legend>
      <c:legendPos val="b"/>
      <c:layout>
        <c:manualLayout>
          <c:xMode val="edge"/>
          <c:yMode val="edge"/>
          <c:x val="0.37641416602361299"/>
          <c:y val="0.92680344022741101"/>
          <c:w val="0.16530313917839501"/>
          <c:h val="7.3196559772589001E-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j-ea"/>
              <a:cs typeface="Times New Roman" panose="02020603050405020304" charset="0"/>
            </a:defRPr>
          </a:pPr>
          <a:endParaRPr lang="zh-CN"/>
        </a:p>
      </c:txPr>
    </c:legend>
    <c:plotVisOnly val="1"/>
    <c:dispBlanksAs val="gap"/>
    <c:showDLblsOverMax val="0"/>
  </c:chart>
  <c:spPr>
    <a:solidFill>
      <a:schemeClr val="bg1"/>
    </a:solidFill>
    <a:ln w="9525" cap="flat" cmpd="sng" algn="ctr">
      <a:solidFill>
        <a:schemeClr val="bg1"/>
      </a:solidFill>
      <a:round/>
    </a:ln>
    <a:effectLst/>
  </c:spPr>
  <c:txPr>
    <a:bodyPr/>
    <a:lstStyle/>
    <a:p>
      <a:pPr>
        <a:defRPr lang="zh-CN">
          <a:latin typeface="Times New Roman" panose="02020603050405020304" charset="0"/>
          <a:ea typeface="+mj-ea"/>
          <a:cs typeface="Times New Roman" panose="02020603050405020304" charset="0"/>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0" i="0" u="none" strike="noStrike" kern="1200" cap="all" spc="120" normalizeH="0" baseline="0">
                <a:solidFill>
                  <a:schemeClr val="tx1">
                    <a:lumMod val="65000"/>
                    <a:lumOff val="35000"/>
                  </a:schemeClr>
                </a:solidFill>
                <a:latin typeface="Times New Roman" panose="02020603050405020304" charset="0"/>
                <a:ea typeface="宋体" panose="02010600030101010101" charset="-122"/>
                <a:cs typeface="Times New Roman" panose="02020603050405020304" charset="0"/>
              </a:defRPr>
            </a:pPr>
            <a:r>
              <a:rPr lang="zh-CN" sz="1200" b="0">
                <a:latin typeface="Times New Roman" panose="02020603050405020304" charset="0"/>
                <a:ea typeface="宋体" panose="02010600030101010101" charset="-122"/>
                <a:cs typeface="Times New Roman" panose="02020603050405020304" charset="0"/>
              </a:rPr>
              <a:t>光伏发电</a:t>
            </a:r>
            <a:r>
              <a:rPr lang="en-US" sz="1200" b="0">
                <a:latin typeface="Times New Roman" panose="02020603050405020304" charset="0"/>
                <a:ea typeface="宋体" panose="02010600030101010101" charset="-122"/>
                <a:cs typeface="Times New Roman" panose="02020603050405020304" charset="0"/>
              </a:rPr>
              <a:t>LCOE(USD)</a:t>
            </a:r>
          </a:p>
        </c:rich>
      </c:tx>
      <c:overlay val="0"/>
      <c:spPr>
        <a:noFill/>
        <a:ln>
          <a:noFill/>
        </a:ln>
        <a:effectLst/>
      </c:spPr>
    </c:title>
    <c:autoTitleDeleted val="0"/>
    <c:plotArea>
      <c:layout/>
      <c:lineChart>
        <c:grouping val="standard"/>
        <c:varyColors val="0"/>
        <c:ser>
          <c:idx val="0"/>
          <c:order val="0"/>
          <c:tx>
            <c:strRef>
              <c:f>Sheet1!$B$1</c:f>
              <c:strCache>
                <c:ptCount val="1"/>
                <c:pt idx="0">
                  <c:v>光伏发电LCOE(USD)</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0"/>
              <c:layout>
                <c:manualLayout>
                  <c:x val="-2.4434941967012799E-3"/>
                  <c:y val="-4.657179818887449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DAE-4A16-BE04-2BFEC10EA386}"/>
                </c:ext>
              </c:extLst>
            </c:dLbl>
            <c:dLbl>
              <c:idx val="1"/>
              <c:layout>
                <c:manualLayout>
                  <c:x val="-7.3304825901038704E-3"/>
                  <c:y val="-4.657179818887449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DAE-4A16-BE04-2BFEC10EA386}"/>
                </c:ext>
              </c:extLst>
            </c:dLbl>
            <c:dLbl>
              <c:idx val="2"/>
              <c:layout>
                <c:manualLayout>
                  <c:x val="-4.8869883934026101E-3"/>
                  <c:y val="-3.622250970245800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DAE-4A16-BE04-2BFEC10EA386}"/>
                </c:ext>
              </c:extLst>
            </c:dLbl>
            <c:dLbl>
              <c:idx val="3"/>
              <c:layout>
                <c:manualLayout>
                  <c:x val="-2.4434941967012799E-3"/>
                  <c:y val="-3.104786545924970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DAE-4A16-BE04-2BFEC10EA386}"/>
                </c:ext>
              </c:extLst>
            </c:dLbl>
            <c:dLbl>
              <c:idx val="4"/>
              <c:layout>
                <c:manualLayout>
                  <c:x val="2.1991447770311499E-2"/>
                  <c:y val="-2.069857697283319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DAE-4A16-BE04-2BFEC10EA386}"/>
                </c:ext>
              </c:extLst>
            </c:dLbl>
            <c:dLbl>
              <c:idx val="5"/>
              <c:layout>
                <c:manualLayout>
                  <c:x val="0"/>
                  <c:y val="-2.587322121604139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DAE-4A16-BE04-2BFEC10EA386}"/>
                </c:ext>
              </c:extLst>
            </c:dLbl>
            <c:dLbl>
              <c:idx val="6"/>
              <c:layout>
                <c:manualLayout>
                  <c:x val="-8.9593752217709399E-17"/>
                  <c:y val="-2.587322121604139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DAE-4A16-BE04-2BFEC10EA386}"/>
                </c:ext>
              </c:extLst>
            </c:dLbl>
            <c:dLbl>
              <c:idx val="7"/>
              <c:layout>
                <c:manualLayout>
                  <c:x val="0"/>
                  <c:y val="-4.139715394566619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DAE-4A16-BE04-2BFEC10EA386}"/>
                </c:ext>
              </c:extLst>
            </c:dLbl>
            <c:dLbl>
              <c:idx val="8"/>
              <c:layout>
                <c:manualLayout>
                  <c:x val="-8.9593752217709399E-17"/>
                  <c:y val="-3.622250970245800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DAE-4A16-BE04-2BFEC10EA386}"/>
                </c:ext>
              </c:extLst>
            </c:dLbl>
            <c:dLbl>
              <c:idx val="9"/>
              <c:layout>
                <c:manualLayout>
                  <c:x val="-8.9593752217709399E-17"/>
                  <c:y val="-3.104786545924979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DAE-4A16-BE04-2BFEC10EA386}"/>
                </c:ext>
              </c:extLst>
            </c:dLbl>
            <c:dLbl>
              <c:idx val="10"/>
              <c:layout>
                <c:manualLayout>
                  <c:x val="-4.8869883934027402E-3"/>
                  <c:y val="-3.104786545924970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9DAE-4A16-BE04-2BFEC10EA386}"/>
                </c:ext>
              </c:extLst>
            </c:dLbl>
            <c:dLbl>
              <c:idx val="11"/>
              <c:layout>
                <c:manualLayout>
                  <c:x val="-4.8869883934025702E-3"/>
                  <c:y val="4.657179818887449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9DAE-4A16-BE04-2BFEC10EA386}"/>
                </c:ext>
              </c:extLst>
            </c:dLbl>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50000"/>
                        <a:lumOff val="50000"/>
                      </a:schemeClr>
                    </a:solidFill>
                    <a:latin typeface="Times New Roman" panose="02020603050405020304" charset="0"/>
                    <a:ea typeface="+mj-ea"/>
                    <a:cs typeface="Times New Roman" panose="02020603050405020304" charset="0"/>
                  </a:defRPr>
                </a:pPr>
                <a:endParaRPr lang="zh-CN"/>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Sheet1!$A$2:$A$13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Sheet1!$B$2:$B$13</c:f>
              <c:numCache>
                <c:formatCode>General</c:formatCode>
                <c:ptCount val="12"/>
                <c:pt idx="0">
                  <c:v>0.378</c:v>
                </c:pt>
                <c:pt idx="1">
                  <c:v>0.28799999999999998</c:v>
                </c:pt>
                <c:pt idx="2">
                  <c:v>0.23499999999999999</c:v>
                </c:pt>
                <c:pt idx="3">
                  <c:v>0.185</c:v>
                </c:pt>
                <c:pt idx="4">
                  <c:v>0.18</c:v>
                </c:pt>
                <c:pt idx="5">
                  <c:v>0.14499999999999999</c:v>
                </c:pt>
                <c:pt idx="6">
                  <c:v>0.12</c:v>
                </c:pt>
                <c:pt idx="7">
                  <c:v>0.09</c:v>
                </c:pt>
                <c:pt idx="8">
                  <c:v>0.08</c:v>
                </c:pt>
                <c:pt idx="9">
                  <c:v>7.0000000000000007E-2</c:v>
                </c:pt>
                <c:pt idx="10">
                  <c:v>6.5000000000000002E-2</c:v>
                </c:pt>
                <c:pt idx="11">
                  <c:v>0.06</c:v>
                </c:pt>
              </c:numCache>
            </c:numRef>
          </c:val>
          <c:smooth val="0"/>
          <c:extLst xmlns:c16r2="http://schemas.microsoft.com/office/drawing/2015/06/chart">
            <c:ext xmlns:c16="http://schemas.microsoft.com/office/drawing/2014/chart" uri="{C3380CC4-5D6E-409C-BE32-E72D297353CC}">
              <c16:uniqueId val="{0000000C-9DAE-4A16-BE04-2BFEC10EA386}"/>
            </c:ext>
          </c:extLst>
        </c:ser>
        <c:dLbls>
          <c:showLegendKey val="0"/>
          <c:showVal val="0"/>
          <c:showCatName val="0"/>
          <c:showSerName val="0"/>
          <c:showPercent val="0"/>
          <c:showBubbleSize val="0"/>
        </c:dLbls>
        <c:marker val="1"/>
        <c:smooth val="0"/>
        <c:axId val="368987520"/>
        <c:axId val="369321088"/>
      </c:lineChart>
      <c:dateAx>
        <c:axId val="36898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00" b="0" i="0" u="none" strike="noStrike" kern="1200" cap="all" spc="120" normalizeH="0" baseline="0">
                <a:solidFill>
                  <a:schemeClr val="tx1">
                    <a:lumMod val="65000"/>
                    <a:lumOff val="35000"/>
                  </a:schemeClr>
                </a:solidFill>
                <a:latin typeface="Times New Roman" panose="02020603050405020304" charset="0"/>
                <a:ea typeface="+mj-ea"/>
                <a:cs typeface="Times New Roman" panose="02020603050405020304" charset="0"/>
              </a:defRPr>
            </a:pPr>
            <a:endParaRPr lang="zh-CN"/>
          </a:p>
        </c:txPr>
        <c:crossAx val="369321088"/>
        <c:crossesAt val="0"/>
        <c:auto val="0"/>
        <c:lblOffset val="100"/>
        <c:baseTimeUnit val="days"/>
        <c:majorUnit val="2"/>
        <c:majorTimeUnit val="days"/>
      </c:dateAx>
      <c:valAx>
        <c:axId val="369321088"/>
        <c:scaling>
          <c:orientation val="minMax"/>
        </c:scaling>
        <c:delete val="0"/>
        <c:axPos val="l"/>
        <c:numFmt formatCode="General" sourceLinked="1"/>
        <c:majorTickMark val="in"/>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zh-CN" sz="1000" b="0" i="0" u="none" strike="noStrike" kern="1200" baseline="0">
                <a:solidFill>
                  <a:schemeClr val="tx1">
                    <a:lumMod val="65000"/>
                    <a:lumOff val="35000"/>
                  </a:schemeClr>
                </a:solidFill>
                <a:latin typeface="Times New Roman" panose="02020603050405020304" charset="0"/>
                <a:ea typeface="+mj-ea"/>
                <a:cs typeface="Times New Roman" panose="02020603050405020304" charset="0"/>
              </a:defRPr>
            </a:pPr>
            <a:endParaRPr lang="zh-CN"/>
          </a:p>
        </c:txPr>
        <c:crossAx val="368987520"/>
        <c:crosses val="autoZero"/>
        <c:crossBetween val="between"/>
        <c:majorUnit val="0.1"/>
      </c:valAx>
      <c:spPr>
        <a:noFill/>
        <a:ln>
          <a:noFill/>
        </a:ln>
        <a:effectLst/>
      </c:spPr>
    </c:plotArea>
    <c:plotVisOnly val="1"/>
    <c:dispBlanksAs val="gap"/>
    <c:showDLblsOverMax val="0"/>
  </c:chart>
  <c:spPr>
    <a:noFill/>
    <a:ln w="9525" cap="flat" cmpd="sng" algn="ctr">
      <a:noFill/>
      <a:round/>
    </a:ln>
    <a:effectLst/>
  </c:spPr>
  <c:txPr>
    <a:bodyPr/>
    <a:lstStyle/>
    <a:p>
      <a:pPr>
        <a:defRPr lang="zh-CN">
          <a:latin typeface="Times New Roman" panose="02020603050405020304" charset="0"/>
          <a:ea typeface="+mj-ea"/>
          <a:cs typeface="Times New Roman" panose="02020603050405020304" charset="0"/>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ECBEC-C978-4E79-AE29-52FA7B648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51</Pages>
  <Words>6247</Words>
  <Characters>35613</Characters>
  <Application>Microsoft Office Word</Application>
  <DocSecurity>0</DocSecurity>
  <Lines>296</Lines>
  <Paragraphs>83</Paragraphs>
  <ScaleCrop>false</ScaleCrop>
  <Company>Microsoft</Company>
  <LinksUpToDate>false</LinksUpToDate>
  <CharactersWithSpaces>41777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林玲</cp:lastModifiedBy>
  <cp:revision>6</cp:revision>
  <dcterms:created xsi:type="dcterms:W3CDTF">2023-10-16T09:04:00Z</dcterms:created>
  <dcterms:modified xsi:type="dcterms:W3CDTF">2023-10-16T10:25:00Z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15D870F80A454927900BF44321A62F2F_12</vt:lpwstr>
  </property>
</Properties>
</file>