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5C4EB" w14:textId="75BAFC1C" w:rsidR="00342A1A" w:rsidRDefault="00FF6AAB">
      <w:pPr>
        <w:pStyle w:val="a3"/>
        <w:tabs>
          <w:tab w:val="left" w:pos="3045"/>
          <w:tab w:val="left" w:pos="6120"/>
        </w:tabs>
        <w:spacing w:before="82"/>
        <w:ind w:lef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证券代码</w:t>
      </w:r>
      <w:r>
        <w:rPr>
          <w:rFonts w:ascii="Times New Roman" w:hAnsi="Times New Roman" w:cs="Times New Roman"/>
          <w:spacing w:val="-8"/>
        </w:rPr>
        <w:t>：</w:t>
      </w:r>
      <w:r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>
        <w:rPr>
          <w:rFonts w:ascii="Times New Roman" w:hAnsi="Times New Roman" w:cs="Times New Roman"/>
          <w:spacing w:val="-8"/>
        </w:rPr>
        <w:t>15</w:t>
      </w:r>
      <w:r>
        <w:rPr>
          <w:rFonts w:ascii="Times New Roman" w:hAnsi="Times New Roman" w:cs="Times New Roman"/>
          <w:spacing w:val="-8"/>
        </w:rPr>
        <w:tab/>
      </w:r>
      <w:r>
        <w:rPr>
          <w:rFonts w:ascii="Times New Roman" w:hAnsi="Times New Roman" w:cs="Times New Roman"/>
        </w:rPr>
        <w:t>证券简称</w:t>
      </w:r>
      <w:r>
        <w:rPr>
          <w:rFonts w:ascii="Times New Roman" w:hAnsi="Times New Roman" w:cs="Times New Roman"/>
          <w:spacing w:val="-51"/>
        </w:rPr>
        <w:t>：</w:t>
      </w:r>
      <w:proofErr w:type="gramStart"/>
      <w:r>
        <w:rPr>
          <w:rFonts w:ascii="Times New Roman" w:hAnsi="Times New Roman" w:cs="Times New Roman" w:hint="eastAsia"/>
        </w:rPr>
        <w:t>交建</w:t>
      </w:r>
      <w:r>
        <w:rPr>
          <w:rFonts w:ascii="Times New Roman" w:hAnsi="Times New Roman" w:cs="Times New Roman"/>
        </w:rPr>
        <w:t>股份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公告编号</w:t>
      </w:r>
      <w:r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</w:t>
      </w:r>
      <w:r w:rsidR="00F63A06">
        <w:rPr>
          <w:rFonts w:ascii="Times New Roman" w:hAnsi="Times New Roman" w:cs="Times New Roman" w:hint="eastAsia"/>
        </w:rPr>
        <w:t>3</w:t>
      </w:r>
      <w:r w:rsidR="00687475">
        <w:rPr>
          <w:rFonts w:ascii="Times New Roman" w:hAnsi="Times New Roman" w:cs="Times New Roman"/>
        </w:rPr>
        <w:t>-</w:t>
      </w:r>
      <w:r w:rsidR="00C92519">
        <w:rPr>
          <w:rFonts w:ascii="Times New Roman" w:hAnsi="Times New Roman" w:cs="Times New Roman" w:hint="eastAsia"/>
        </w:rPr>
        <w:t>04</w:t>
      </w:r>
      <w:r w:rsidR="001257C0">
        <w:rPr>
          <w:rFonts w:ascii="Times New Roman" w:hAnsi="Times New Roman" w:cs="Times New Roman" w:hint="eastAsia"/>
        </w:rPr>
        <w:t>3</w:t>
      </w:r>
    </w:p>
    <w:p w14:paraId="6EB041D6" w14:textId="77777777" w:rsidR="00342A1A" w:rsidRDefault="00342A1A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7ADAA01B" w14:textId="77777777" w:rsidR="00342A1A" w:rsidRDefault="00FF6AAB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303D2545" w14:textId="3347121D" w:rsidR="00342A1A" w:rsidRDefault="00FF6AAB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76E59E" wp14:editId="2453A4FC">
                <wp:simplePos x="0" y="0"/>
                <wp:positionH relativeFrom="page">
                  <wp:posOffset>1266825</wp:posOffset>
                </wp:positionH>
                <wp:positionV relativeFrom="paragraph">
                  <wp:posOffset>728980</wp:posOffset>
                </wp:positionV>
                <wp:extent cx="5419090" cy="882015"/>
                <wp:effectExtent l="0" t="0" r="10160" b="13335"/>
                <wp:wrapThrough wrapText="bothSides">
                  <wp:wrapPolygon edited="0">
                    <wp:start x="0" y="0"/>
                    <wp:lineTo x="0" y="21460"/>
                    <wp:lineTo x="21565" y="21460"/>
                    <wp:lineTo x="21565" y="0"/>
                    <wp:lineTo x="0" y="0"/>
                  </wp:wrapPolygon>
                </wp:wrapThrough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882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ED0F12" w14:textId="5675B522" w:rsidR="00342A1A" w:rsidRDefault="00FF6AAB">
                            <w:pPr>
                              <w:pStyle w:val="a3"/>
                              <w:spacing w:line="602" w:lineRule="exact"/>
                              <w:ind w:left="108" w:right="108" w:firstLine="476"/>
                            </w:pPr>
                            <w:r>
                              <w:rPr>
                                <w:spacing w:val="-5"/>
                              </w:rPr>
                              <w:t>本公司董事会及全体董事保证本公告内容不存在任何虚假记载、误导性陈述</w:t>
                            </w:r>
                            <w:r>
                              <w:t>或者重大遗漏，并对其内容的真实性、准确性和完整性承担</w:t>
                            </w:r>
                            <w:r w:rsidR="008254EC">
                              <w:rPr>
                                <w:rFonts w:hint="eastAsia"/>
                              </w:rPr>
                              <w:t>法律</w:t>
                            </w:r>
                            <w:r>
                              <w:t>责任。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99.75pt;margin-top:57.4pt;width:426.7pt;height:69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" filled="f" strokeweight=".48pt">
                <v:textbox inset="0,0,0,0">
                  <w:txbxContent>
                    <w:p w14:paraId="37ED0F12" w14:textId="5675B522" w:rsidR="00342A1A" w:rsidRDefault="00FF6AAB">
                      <w:pPr>
                        <w:pStyle w:val="a3"/>
                        <w:spacing w:line="602" w:lineRule="exact"/>
                        <w:ind w:left="108" w:right="108" w:firstLine="476"/>
                      </w:pPr>
                      <w:r>
                        <w:rPr>
                          <w:spacing w:val="-5"/>
                        </w:rPr>
                        <w:t>本公司董事会及全体董事保证本公告内容不存在任何虚假记载、误导性陈述</w:t>
                      </w:r>
                      <w:r>
                        <w:t>或者重大遗漏，并对其内容的真实性、准确性和完整性承担</w:t>
                      </w:r>
                      <w:r w:rsidR="008254EC">
                        <w:rPr>
                          <w:rFonts w:hint="eastAsia"/>
                        </w:rPr>
                        <w:t>法律</w:t>
                      </w:r>
                      <w:r>
                        <w:t>责任。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黑体" w:eastAsia="黑体" w:hAnsi="黑体" w:hint="eastAsia"/>
          <w:b/>
          <w:bCs/>
          <w:sz w:val="36"/>
          <w:szCs w:val="36"/>
        </w:rPr>
        <w:t>关于2</w:t>
      </w:r>
      <w:r>
        <w:rPr>
          <w:rFonts w:ascii="黑体" w:eastAsia="黑体" w:hAnsi="黑体"/>
          <w:b/>
          <w:bCs/>
          <w:sz w:val="36"/>
          <w:szCs w:val="36"/>
        </w:rPr>
        <w:t>02</w:t>
      </w:r>
      <w:r w:rsidR="00687475">
        <w:rPr>
          <w:rFonts w:ascii="黑体" w:eastAsia="黑体" w:hAnsi="黑体" w:hint="eastAsia"/>
          <w:b/>
          <w:bCs/>
          <w:sz w:val="36"/>
          <w:szCs w:val="36"/>
        </w:rPr>
        <w:t>2</w:t>
      </w:r>
      <w:r>
        <w:rPr>
          <w:rFonts w:ascii="黑体" w:eastAsia="黑体" w:hAnsi="黑体" w:hint="eastAsia"/>
          <w:b/>
          <w:bCs/>
          <w:sz w:val="36"/>
          <w:szCs w:val="36"/>
        </w:rPr>
        <w:t>年度网上业绩说明会召开情况的公告</w:t>
      </w:r>
    </w:p>
    <w:p w14:paraId="34CB8C7A" w14:textId="2819D3DC" w:rsidR="00342A1A" w:rsidRPr="00687475" w:rsidRDefault="00342A1A">
      <w:pPr>
        <w:rPr>
          <w:rFonts w:ascii="宋体" w:eastAsia="宋体" w:hAnsi="宋体"/>
          <w:b/>
          <w:bCs/>
          <w:sz w:val="24"/>
          <w:szCs w:val="24"/>
        </w:rPr>
      </w:pPr>
    </w:p>
    <w:p w14:paraId="7FD8F7F0" w14:textId="35E72EEF" w:rsidR="00342A1A" w:rsidRPr="00245BCA" w:rsidRDefault="00FF6AAB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安徽省交通建设股份有限公司（以下简称“公司”）于202</w:t>
      </w:r>
      <w:r w:rsidR="00687475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年5月1</w:t>
      </w:r>
      <w:r w:rsidR="00687475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日（星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期</w:t>
      </w:r>
      <w:r w:rsidR="00687475"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）15: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0-16:</w:t>
      </w:r>
      <w:r w:rsidR="00245BCA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0，通过上海证券交易所</w:t>
      </w:r>
      <w:r>
        <w:rPr>
          <w:rFonts w:ascii="宋体" w:eastAsia="宋体" w:hAnsi="宋体"/>
          <w:sz w:val="24"/>
          <w:szCs w:val="24"/>
        </w:rPr>
        <w:t>“上证e互动”网络平台（http://sns.sseinfo.com）</w:t>
      </w:r>
      <w:r>
        <w:rPr>
          <w:rFonts w:ascii="宋体" w:eastAsia="宋体" w:hAnsi="宋体" w:hint="eastAsia"/>
          <w:sz w:val="24"/>
          <w:szCs w:val="24"/>
        </w:rPr>
        <w:t>召开了2</w:t>
      </w:r>
      <w:r>
        <w:rPr>
          <w:rFonts w:ascii="宋体" w:eastAsia="宋体" w:hAnsi="宋体"/>
          <w:sz w:val="24"/>
          <w:szCs w:val="24"/>
        </w:rPr>
        <w:t>02</w:t>
      </w:r>
      <w:r w:rsidR="00687475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年度网上业绩说明会，现将说明会情</w:t>
      </w:r>
      <w:proofErr w:type="gramStart"/>
      <w:r>
        <w:rPr>
          <w:rFonts w:ascii="宋体" w:eastAsia="宋体" w:hAnsi="宋体" w:hint="eastAsia"/>
          <w:sz w:val="24"/>
          <w:szCs w:val="24"/>
        </w:rPr>
        <w:t>况</w:t>
      </w:r>
      <w:proofErr w:type="gramEnd"/>
      <w:r>
        <w:rPr>
          <w:rFonts w:ascii="宋体" w:eastAsia="宋体" w:hAnsi="宋体" w:hint="eastAsia"/>
          <w:sz w:val="24"/>
          <w:szCs w:val="24"/>
        </w:rPr>
        <w:t>公告如下：</w:t>
      </w:r>
    </w:p>
    <w:p w14:paraId="41ACA74D" w14:textId="77777777" w:rsidR="00342A1A" w:rsidRDefault="00FF6AAB" w:rsidP="007E5AF5">
      <w:pPr>
        <w:spacing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一、本次说明会人员参加情况</w:t>
      </w:r>
    </w:p>
    <w:p w14:paraId="179B0B38" w14:textId="4ACC3754" w:rsidR="00342A1A" w:rsidRDefault="00FF6AAB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公司董事长胡先宽、董事会秘书曹振明、财务总监施秀莹</w:t>
      </w:r>
      <w:r w:rsidR="00245BCA">
        <w:rPr>
          <w:rFonts w:ascii="宋体" w:eastAsia="宋体" w:hAnsi="宋体" w:hint="eastAsia"/>
          <w:sz w:val="24"/>
          <w:szCs w:val="24"/>
        </w:rPr>
        <w:t>、独立董事</w:t>
      </w:r>
      <w:r w:rsidR="00687475">
        <w:rPr>
          <w:rFonts w:ascii="宋体" w:eastAsia="宋体" w:hAnsi="宋体" w:hint="eastAsia"/>
          <w:sz w:val="24"/>
          <w:szCs w:val="24"/>
        </w:rPr>
        <w:t>张治栋</w:t>
      </w:r>
      <w:r>
        <w:rPr>
          <w:rFonts w:ascii="宋体" w:eastAsia="宋体" w:hAnsi="宋体" w:hint="eastAsia"/>
          <w:sz w:val="24"/>
          <w:szCs w:val="24"/>
        </w:rPr>
        <w:t>参加了本次说明会，并对投资者提出的问题进行了回答。</w:t>
      </w:r>
    </w:p>
    <w:p w14:paraId="320A1971" w14:textId="41ED23EB" w:rsidR="00342A1A" w:rsidRDefault="00FF6AAB" w:rsidP="007E5AF5">
      <w:pPr>
        <w:spacing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二、投资者提出的主要问题及公司回答情况</w:t>
      </w:r>
    </w:p>
    <w:p w14:paraId="728EF280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/>
          <w:bCs/>
          <w:sz w:val="24"/>
          <w:szCs w:val="24"/>
        </w:rPr>
        <w:t>1、公司2022年经营情况有什么亮点？</w:t>
      </w:r>
    </w:p>
    <w:p w14:paraId="70FA019F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 w:hint="eastAsia"/>
          <w:bCs/>
          <w:sz w:val="24"/>
          <w:szCs w:val="24"/>
        </w:rPr>
        <w:t>答：</w:t>
      </w:r>
      <w:r w:rsidRPr="00C92519">
        <w:rPr>
          <w:rFonts w:ascii="宋体" w:eastAsia="宋体" w:hAnsi="宋体"/>
          <w:bCs/>
          <w:sz w:val="24"/>
          <w:szCs w:val="24"/>
        </w:rPr>
        <w:t xml:space="preserve"> 2022年，公司实现营业收入64.99亿元，同比增长26.76%；实现净利润1.83亿元，同比增长21.76%；归属于上市公司股东的净利润为1.82亿元，同比增长22.18%;归属于上市公司股东的扣除非经常性损益的净利润1.72亿元，同比增长62.68%。</w:t>
      </w:r>
    </w:p>
    <w:p w14:paraId="421D2AF8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 w:hint="eastAsia"/>
          <w:bCs/>
          <w:sz w:val="24"/>
          <w:szCs w:val="24"/>
        </w:rPr>
        <w:t>同时，</w:t>
      </w:r>
      <w:r w:rsidRPr="00C92519">
        <w:rPr>
          <w:rFonts w:ascii="宋体" w:eastAsia="宋体" w:hAnsi="宋体"/>
          <w:bCs/>
          <w:sz w:val="24"/>
          <w:szCs w:val="24"/>
        </w:rPr>
        <w:t>2022年公司市场经营工作取得了较好的成绩，公司新承揽订单金额80.64亿元。公司在高速公路施工项目承揽方面实现新突破，报告期内，新中标的重点公路项目单体金额高、利润较好。此外，公司积极参与乡村振兴基建项目，新</w:t>
      </w:r>
      <w:proofErr w:type="gramStart"/>
      <w:r w:rsidRPr="00C92519">
        <w:rPr>
          <w:rFonts w:ascii="宋体" w:eastAsia="宋体" w:hAnsi="宋体"/>
          <w:bCs/>
          <w:sz w:val="24"/>
          <w:szCs w:val="24"/>
        </w:rPr>
        <w:t>中标省</w:t>
      </w:r>
      <w:proofErr w:type="gramEnd"/>
      <w:r w:rsidRPr="00C92519">
        <w:rPr>
          <w:rFonts w:ascii="宋体" w:eastAsia="宋体" w:hAnsi="宋体"/>
          <w:bCs/>
          <w:sz w:val="24"/>
          <w:szCs w:val="24"/>
        </w:rPr>
        <w:t>内外农村公路改造项目，充裕的新承揽订单和项目储备，为公司持续健康发展提供了坚实保障。</w:t>
      </w:r>
    </w:p>
    <w:p w14:paraId="74064FD2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/>
          <w:bCs/>
          <w:sz w:val="24"/>
          <w:szCs w:val="24"/>
        </w:rPr>
        <w:t>2、公司现金流情况怎么样？</w:t>
      </w:r>
    </w:p>
    <w:p w14:paraId="3131226D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 w:hint="eastAsia"/>
          <w:bCs/>
          <w:sz w:val="24"/>
          <w:szCs w:val="24"/>
        </w:rPr>
        <w:lastRenderedPageBreak/>
        <w:t>答：公司一贯重视现金流管理，现金流充足、稳健、持续、安全。</w:t>
      </w:r>
      <w:r w:rsidRPr="00C92519">
        <w:rPr>
          <w:rFonts w:ascii="宋体" w:eastAsia="宋体" w:hAnsi="宋体"/>
          <w:bCs/>
          <w:sz w:val="24"/>
          <w:szCs w:val="24"/>
        </w:rPr>
        <w:t>2022年度，公司经营活动产生的现金流量净额为6,478.90万元，扣除PPP项目影响后，公司经营性现金流量净额为18,844.35万元，回款良好，与公司净利润情况相匹配。</w:t>
      </w:r>
    </w:p>
    <w:p w14:paraId="45028218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/>
          <w:bCs/>
          <w:sz w:val="24"/>
          <w:szCs w:val="24"/>
        </w:rPr>
        <w:t>3、公司今年有分红计划吗？</w:t>
      </w:r>
    </w:p>
    <w:p w14:paraId="0C45AC09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 w:hint="eastAsia"/>
          <w:bCs/>
          <w:sz w:val="24"/>
          <w:szCs w:val="24"/>
        </w:rPr>
        <w:t>答：您好，公司</w:t>
      </w:r>
      <w:r w:rsidRPr="00C92519">
        <w:rPr>
          <w:rFonts w:ascii="宋体" w:eastAsia="宋体" w:hAnsi="宋体"/>
          <w:bCs/>
          <w:sz w:val="24"/>
          <w:szCs w:val="24"/>
        </w:rPr>
        <w:t>2022年度经营情况和现金流情况良好，公司一贯重视给予投资者合理稳定的现金分红和回报，自公司上市以来，公司始终保持分红不低于公司当年归属母公司可分配利润的30%。2022年公司利润分配方案为，以2022年末股本总数618,924,235股为基数，拟按每10股派1.00元(含税)的比例向全体股东派发现金股利，共计派发现金股利61,892,423.50元, 占2022年度归属于母公司股东净利润的比例为34.09%，本分配方案尚需股东大会批准。</w:t>
      </w:r>
    </w:p>
    <w:p w14:paraId="67E59C86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/>
          <w:bCs/>
          <w:sz w:val="24"/>
          <w:szCs w:val="24"/>
        </w:rPr>
        <w:t>4、在数字化应用方面公司有哪些成绩？</w:t>
      </w:r>
    </w:p>
    <w:p w14:paraId="6EB2B6EA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 w:hint="eastAsia"/>
          <w:bCs/>
          <w:sz w:val="24"/>
          <w:szCs w:val="24"/>
        </w:rPr>
        <w:t>答：公司持续深化数字建设平台实际应用和创新，推动</w:t>
      </w:r>
      <w:r w:rsidRPr="00C92519">
        <w:rPr>
          <w:rFonts w:ascii="宋体" w:eastAsia="宋体" w:hAnsi="宋体"/>
          <w:bCs/>
          <w:sz w:val="24"/>
          <w:szCs w:val="24"/>
        </w:rPr>
        <w:t>BIM数字建设平台与EAS财务系统融合，项目信息化管理水平得以大幅提升。依托信息化、物联网、</w:t>
      </w:r>
      <w:proofErr w:type="gramStart"/>
      <w:r w:rsidRPr="00C92519">
        <w:rPr>
          <w:rFonts w:ascii="宋体" w:eastAsia="宋体" w:hAnsi="宋体"/>
          <w:bCs/>
          <w:sz w:val="24"/>
          <w:szCs w:val="24"/>
        </w:rPr>
        <w:t>云计算</w:t>
      </w:r>
      <w:proofErr w:type="gramEnd"/>
      <w:r w:rsidRPr="00C92519">
        <w:rPr>
          <w:rFonts w:ascii="宋体" w:eastAsia="宋体" w:hAnsi="宋体"/>
          <w:bCs/>
          <w:sz w:val="24"/>
          <w:szCs w:val="24"/>
        </w:rPr>
        <w:t>等技术，公司已构建完成施工现场智能监控体系，搭建了智慧工地系统综合管理平台，实现对人、机、料、法、环的全方位</w:t>
      </w:r>
      <w:proofErr w:type="gramStart"/>
      <w:r w:rsidRPr="00C92519">
        <w:rPr>
          <w:rFonts w:ascii="宋体" w:eastAsia="宋体" w:hAnsi="宋体"/>
          <w:bCs/>
          <w:sz w:val="24"/>
          <w:szCs w:val="24"/>
        </w:rPr>
        <w:t>实时管</w:t>
      </w:r>
      <w:proofErr w:type="gramEnd"/>
      <w:r w:rsidRPr="00C92519">
        <w:rPr>
          <w:rFonts w:ascii="宋体" w:eastAsia="宋体" w:hAnsi="宋体"/>
          <w:bCs/>
          <w:sz w:val="24"/>
          <w:szCs w:val="24"/>
        </w:rPr>
        <w:t>控，有效提高了项目建设的效率和质量，同时获得合肥市建委信用评价BIM项目2个，省智慧工地试点项目5个。</w:t>
      </w:r>
    </w:p>
    <w:p w14:paraId="592020F9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/>
          <w:bCs/>
          <w:sz w:val="24"/>
          <w:szCs w:val="24"/>
        </w:rPr>
        <w:t>5、关注到公司董事会换届，请问新一届董事会对公司未来发展有什么计划？</w:t>
      </w:r>
    </w:p>
    <w:p w14:paraId="409DD4F0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 w:hint="eastAsia"/>
          <w:bCs/>
          <w:sz w:val="24"/>
          <w:szCs w:val="24"/>
        </w:rPr>
        <w:t>答：您好，感谢您的关注。公司近期刚刚完成了董事会三年到期换届工作。回顾公司上市三年来的业绩，主营业务收入和利润均保持良好的增长势头，</w:t>
      </w:r>
      <w:r w:rsidRPr="00C92519">
        <w:rPr>
          <w:rFonts w:ascii="宋体" w:eastAsia="宋体" w:hAnsi="宋体"/>
          <w:bCs/>
          <w:sz w:val="24"/>
          <w:szCs w:val="24"/>
        </w:rPr>
        <w:t>2019年至2022年，营业收入由28.52亿元增长为64.99亿元，净利润由1.09亿元增长为1.83亿元，净资产由10.85亿元增长为22.72亿元，均取得大幅成长。</w:t>
      </w:r>
    </w:p>
    <w:p w14:paraId="01FEC4EC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/>
          <w:bCs/>
          <w:sz w:val="24"/>
          <w:szCs w:val="24"/>
        </w:rPr>
        <w:t>2023年,公司董事会将继续以全体股东的利益为出发点,以公司既定发展战略为方向，以年度生产经营计划为指引，勤勉尽责、科学决策，不断提高公司治理和经营管理水平，组织和领导公司经营管理层力争完成公司的经营目标，保持公司近年来高质量发展的良好势头。</w:t>
      </w:r>
    </w:p>
    <w:p w14:paraId="25D53B06" w14:textId="532A5428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/>
          <w:bCs/>
          <w:sz w:val="24"/>
          <w:szCs w:val="24"/>
        </w:rPr>
        <w:t>6、公司目前股东人数情况怎样，跟去年底比变化的大不大？</w:t>
      </w:r>
    </w:p>
    <w:p w14:paraId="00460BE2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 w:hint="eastAsia"/>
          <w:bCs/>
          <w:sz w:val="24"/>
          <w:szCs w:val="24"/>
        </w:rPr>
        <w:t>答：截止</w:t>
      </w:r>
      <w:r w:rsidRPr="00C92519">
        <w:rPr>
          <w:rFonts w:ascii="宋体" w:eastAsia="宋体" w:hAnsi="宋体"/>
          <w:bCs/>
          <w:sz w:val="24"/>
          <w:szCs w:val="24"/>
        </w:rPr>
        <w:t>2023年3月末，公司普通股股东总数33,825户，较2022年末的</w:t>
      </w:r>
      <w:r w:rsidRPr="00C92519">
        <w:rPr>
          <w:rFonts w:ascii="宋体" w:eastAsia="宋体" w:hAnsi="宋体"/>
          <w:bCs/>
          <w:sz w:val="24"/>
          <w:szCs w:val="24"/>
        </w:rPr>
        <w:lastRenderedPageBreak/>
        <w:t>34,964户减少1,139户。</w:t>
      </w:r>
    </w:p>
    <w:p w14:paraId="1A429826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/>
          <w:bCs/>
          <w:sz w:val="24"/>
          <w:szCs w:val="24"/>
        </w:rPr>
        <w:t>7、请问独立董事对公司的经营情况有何评价？</w:t>
      </w:r>
    </w:p>
    <w:p w14:paraId="07D3A261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 w:hint="eastAsia"/>
          <w:bCs/>
          <w:sz w:val="24"/>
          <w:szCs w:val="24"/>
        </w:rPr>
        <w:t>答：您好，公司经营情况良好，内控体系完善，运作规范，具备较强的可持续发展能力。作为公司独立董事，我们将认真履职，结合专业特长对公司发展战略、规范运作、经营管理、风险内控提出意见和建议。</w:t>
      </w:r>
    </w:p>
    <w:p w14:paraId="5D092A66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/>
          <w:bCs/>
          <w:sz w:val="24"/>
          <w:szCs w:val="24"/>
        </w:rPr>
        <w:t>8、我看贵公司的好多项目基本上都在安徽省内，请问贵公司有向其他省份进行业务的拓展吗？</w:t>
      </w:r>
    </w:p>
    <w:p w14:paraId="43AC822C" w14:textId="77777777" w:rsidR="00C92519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 w:hint="eastAsia"/>
          <w:bCs/>
          <w:sz w:val="24"/>
          <w:szCs w:val="24"/>
        </w:rPr>
        <w:t>答：公司贯彻执行“扎根安徽、拓展全国”的发展战略，重点把握十四五规划实施和长三角经济一体化带来的机遇，利用自身在资质、业绩、管理、技术、品牌等多方面的优势，巩固提升公司在安徽省的竞争地位和领先优势的基础上，加大周边省份市场拓展力度。</w:t>
      </w:r>
    </w:p>
    <w:p w14:paraId="2B36DF3A" w14:textId="4C0AAC59" w:rsidR="00687475" w:rsidRPr="00C92519" w:rsidRDefault="00C92519" w:rsidP="00C92519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92519">
        <w:rPr>
          <w:rFonts w:ascii="宋体" w:eastAsia="宋体" w:hAnsi="宋体" w:hint="eastAsia"/>
          <w:bCs/>
          <w:sz w:val="24"/>
          <w:szCs w:val="24"/>
        </w:rPr>
        <w:t>在具体措施方面，公司成立了省外事业部负责省外区域市场拓展，并在重点区域专门设立了华东、华南区域中心，委派专业团队进行重点拓展。同时，公司不断加强与各省市龙头施工企业进行战略合作，提升业务拓展的力度。近年来，公司已先后在浙江、广东、重庆、新疆、山西等省市中标多个项目。</w:t>
      </w:r>
    </w:p>
    <w:p w14:paraId="3754C06A" w14:textId="77777777" w:rsidR="00342A1A" w:rsidRDefault="00FF6AAB" w:rsidP="007E5AF5">
      <w:pPr>
        <w:spacing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三、其他事项 </w:t>
      </w:r>
    </w:p>
    <w:p w14:paraId="496668DD" w14:textId="450C4FA6" w:rsidR="00342A1A" w:rsidRDefault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本次公司202</w:t>
      </w:r>
      <w:r w:rsidR="00687475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年度业绩说明会的详细情况，投资者可以通过上海证券交易所 “上证e互动”网络平台（http://sns.sseinfo.com）查看本次业绩说明会的召开情况及主要内容。公司对积极参与本次说明会以及长期以来关注、支持公司发展的各位投资者表示衷心感谢！</w:t>
      </w:r>
    </w:p>
    <w:p w14:paraId="2A1F3E50" w14:textId="77777777" w:rsidR="00115CA7" w:rsidRDefault="00115CA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8D1D5A0" w14:textId="77777777" w:rsidR="00342A1A" w:rsidRDefault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14:paraId="24FD582F" w14:textId="77777777" w:rsidR="00342A1A" w:rsidRDefault="00342A1A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</w:p>
    <w:p w14:paraId="262CBCB2" w14:textId="77777777" w:rsidR="00342A1A" w:rsidRDefault="00FF6AAB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1D4FC64B" w14:textId="505A1726" w:rsidR="00342A1A" w:rsidRDefault="00FF6AAB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</w:t>
      </w:r>
      <w:r w:rsidR="00687475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年5月</w:t>
      </w:r>
      <w:r w:rsidR="00245BCA">
        <w:rPr>
          <w:rFonts w:ascii="宋体" w:eastAsia="宋体" w:hAnsi="宋体"/>
          <w:sz w:val="24"/>
          <w:szCs w:val="24"/>
        </w:rPr>
        <w:t>1</w:t>
      </w:r>
      <w:r w:rsidR="00687475"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342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136D5" w14:textId="77777777" w:rsidR="00771FE3" w:rsidRDefault="00771FE3" w:rsidP="00650FC0">
      <w:r>
        <w:separator/>
      </w:r>
    </w:p>
  </w:endnote>
  <w:endnote w:type="continuationSeparator" w:id="0">
    <w:p w14:paraId="77905666" w14:textId="77777777" w:rsidR="00771FE3" w:rsidRDefault="00771FE3" w:rsidP="0065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DB946" w14:textId="77777777" w:rsidR="00771FE3" w:rsidRDefault="00771FE3" w:rsidP="00650FC0">
      <w:r>
        <w:separator/>
      </w:r>
    </w:p>
  </w:footnote>
  <w:footnote w:type="continuationSeparator" w:id="0">
    <w:p w14:paraId="39420398" w14:textId="77777777" w:rsidR="00771FE3" w:rsidRDefault="00771FE3" w:rsidP="0065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89"/>
    <w:rsid w:val="00076D70"/>
    <w:rsid w:val="00115CA7"/>
    <w:rsid w:val="001257C0"/>
    <w:rsid w:val="00145FF2"/>
    <w:rsid w:val="00146062"/>
    <w:rsid w:val="001E6CC8"/>
    <w:rsid w:val="002136CD"/>
    <w:rsid w:val="00245BCA"/>
    <w:rsid w:val="002C12B5"/>
    <w:rsid w:val="002D567A"/>
    <w:rsid w:val="002E1B4C"/>
    <w:rsid w:val="00342A1A"/>
    <w:rsid w:val="003A6856"/>
    <w:rsid w:val="003C68BA"/>
    <w:rsid w:val="00513633"/>
    <w:rsid w:val="005C4971"/>
    <w:rsid w:val="005F4E04"/>
    <w:rsid w:val="00650FC0"/>
    <w:rsid w:val="00687475"/>
    <w:rsid w:val="006F398B"/>
    <w:rsid w:val="00771FE3"/>
    <w:rsid w:val="00774CD8"/>
    <w:rsid w:val="007E5AF5"/>
    <w:rsid w:val="0081055F"/>
    <w:rsid w:val="008254EC"/>
    <w:rsid w:val="008E18ED"/>
    <w:rsid w:val="00946C03"/>
    <w:rsid w:val="0095477E"/>
    <w:rsid w:val="0098421A"/>
    <w:rsid w:val="00991A46"/>
    <w:rsid w:val="009A4429"/>
    <w:rsid w:val="009C193A"/>
    <w:rsid w:val="009F4F77"/>
    <w:rsid w:val="00A3036B"/>
    <w:rsid w:val="00B2791E"/>
    <w:rsid w:val="00B629D5"/>
    <w:rsid w:val="00BF0B7B"/>
    <w:rsid w:val="00C92519"/>
    <w:rsid w:val="00DB6789"/>
    <w:rsid w:val="00DF6C29"/>
    <w:rsid w:val="00E2515A"/>
    <w:rsid w:val="00E626C6"/>
    <w:rsid w:val="00EE540E"/>
    <w:rsid w:val="00F22140"/>
    <w:rsid w:val="00F41717"/>
    <w:rsid w:val="00F63A06"/>
    <w:rsid w:val="00F64283"/>
    <w:rsid w:val="00F857F8"/>
    <w:rsid w:val="00FA623B"/>
    <w:rsid w:val="00FA625E"/>
    <w:rsid w:val="00FF6AAB"/>
    <w:rsid w:val="4C5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F72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7">
    <w:name w:val="正文文本 字符"/>
    <w:basedOn w:val="a0"/>
    <w:uiPriority w:val="99"/>
    <w:semiHidden/>
    <w:qFormat/>
  </w:style>
  <w:style w:type="character" w:customStyle="1" w:styleId="Char">
    <w:name w:val="正文文本 Char"/>
    <w:link w:val="a3"/>
    <w:uiPriority w:val="1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257C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257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7">
    <w:name w:val="正文文本 字符"/>
    <w:basedOn w:val="a0"/>
    <w:uiPriority w:val="99"/>
    <w:semiHidden/>
    <w:qFormat/>
  </w:style>
  <w:style w:type="character" w:customStyle="1" w:styleId="Char">
    <w:name w:val="正文文本 Char"/>
    <w:link w:val="a3"/>
    <w:uiPriority w:val="1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257C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257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林玲</dc:creator>
  <cp:lastModifiedBy>林玲</cp:lastModifiedBy>
  <cp:revision>22</cp:revision>
  <cp:lastPrinted>2023-05-15T08:52:00Z</cp:lastPrinted>
  <dcterms:created xsi:type="dcterms:W3CDTF">2020-05-13T07:12:00Z</dcterms:created>
  <dcterms:modified xsi:type="dcterms:W3CDTF">2023-05-15T09:03:00Z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E4F079D664684B7AB4F4A6F8700392C4</vt:lpwstr>
  </property>
</Properties>
</file>