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A694D" w14:textId="5CFCCEDC" w:rsidR="00DA6849" w:rsidRPr="00B30C40" w:rsidRDefault="000B6430" w:rsidP="00416BC3">
      <w:pPr>
        <w:pStyle w:val="a3"/>
        <w:tabs>
          <w:tab w:val="left" w:pos="3525"/>
          <w:tab w:val="left" w:pos="660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00350E54" w:rsidRPr="00B30C40">
        <w:rPr>
          <w:rFonts w:ascii="Times New Roman" w:hAnsi="Times New Roman" w:cs="Times New Roman"/>
          <w:spacing w:val="-8"/>
        </w:rPr>
        <w:t>603</w:t>
      </w:r>
      <w:r w:rsidR="00350E54">
        <w:rPr>
          <w:rFonts w:ascii="Times New Roman" w:hAnsi="Times New Roman" w:cs="Times New Roman" w:hint="eastAsia"/>
          <w:spacing w:val="-8"/>
        </w:rPr>
        <w:t>8</w:t>
      </w:r>
      <w:r w:rsidR="00350E54"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proofErr w:type="gramStart"/>
      <w:r w:rsidR="00350E54">
        <w:rPr>
          <w:rFonts w:ascii="Times New Roman" w:hAnsi="Times New Roman" w:cs="Times New Roman" w:hint="eastAsia"/>
        </w:rPr>
        <w:t>交建</w:t>
      </w:r>
      <w:r w:rsidR="00580EB3" w:rsidRPr="00B30C40">
        <w:rPr>
          <w:rFonts w:ascii="Times New Roman" w:hAnsi="Times New Roman" w:cs="Times New Roman"/>
        </w:rPr>
        <w:t>股份</w:t>
      </w:r>
      <w:proofErr w:type="gramEnd"/>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00580EB3" w:rsidRPr="00686045">
        <w:rPr>
          <w:rFonts w:ascii="Times New Roman" w:hAnsi="Times New Roman" w:cs="Times New Roman"/>
        </w:rPr>
        <w:t>20</w:t>
      </w:r>
      <w:r w:rsidR="00AB35D7" w:rsidRPr="00686045">
        <w:rPr>
          <w:rFonts w:ascii="Times New Roman" w:hAnsi="Times New Roman" w:cs="Times New Roman" w:hint="eastAsia"/>
        </w:rPr>
        <w:t>2</w:t>
      </w:r>
      <w:r w:rsidR="000B2FA1">
        <w:rPr>
          <w:rFonts w:ascii="Times New Roman" w:hAnsi="Times New Roman" w:cs="Times New Roman"/>
        </w:rPr>
        <w:t>3</w:t>
      </w:r>
      <w:r w:rsidRPr="00686045">
        <w:rPr>
          <w:rFonts w:ascii="Times New Roman" w:hAnsi="Times New Roman" w:cs="Times New Roman"/>
        </w:rPr>
        <w:t>-</w:t>
      </w:r>
      <w:r w:rsidR="00765932">
        <w:rPr>
          <w:rFonts w:ascii="Times New Roman" w:hAnsi="Times New Roman" w:cs="Times New Roman" w:hint="eastAsia"/>
        </w:rPr>
        <w:t>032</w:t>
      </w:r>
    </w:p>
    <w:p w14:paraId="6CA69001" w14:textId="77777777" w:rsidR="00DA6849" w:rsidRDefault="00DA6849">
      <w:pPr>
        <w:pStyle w:val="a3"/>
      </w:pPr>
    </w:p>
    <w:p w14:paraId="4CEF58D2" w14:textId="77777777" w:rsidR="00DA6849" w:rsidRPr="00ED2389" w:rsidRDefault="00350E54" w:rsidP="00ED2389">
      <w:pPr>
        <w:autoSpaceDE/>
        <w:autoSpaceDN/>
        <w:snapToGrid w:val="0"/>
        <w:spacing w:line="360" w:lineRule="auto"/>
        <w:jc w:val="center"/>
        <w:rPr>
          <w:rFonts w:cs="Times New Roman"/>
          <w:b/>
          <w:bCs/>
          <w:color w:val="FF0000"/>
          <w:kern w:val="2"/>
          <w:sz w:val="36"/>
          <w:szCs w:val="36"/>
          <w:lang w:val="en-US" w:bidi="ar-SA"/>
        </w:rPr>
      </w:pPr>
      <w:r w:rsidRPr="00ED2389">
        <w:rPr>
          <w:rFonts w:cs="Times New Roman" w:hint="eastAsia"/>
          <w:b/>
          <w:bCs/>
          <w:color w:val="FF0000"/>
          <w:kern w:val="2"/>
          <w:sz w:val="36"/>
          <w:szCs w:val="36"/>
          <w:lang w:val="en-US" w:bidi="ar-SA"/>
        </w:rPr>
        <w:t>安徽省交通建设股份有限公司</w:t>
      </w:r>
    </w:p>
    <w:p w14:paraId="152F3DD8" w14:textId="5E6C628D" w:rsidR="00DA6849" w:rsidRPr="00ED2389" w:rsidRDefault="00C075FB" w:rsidP="00ED2389">
      <w:pPr>
        <w:autoSpaceDE/>
        <w:autoSpaceDN/>
        <w:snapToGrid w:val="0"/>
        <w:spacing w:line="360" w:lineRule="auto"/>
        <w:jc w:val="center"/>
        <w:rPr>
          <w:rFonts w:cs="Times New Roman"/>
          <w:b/>
          <w:bCs/>
          <w:color w:val="FF0000"/>
          <w:kern w:val="2"/>
          <w:sz w:val="36"/>
          <w:szCs w:val="36"/>
          <w:lang w:val="en-US" w:bidi="ar-SA"/>
        </w:rPr>
      </w:pPr>
      <w:r w:rsidRPr="00C075FB">
        <w:rPr>
          <w:rFonts w:cs="Times New Roman" w:hint="eastAsia"/>
          <w:b/>
          <w:bCs/>
          <w:color w:val="FF0000"/>
          <w:kern w:val="2"/>
          <w:sz w:val="36"/>
          <w:szCs w:val="36"/>
          <w:lang w:val="en-US" w:bidi="ar-SA"/>
        </w:rPr>
        <w:t>关于</w:t>
      </w:r>
      <w:r w:rsidRPr="00C075FB">
        <w:rPr>
          <w:rFonts w:cs="Times New Roman"/>
          <w:b/>
          <w:bCs/>
          <w:color w:val="FF0000"/>
          <w:kern w:val="2"/>
          <w:sz w:val="36"/>
          <w:szCs w:val="36"/>
          <w:lang w:val="en-US" w:bidi="ar-SA"/>
        </w:rPr>
        <w:t>202</w:t>
      </w:r>
      <w:r w:rsidR="000B2FA1">
        <w:rPr>
          <w:rFonts w:cs="Times New Roman"/>
          <w:b/>
          <w:bCs/>
          <w:color w:val="FF0000"/>
          <w:kern w:val="2"/>
          <w:sz w:val="36"/>
          <w:szCs w:val="36"/>
          <w:lang w:val="en-US" w:bidi="ar-SA"/>
        </w:rPr>
        <w:t>3</w:t>
      </w:r>
      <w:r w:rsidRPr="00C075FB">
        <w:rPr>
          <w:rFonts w:cs="Times New Roman"/>
          <w:b/>
          <w:bCs/>
          <w:color w:val="FF0000"/>
          <w:kern w:val="2"/>
          <w:sz w:val="36"/>
          <w:szCs w:val="36"/>
          <w:lang w:val="en-US" w:bidi="ar-SA"/>
        </w:rPr>
        <w:t>年度综合授信额度的公告</w:t>
      </w:r>
    </w:p>
    <w:p w14:paraId="50643ADE" w14:textId="77777777" w:rsidR="00DA6849" w:rsidRDefault="00DA6849">
      <w:pPr>
        <w:pStyle w:val="a3"/>
        <w:rPr>
          <w:b/>
          <w:sz w:val="20"/>
        </w:rPr>
      </w:pPr>
    </w:p>
    <w:p w14:paraId="303347B7" w14:textId="77777777" w:rsidR="00DA6849" w:rsidRDefault="008F0B76" w:rsidP="00200439">
      <w:pPr>
        <w:pStyle w:val="a3"/>
        <w:spacing w:before="9"/>
        <w:rPr>
          <w:b/>
          <w:sz w:val="20"/>
        </w:rPr>
      </w:pPr>
      <w:r>
        <w:rPr>
          <w:noProof/>
          <w:lang w:val="en-US" w:bidi="ar-SA"/>
        </w:rPr>
        <w:pict w14:anchorId="49F91223">
          <v:shapetype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14:paraId="095C9876" w14:textId="4C047FF8" w:rsidR="000B6430" w:rsidRDefault="000B6430">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w:t>
                  </w:r>
                  <w:r w:rsidR="000B2FA1">
                    <w:rPr>
                      <w:rFonts w:hint="eastAsia"/>
                    </w:rPr>
                    <w:t>法律</w:t>
                  </w:r>
                  <w:r>
                    <w:t>责任。</w:t>
                  </w:r>
                </w:p>
              </w:txbxContent>
            </v:textbox>
            <w10:wrap type="topAndBottom" anchorx="page"/>
          </v:shape>
        </w:pict>
      </w:r>
    </w:p>
    <w:p w14:paraId="3A5314FE" w14:textId="41DD92A0" w:rsidR="002877EF" w:rsidRDefault="002877EF" w:rsidP="002877EF">
      <w:pPr>
        <w:pStyle w:val="a3"/>
        <w:spacing w:line="360" w:lineRule="auto"/>
        <w:ind w:left="221" w:right="238" w:firstLine="476"/>
        <w:jc w:val="both"/>
        <w:rPr>
          <w:rFonts w:asciiTheme="minorEastAsia" w:eastAsiaTheme="minorEastAsia" w:hAnsiTheme="minorEastAsia"/>
        </w:rPr>
      </w:pPr>
      <w:r>
        <w:rPr>
          <w:rFonts w:hint="eastAsia"/>
          <w:lang w:val="en-US"/>
        </w:rPr>
        <w:t>●本次授信额度：公司及子公司预计202</w:t>
      </w:r>
      <w:r w:rsidR="00006FC9">
        <w:rPr>
          <w:lang w:val="en-US"/>
        </w:rPr>
        <w:t>3</w:t>
      </w:r>
      <w:r>
        <w:rPr>
          <w:rFonts w:hint="eastAsia"/>
          <w:lang w:val="en-US"/>
        </w:rPr>
        <w:t>年度</w:t>
      </w:r>
      <w:r>
        <w:rPr>
          <w:rFonts w:asciiTheme="minorEastAsia" w:eastAsiaTheme="minorEastAsia" w:hAnsiTheme="minorEastAsia" w:hint="eastAsia"/>
        </w:rPr>
        <w:t>向银行申请总额不超过人民币</w:t>
      </w:r>
      <w:r w:rsidR="00F3450A">
        <w:rPr>
          <w:rFonts w:asciiTheme="minorEastAsia" w:eastAsiaTheme="minorEastAsia" w:hAnsiTheme="minorEastAsia" w:hint="eastAsia"/>
        </w:rPr>
        <w:t>10</w:t>
      </w:r>
      <w:r>
        <w:rPr>
          <w:rFonts w:asciiTheme="minorEastAsia" w:eastAsiaTheme="minorEastAsia" w:hAnsiTheme="minorEastAsia" w:hint="eastAsia"/>
        </w:rPr>
        <w:t>0亿元综合授信额度</w:t>
      </w:r>
      <w:r w:rsidR="006E2AAB">
        <w:rPr>
          <w:rFonts w:asciiTheme="minorEastAsia" w:eastAsiaTheme="minorEastAsia" w:hAnsiTheme="minorEastAsia" w:hint="eastAsia"/>
        </w:rPr>
        <w:t>。</w:t>
      </w:r>
    </w:p>
    <w:p w14:paraId="20592220" w14:textId="1418523C" w:rsidR="002877EF" w:rsidRDefault="002877EF" w:rsidP="002877EF">
      <w:pPr>
        <w:pStyle w:val="a3"/>
        <w:spacing w:line="360" w:lineRule="auto"/>
        <w:ind w:left="221" w:right="238" w:firstLine="476"/>
        <w:jc w:val="both"/>
      </w:pPr>
      <w:r>
        <w:rPr>
          <w:rFonts w:hint="eastAsia"/>
          <w:lang w:val="en-US"/>
        </w:rPr>
        <w:t>●审议情况：公司第</w:t>
      </w:r>
      <w:r w:rsidR="00006FC9">
        <w:rPr>
          <w:rFonts w:hint="eastAsia"/>
          <w:lang w:val="en-US"/>
        </w:rPr>
        <w:t>三</w:t>
      </w:r>
      <w:r>
        <w:rPr>
          <w:rFonts w:hint="eastAsia"/>
          <w:lang w:val="en-US"/>
        </w:rPr>
        <w:t>届董事会第</w:t>
      </w:r>
      <w:r w:rsidR="00BB24F8">
        <w:rPr>
          <w:rFonts w:hint="eastAsia"/>
          <w:lang w:val="en-US"/>
        </w:rPr>
        <w:t>二</w:t>
      </w:r>
      <w:r>
        <w:rPr>
          <w:rFonts w:hint="eastAsia"/>
          <w:lang w:val="en-US"/>
        </w:rPr>
        <w:t>次会议</w:t>
      </w:r>
      <w:r w:rsidR="00A12CEA">
        <w:rPr>
          <w:rFonts w:hint="eastAsia"/>
          <w:lang w:val="en-US"/>
        </w:rPr>
        <w:t>、</w:t>
      </w:r>
      <w:r w:rsidR="00A12CEA" w:rsidRPr="00330754">
        <w:t>第</w:t>
      </w:r>
      <w:r w:rsidR="00A12CEA">
        <w:rPr>
          <w:rFonts w:hint="eastAsia"/>
        </w:rPr>
        <w:t>三</w:t>
      </w:r>
      <w:r w:rsidR="00A12CEA" w:rsidRPr="00330754">
        <w:t>届</w:t>
      </w:r>
      <w:r w:rsidR="00A12CEA">
        <w:rPr>
          <w:rFonts w:hint="eastAsia"/>
        </w:rPr>
        <w:t>监事会</w:t>
      </w:r>
      <w:r w:rsidR="00A12CEA" w:rsidRPr="00330754">
        <w:t>第</w:t>
      </w:r>
      <w:r w:rsidR="00A12CEA">
        <w:rPr>
          <w:rFonts w:hint="eastAsia"/>
        </w:rPr>
        <w:t>二</w:t>
      </w:r>
      <w:r w:rsidR="00A12CEA" w:rsidRPr="00330754">
        <w:rPr>
          <w:rFonts w:hint="eastAsia"/>
        </w:rPr>
        <w:t>次</w:t>
      </w:r>
      <w:r w:rsidR="00A12CEA" w:rsidRPr="00330754">
        <w:t>会议</w:t>
      </w:r>
      <w:r w:rsidR="00A12CEA">
        <w:rPr>
          <w:rFonts w:hint="eastAsia"/>
        </w:rPr>
        <w:t>分别</w:t>
      </w:r>
      <w:r>
        <w:rPr>
          <w:rFonts w:hint="eastAsia"/>
          <w:lang w:val="en-US"/>
        </w:rPr>
        <w:t>审议通过了《关于公司202</w:t>
      </w:r>
      <w:r w:rsidR="00006FC9">
        <w:rPr>
          <w:lang w:val="en-US"/>
        </w:rPr>
        <w:t>3</w:t>
      </w:r>
      <w:r>
        <w:rPr>
          <w:rFonts w:hint="eastAsia"/>
          <w:lang w:val="en-US"/>
        </w:rPr>
        <w:t>年度综合授信额度的议案》，该议案尚需提交公司20</w:t>
      </w:r>
      <w:r w:rsidR="009F7000">
        <w:rPr>
          <w:rFonts w:hint="eastAsia"/>
          <w:lang w:val="en-US"/>
        </w:rPr>
        <w:t>2</w:t>
      </w:r>
      <w:r w:rsidR="00006FC9">
        <w:rPr>
          <w:lang w:val="en-US"/>
        </w:rPr>
        <w:t>2</w:t>
      </w:r>
      <w:r>
        <w:rPr>
          <w:rFonts w:hint="eastAsia"/>
          <w:lang w:val="en-US"/>
        </w:rPr>
        <w:t>年年度股东大会审议。</w:t>
      </w:r>
    </w:p>
    <w:p w14:paraId="167EF4E7" w14:textId="77777777" w:rsidR="002877EF" w:rsidRDefault="002877EF" w:rsidP="00960CB9">
      <w:pPr>
        <w:pStyle w:val="a3"/>
        <w:spacing w:line="360" w:lineRule="auto"/>
        <w:ind w:left="221" w:right="238" w:firstLine="476"/>
        <w:jc w:val="both"/>
      </w:pPr>
    </w:p>
    <w:p w14:paraId="1F85FC24" w14:textId="5E80F3DD" w:rsidR="00DA6849" w:rsidRPr="00330754" w:rsidRDefault="005B06D5" w:rsidP="00D16781">
      <w:pPr>
        <w:pStyle w:val="a3"/>
        <w:spacing w:line="360" w:lineRule="auto"/>
        <w:ind w:left="221" w:right="238" w:firstLine="476"/>
        <w:jc w:val="both"/>
      </w:pPr>
      <w:r>
        <w:rPr>
          <w:rFonts w:hint="eastAsia"/>
        </w:rPr>
        <w:t>安徽省交通建设股份有限公司</w:t>
      </w:r>
      <w:r w:rsidR="000B6430">
        <w:t>（以下简称“公司”）</w:t>
      </w:r>
      <w:r w:rsidR="000B6430" w:rsidRPr="00330754">
        <w:t>于</w:t>
      </w:r>
      <w:r w:rsidR="004F2DB7" w:rsidRPr="00330754">
        <w:t>202</w:t>
      </w:r>
      <w:r w:rsidR="00006FC9">
        <w:t>3</w:t>
      </w:r>
      <w:r w:rsidR="004F2DB7" w:rsidRPr="00330754">
        <w:rPr>
          <w:rFonts w:hint="eastAsia"/>
        </w:rPr>
        <w:t>年</w:t>
      </w:r>
      <w:r w:rsidR="00330754" w:rsidRPr="00330754">
        <w:rPr>
          <w:rFonts w:hint="eastAsia"/>
        </w:rPr>
        <w:t>4</w:t>
      </w:r>
      <w:r w:rsidR="004F2DB7" w:rsidRPr="00330754">
        <w:rPr>
          <w:rFonts w:hint="eastAsia"/>
        </w:rPr>
        <w:t>月</w:t>
      </w:r>
      <w:r w:rsidR="00006FC9">
        <w:t>26</w:t>
      </w:r>
      <w:r w:rsidR="004F2DB7" w:rsidRPr="00330754">
        <w:rPr>
          <w:rFonts w:hint="eastAsia"/>
        </w:rPr>
        <w:t>日</w:t>
      </w:r>
      <w:r w:rsidR="00A12CEA">
        <w:rPr>
          <w:rFonts w:hint="eastAsia"/>
        </w:rPr>
        <w:t>分别</w:t>
      </w:r>
      <w:r w:rsidR="000B6430" w:rsidRPr="00330754">
        <w:t>召开了第</w:t>
      </w:r>
      <w:r w:rsidR="00006FC9">
        <w:rPr>
          <w:rFonts w:hint="eastAsia"/>
        </w:rPr>
        <w:t>三</w:t>
      </w:r>
      <w:r w:rsidR="000B6430" w:rsidRPr="00330754">
        <w:t>届董事会第</w:t>
      </w:r>
      <w:r w:rsidR="00C800A4">
        <w:rPr>
          <w:rFonts w:hint="eastAsia"/>
        </w:rPr>
        <w:t>二</w:t>
      </w:r>
      <w:r w:rsidR="007009E1" w:rsidRPr="00330754">
        <w:rPr>
          <w:rFonts w:hint="eastAsia"/>
        </w:rPr>
        <w:t>次</w:t>
      </w:r>
      <w:r w:rsidR="007009E1" w:rsidRPr="00330754">
        <w:t>会议</w:t>
      </w:r>
      <w:r w:rsidR="00A12CEA">
        <w:rPr>
          <w:rFonts w:hint="eastAsia"/>
        </w:rPr>
        <w:t>、</w:t>
      </w:r>
      <w:r w:rsidR="00A12CEA" w:rsidRPr="00330754">
        <w:t>第</w:t>
      </w:r>
      <w:r w:rsidR="00A12CEA">
        <w:rPr>
          <w:rFonts w:hint="eastAsia"/>
        </w:rPr>
        <w:t>三</w:t>
      </w:r>
      <w:r w:rsidR="00A12CEA" w:rsidRPr="00330754">
        <w:t>届</w:t>
      </w:r>
      <w:r w:rsidR="00A12CEA">
        <w:rPr>
          <w:rFonts w:hint="eastAsia"/>
        </w:rPr>
        <w:t>监事会</w:t>
      </w:r>
      <w:r w:rsidR="00A12CEA" w:rsidRPr="00330754">
        <w:t>第</w:t>
      </w:r>
      <w:r w:rsidR="00A12CEA">
        <w:rPr>
          <w:rFonts w:hint="eastAsia"/>
        </w:rPr>
        <w:t>二</w:t>
      </w:r>
      <w:r w:rsidR="00A12CEA" w:rsidRPr="00330754">
        <w:rPr>
          <w:rFonts w:hint="eastAsia"/>
        </w:rPr>
        <w:t>次</w:t>
      </w:r>
      <w:r w:rsidR="00A12CEA" w:rsidRPr="00330754">
        <w:t>会议</w:t>
      </w:r>
      <w:r w:rsidR="007009E1" w:rsidRPr="00330754">
        <w:t>，</w:t>
      </w:r>
      <w:r w:rsidR="000B6430" w:rsidRPr="00330754">
        <w:t>审议通过了</w:t>
      </w:r>
      <w:r w:rsidR="00330754" w:rsidRPr="00330754">
        <w:rPr>
          <w:rFonts w:hint="eastAsia"/>
        </w:rPr>
        <w:t>《关于公司202</w:t>
      </w:r>
      <w:r w:rsidR="00006FC9">
        <w:t>3</w:t>
      </w:r>
      <w:r w:rsidR="00330754" w:rsidRPr="00330754">
        <w:rPr>
          <w:rFonts w:hint="eastAsia"/>
        </w:rPr>
        <w:t>年度综合授信额度的议案》，该事项尚需提交公司</w:t>
      </w:r>
      <w:r w:rsidR="00330754">
        <w:rPr>
          <w:rFonts w:hint="eastAsia"/>
        </w:rPr>
        <w:t>20</w:t>
      </w:r>
      <w:r w:rsidR="00F3450A">
        <w:rPr>
          <w:rFonts w:hint="eastAsia"/>
        </w:rPr>
        <w:t>2</w:t>
      </w:r>
      <w:r w:rsidR="00006FC9">
        <w:t>2</w:t>
      </w:r>
      <w:r w:rsidR="00330754">
        <w:rPr>
          <w:rFonts w:hint="eastAsia"/>
        </w:rPr>
        <w:t>年</w:t>
      </w:r>
      <w:r w:rsidR="009F7000">
        <w:rPr>
          <w:rFonts w:hint="eastAsia"/>
        </w:rPr>
        <w:t>年</w:t>
      </w:r>
      <w:r w:rsidR="00330754">
        <w:rPr>
          <w:rFonts w:hint="eastAsia"/>
        </w:rPr>
        <w:t>度股东大会审议。现就公司202</w:t>
      </w:r>
      <w:r w:rsidR="00006FC9">
        <w:t>3</w:t>
      </w:r>
      <w:r w:rsidR="00330754">
        <w:rPr>
          <w:rFonts w:hint="eastAsia"/>
        </w:rPr>
        <w:t>年度综合授信额度事宜</w:t>
      </w:r>
      <w:r w:rsidR="00330754" w:rsidRPr="00330754">
        <w:rPr>
          <w:rFonts w:hint="eastAsia"/>
        </w:rPr>
        <w:t>公告如下：</w:t>
      </w:r>
    </w:p>
    <w:p w14:paraId="75BCA13E" w14:textId="77777777" w:rsidR="00C800A4" w:rsidRPr="000608FA" w:rsidRDefault="00C800A4" w:rsidP="00C800A4">
      <w:pPr>
        <w:adjustRightInd w:val="0"/>
        <w:snapToGrid w:val="0"/>
        <w:spacing w:line="360" w:lineRule="auto"/>
        <w:ind w:firstLineChars="200" w:firstLine="482"/>
        <w:rPr>
          <w:rFonts w:asciiTheme="minorEastAsia" w:eastAsiaTheme="minorEastAsia" w:hAnsiTheme="minorEastAsia"/>
          <w:b/>
          <w:bCs/>
          <w:sz w:val="24"/>
          <w:szCs w:val="24"/>
        </w:rPr>
      </w:pPr>
      <w:bookmarkStart w:id="0" w:name="a0"/>
      <w:r w:rsidRPr="000608FA">
        <w:rPr>
          <w:rFonts w:asciiTheme="minorEastAsia" w:eastAsiaTheme="minorEastAsia" w:hAnsiTheme="minorEastAsia" w:hint="eastAsia"/>
          <w:b/>
          <w:bCs/>
          <w:sz w:val="24"/>
          <w:szCs w:val="24"/>
        </w:rPr>
        <w:t>一、申请综合授信额度的基本情况</w:t>
      </w:r>
      <w:bookmarkEnd w:id="0"/>
    </w:p>
    <w:p w14:paraId="3C5848C5" w14:textId="77777777" w:rsidR="00006FC9" w:rsidRPr="00006FC9" w:rsidRDefault="00006FC9" w:rsidP="00006FC9">
      <w:pPr>
        <w:pStyle w:val="a3"/>
        <w:spacing w:line="360" w:lineRule="auto"/>
        <w:ind w:left="221" w:right="238" w:firstLine="476"/>
        <w:jc w:val="both"/>
      </w:pPr>
      <w:r w:rsidRPr="00006FC9">
        <w:rPr>
          <w:rFonts w:hint="eastAsia"/>
        </w:rPr>
        <w:t>（一）综合授信额度</w:t>
      </w:r>
    </w:p>
    <w:p w14:paraId="21EC701B" w14:textId="77777777" w:rsidR="00006FC9" w:rsidRPr="00006FC9" w:rsidRDefault="00006FC9" w:rsidP="00006FC9">
      <w:pPr>
        <w:pStyle w:val="a3"/>
        <w:spacing w:line="360" w:lineRule="auto"/>
        <w:ind w:left="221" w:right="238" w:firstLine="476"/>
        <w:jc w:val="both"/>
      </w:pPr>
      <w:r w:rsidRPr="00006FC9">
        <w:rPr>
          <w:rFonts w:hint="eastAsia"/>
        </w:rPr>
        <w:t>公司及其下属子公司2</w:t>
      </w:r>
      <w:r w:rsidRPr="00006FC9">
        <w:t>023</w:t>
      </w:r>
      <w:r w:rsidRPr="00006FC9">
        <w:rPr>
          <w:rFonts w:hint="eastAsia"/>
        </w:rPr>
        <w:t>年度拟向银行等申请总额不超过人民币100亿元综合授信，以随时满足公司未来经营发展的融资要求。</w:t>
      </w:r>
    </w:p>
    <w:p w14:paraId="06957AAD" w14:textId="77777777" w:rsidR="00006FC9" w:rsidRPr="00006FC9" w:rsidRDefault="00006FC9" w:rsidP="00006FC9">
      <w:pPr>
        <w:pStyle w:val="a3"/>
        <w:spacing w:line="360" w:lineRule="auto"/>
        <w:ind w:left="221" w:right="238" w:firstLine="476"/>
        <w:jc w:val="both"/>
      </w:pPr>
      <w:r w:rsidRPr="00006FC9">
        <w:rPr>
          <w:rFonts w:hint="eastAsia"/>
        </w:rPr>
        <w:t>（二）授信品种</w:t>
      </w:r>
    </w:p>
    <w:p w14:paraId="2F900189" w14:textId="77777777" w:rsidR="00006FC9" w:rsidRPr="00006FC9" w:rsidRDefault="00006FC9" w:rsidP="00006FC9">
      <w:pPr>
        <w:pStyle w:val="a3"/>
        <w:spacing w:line="360" w:lineRule="auto"/>
        <w:ind w:left="221" w:right="238" w:firstLine="476"/>
        <w:jc w:val="both"/>
      </w:pPr>
      <w:r w:rsidRPr="00006FC9">
        <w:rPr>
          <w:rFonts w:hint="eastAsia"/>
        </w:rPr>
        <w:t>综合授</w:t>
      </w:r>
      <w:proofErr w:type="gramStart"/>
      <w:r w:rsidRPr="00006FC9">
        <w:rPr>
          <w:rFonts w:hint="eastAsia"/>
        </w:rPr>
        <w:t>信品种</w:t>
      </w:r>
      <w:proofErr w:type="gramEnd"/>
      <w:r w:rsidRPr="00006FC9">
        <w:rPr>
          <w:rFonts w:hint="eastAsia"/>
        </w:rPr>
        <w:t>包括但不限于：贷款、承兑汇票、贴现、信用证、押汇、保函、代付、保理、融资租赁等。授信额度将根据实际情况各银行等共同使用，授信期限内，授信额度由公司、合资子公司及控股子公司共同滚动使用，可以循环使用。</w:t>
      </w:r>
    </w:p>
    <w:p w14:paraId="4297B192" w14:textId="77777777" w:rsidR="00006FC9" w:rsidRPr="00006FC9" w:rsidRDefault="00006FC9" w:rsidP="00006FC9">
      <w:pPr>
        <w:pStyle w:val="a3"/>
        <w:spacing w:line="360" w:lineRule="auto"/>
        <w:ind w:left="221" w:right="238" w:firstLine="476"/>
        <w:jc w:val="both"/>
      </w:pPr>
      <w:r w:rsidRPr="00006FC9">
        <w:rPr>
          <w:rFonts w:hint="eastAsia"/>
        </w:rPr>
        <w:t>（三）授信期限</w:t>
      </w:r>
    </w:p>
    <w:p w14:paraId="50840ED9" w14:textId="77777777" w:rsidR="00006FC9" w:rsidRPr="00006FC9" w:rsidRDefault="00006FC9" w:rsidP="00006FC9">
      <w:pPr>
        <w:pStyle w:val="a3"/>
        <w:spacing w:line="360" w:lineRule="auto"/>
        <w:ind w:left="221" w:right="238" w:firstLine="476"/>
        <w:jc w:val="both"/>
      </w:pPr>
      <w:r w:rsidRPr="00006FC9">
        <w:rPr>
          <w:rFonts w:hint="eastAsia"/>
        </w:rPr>
        <w:t>综合授信</w:t>
      </w:r>
      <w:r w:rsidRPr="00006FC9">
        <w:t>额度有效期自2022年度股东大会审议批准之日起至下一年度股东</w:t>
      </w:r>
      <w:r w:rsidRPr="00006FC9">
        <w:lastRenderedPageBreak/>
        <w:t>大会召开之日止；在额度有效期内，授信额度可循环使用。</w:t>
      </w:r>
    </w:p>
    <w:p w14:paraId="4DF553E2" w14:textId="77777777" w:rsidR="00C800A4" w:rsidRPr="000608FA" w:rsidRDefault="00C800A4" w:rsidP="00C800A4">
      <w:pPr>
        <w:adjustRightInd w:val="0"/>
        <w:snapToGrid w:val="0"/>
        <w:spacing w:line="360" w:lineRule="auto"/>
        <w:ind w:firstLineChars="200" w:firstLine="482"/>
        <w:rPr>
          <w:rFonts w:asciiTheme="minorEastAsia" w:eastAsiaTheme="minorEastAsia" w:hAnsiTheme="minorEastAsia"/>
          <w:b/>
          <w:bCs/>
          <w:sz w:val="24"/>
          <w:szCs w:val="24"/>
        </w:rPr>
      </w:pPr>
      <w:r w:rsidRPr="000608FA">
        <w:rPr>
          <w:rFonts w:asciiTheme="minorEastAsia" w:eastAsiaTheme="minorEastAsia" w:hAnsiTheme="minorEastAsia" w:hint="eastAsia"/>
          <w:b/>
          <w:bCs/>
          <w:sz w:val="24"/>
          <w:szCs w:val="24"/>
        </w:rPr>
        <w:t>二、其他说明</w:t>
      </w:r>
    </w:p>
    <w:p w14:paraId="219044A1" w14:textId="77777777" w:rsidR="00006FC9" w:rsidRPr="00006FC9" w:rsidRDefault="00006FC9" w:rsidP="00006FC9">
      <w:pPr>
        <w:pStyle w:val="a3"/>
        <w:spacing w:line="360" w:lineRule="auto"/>
        <w:ind w:left="221" w:right="238" w:firstLine="476"/>
        <w:jc w:val="both"/>
      </w:pPr>
      <w:r w:rsidRPr="00006FC9">
        <w:rPr>
          <w:rFonts w:hint="eastAsia"/>
        </w:rPr>
        <w:t>本次授信额度不等于公司的实际融资金额，实际融资金额将根据公司运营资金的实际需求确定，在授信额度内以各金融机构与公司实际发生的融资金额为准。考虑到不断变化的金融市场环境，董事会在股东大会审核通过后将授权公司法定代表人根据公司实际经营情况在报经批准的上述授信额度内，签署相关融资法律文件。</w:t>
      </w:r>
    </w:p>
    <w:p w14:paraId="429520E6" w14:textId="4BA73886" w:rsidR="00B57BE8" w:rsidRPr="00006FC9" w:rsidRDefault="00B57BE8" w:rsidP="00006FC9">
      <w:pPr>
        <w:pStyle w:val="a3"/>
        <w:spacing w:line="360" w:lineRule="auto"/>
        <w:ind w:left="221" w:right="238" w:firstLine="476"/>
        <w:jc w:val="both"/>
      </w:pPr>
      <w:r w:rsidRPr="00006FC9">
        <w:rPr>
          <w:rFonts w:hint="eastAsia"/>
        </w:rPr>
        <w:t>公司独立董事关于202</w:t>
      </w:r>
      <w:r w:rsidR="00006FC9">
        <w:t>3</w:t>
      </w:r>
      <w:r w:rsidRPr="00006FC9">
        <w:rPr>
          <w:rFonts w:hint="eastAsia"/>
        </w:rPr>
        <w:t>年度综合授信额度</w:t>
      </w:r>
      <w:r w:rsidR="00006FC9">
        <w:rPr>
          <w:rFonts w:hint="eastAsia"/>
        </w:rPr>
        <w:t>事项</w:t>
      </w:r>
      <w:r w:rsidRPr="00006FC9">
        <w:rPr>
          <w:rFonts w:hint="eastAsia"/>
        </w:rPr>
        <w:t>发表了独立意见：</w:t>
      </w:r>
      <w:bookmarkStart w:id="1" w:name="_Hlk100944826"/>
      <w:r w:rsidR="00F3450A" w:rsidRPr="00006FC9">
        <w:rPr>
          <w:rFonts w:hint="eastAsia"/>
        </w:rPr>
        <w:t>该议案是根据公司实际经营情况，并结合公司银行借款额度制定，符合公司的经营需要，不存在损害公司及股东，尤其是中小股东利益的情形。因此，</w:t>
      </w:r>
      <w:r w:rsidR="00F3450A" w:rsidRPr="00006FC9">
        <w:t>我们同意</w:t>
      </w:r>
      <w:r w:rsidR="00F3450A" w:rsidRPr="00006FC9">
        <w:rPr>
          <w:rFonts w:hint="eastAsia"/>
        </w:rPr>
        <w:t>《关于公司202</w:t>
      </w:r>
      <w:r w:rsidR="00006FC9">
        <w:t>3</w:t>
      </w:r>
      <w:r w:rsidR="00F3450A" w:rsidRPr="00006FC9">
        <w:rPr>
          <w:rFonts w:hint="eastAsia"/>
        </w:rPr>
        <w:t>年度综合授信额度的议案》</w:t>
      </w:r>
      <w:bookmarkEnd w:id="1"/>
      <w:r w:rsidR="00832F04" w:rsidRPr="005E590B">
        <w:rPr>
          <w:rFonts w:hint="eastAsia"/>
        </w:rPr>
        <w:t>，并将</w:t>
      </w:r>
      <w:r w:rsidR="00832F04">
        <w:rPr>
          <w:rFonts w:hint="eastAsia"/>
        </w:rPr>
        <w:t>该</w:t>
      </w:r>
      <w:r w:rsidR="00832F04" w:rsidRPr="005E590B">
        <w:rPr>
          <w:rFonts w:hint="eastAsia"/>
        </w:rPr>
        <w:t>议案提交</w:t>
      </w:r>
      <w:r w:rsidR="00832F04">
        <w:rPr>
          <w:rFonts w:hint="eastAsia"/>
        </w:rPr>
        <w:t>公司</w:t>
      </w:r>
      <w:r w:rsidR="00832F04" w:rsidRPr="00CF0EC7">
        <w:rPr>
          <w:rFonts w:hint="eastAsia"/>
        </w:rPr>
        <w:t>2</w:t>
      </w:r>
      <w:r w:rsidR="00832F04" w:rsidRPr="00CF0EC7">
        <w:t>02</w:t>
      </w:r>
      <w:r w:rsidR="00006FC9">
        <w:t>2</w:t>
      </w:r>
      <w:r w:rsidR="00832F04" w:rsidRPr="00CF0EC7">
        <w:rPr>
          <w:rFonts w:hint="eastAsia"/>
        </w:rPr>
        <w:t>年度股东大会审议</w:t>
      </w:r>
      <w:r w:rsidR="00832F04" w:rsidRPr="0049416E">
        <w:rPr>
          <w:rFonts w:hint="eastAsia"/>
        </w:rPr>
        <w:t>。</w:t>
      </w:r>
    </w:p>
    <w:p w14:paraId="6E1BE03C" w14:textId="77777777" w:rsidR="00F3450A" w:rsidRDefault="00F3450A" w:rsidP="00F3450A">
      <w:pPr>
        <w:adjustRightInd w:val="0"/>
        <w:snapToGrid w:val="0"/>
        <w:spacing w:line="360" w:lineRule="auto"/>
        <w:ind w:firstLineChars="180" w:firstLine="396"/>
        <w:rPr>
          <w:rFonts w:asciiTheme="minorEastAsia" w:eastAsiaTheme="minorEastAsia" w:hAnsiTheme="minorEastAsia"/>
        </w:rPr>
      </w:pPr>
    </w:p>
    <w:p w14:paraId="3E763EFB" w14:textId="77777777" w:rsidR="00DA6849" w:rsidRPr="00F3450A" w:rsidRDefault="000B6430" w:rsidP="00A65CB1">
      <w:pPr>
        <w:pStyle w:val="a3"/>
        <w:spacing w:before="2" w:line="468" w:lineRule="auto"/>
        <w:ind w:left="220" w:right="238" w:firstLine="479"/>
        <w:jc w:val="both"/>
        <w:rPr>
          <w:rFonts w:asciiTheme="minorEastAsia" w:eastAsiaTheme="minorEastAsia" w:hAnsiTheme="minorEastAsia"/>
        </w:rPr>
      </w:pPr>
      <w:r w:rsidRPr="00F3450A">
        <w:rPr>
          <w:rFonts w:asciiTheme="minorEastAsia" w:eastAsiaTheme="minorEastAsia" w:hAnsiTheme="minorEastAsia"/>
        </w:rPr>
        <w:t>特此公告。</w:t>
      </w:r>
    </w:p>
    <w:p w14:paraId="595AED49" w14:textId="77777777" w:rsidR="00CF1375" w:rsidRPr="00A65CB1" w:rsidRDefault="00CF1375" w:rsidP="00A65CB1">
      <w:pPr>
        <w:pStyle w:val="a3"/>
        <w:spacing w:before="2" w:line="468" w:lineRule="auto"/>
        <w:ind w:left="220" w:right="238" w:firstLine="479"/>
        <w:jc w:val="both"/>
        <w:rPr>
          <w:rFonts w:ascii="Times New Roman" w:hAnsi="Times New Roman" w:cs="Times New Roman"/>
        </w:rPr>
      </w:pPr>
    </w:p>
    <w:p w14:paraId="104DFC03" w14:textId="77777777" w:rsidR="00B21EFE" w:rsidRPr="00B21EFE" w:rsidRDefault="005B06D5" w:rsidP="00B21EFE">
      <w:pPr>
        <w:autoSpaceDE/>
        <w:autoSpaceDN/>
        <w:spacing w:line="360" w:lineRule="auto"/>
        <w:jc w:val="right"/>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安徽省交通建设股份有限公司</w:t>
      </w:r>
      <w:r w:rsidR="00B21EFE" w:rsidRPr="00B21EFE">
        <w:rPr>
          <w:rFonts w:ascii="Times New Roman" w:hAnsi="Times New Roman" w:cs="Times New Roman"/>
          <w:kern w:val="2"/>
          <w:sz w:val="24"/>
          <w:szCs w:val="24"/>
          <w:lang w:val="en-US" w:bidi="ar-SA"/>
        </w:rPr>
        <w:t>董事会</w:t>
      </w:r>
      <w:r w:rsidR="00B21EFE" w:rsidRPr="00B21EFE">
        <w:rPr>
          <w:rFonts w:ascii="Times New Roman" w:hAnsi="Times New Roman" w:cs="Times New Roman"/>
          <w:kern w:val="2"/>
          <w:sz w:val="24"/>
          <w:szCs w:val="24"/>
          <w:lang w:val="en-US" w:bidi="ar-SA"/>
        </w:rPr>
        <w:t xml:space="preserve"> </w:t>
      </w:r>
    </w:p>
    <w:p w14:paraId="1AC9C78C" w14:textId="69D63640" w:rsidR="00DA6849" w:rsidRPr="008A5967" w:rsidRDefault="007009E1" w:rsidP="00DF7E13">
      <w:pPr>
        <w:autoSpaceDE/>
        <w:autoSpaceDN/>
        <w:spacing w:line="360" w:lineRule="auto"/>
        <w:jc w:val="right"/>
        <w:rPr>
          <w:rFonts w:ascii="Times New Roman" w:hAnsi="Times New Roman" w:cs="Times New Roman"/>
        </w:rPr>
      </w:pPr>
      <w:bookmarkStart w:id="2" w:name="_GoBack"/>
      <w:bookmarkEnd w:id="2"/>
      <w:r>
        <w:rPr>
          <w:rFonts w:ascii="Times New Roman" w:hAnsi="Times New Roman" w:cs="Times New Roman"/>
          <w:kern w:val="2"/>
          <w:sz w:val="24"/>
          <w:szCs w:val="24"/>
          <w:lang w:val="en-US" w:bidi="ar-SA"/>
        </w:rPr>
        <w:t xml:space="preserve"> </w:t>
      </w:r>
      <w:r w:rsidR="00DF7E13">
        <w:rPr>
          <w:rFonts w:ascii="Times New Roman" w:hAnsi="Times New Roman" w:cs="Times New Roman" w:hint="eastAsia"/>
          <w:kern w:val="2"/>
          <w:sz w:val="24"/>
          <w:szCs w:val="24"/>
          <w:lang w:val="en-US" w:bidi="ar-SA"/>
        </w:rPr>
        <w:t>202</w:t>
      </w:r>
      <w:r w:rsidR="0089113F">
        <w:rPr>
          <w:rFonts w:ascii="Times New Roman" w:hAnsi="Times New Roman" w:cs="Times New Roman"/>
          <w:kern w:val="2"/>
          <w:sz w:val="24"/>
          <w:szCs w:val="24"/>
          <w:lang w:val="en-US" w:bidi="ar-SA"/>
        </w:rPr>
        <w:t>3</w:t>
      </w:r>
      <w:r w:rsidR="00B21EFE" w:rsidRPr="00B21EFE">
        <w:rPr>
          <w:rFonts w:ascii="Times New Roman" w:hAnsi="Times New Roman" w:cs="Times New Roman"/>
          <w:kern w:val="2"/>
          <w:sz w:val="24"/>
          <w:szCs w:val="24"/>
          <w:lang w:val="en-US" w:bidi="ar-SA"/>
        </w:rPr>
        <w:t>年</w:t>
      </w:r>
      <w:r w:rsidR="00052DB9">
        <w:rPr>
          <w:rFonts w:ascii="Times New Roman" w:hAnsi="Times New Roman" w:cs="Times New Roman" w:hint="eastAsia"/>
          <w:kern w:val="2"/>
          <w:sz w:val="24"/>
          <w:szCs w:val="24"/>
          <w:lang w:val="en-US" w:bidi="ar-SA"/>
        </w:rPr>
        <w:t>4</w:t>
      </w:r>
      <w:r w:rsidR="00B21EFE" w:rsidRPr="00B21EFE">
        <w:rPr>
          <w:rFonts w:ascii="Times New Roman" w:hAnsi="Times New Roman" w:cs="Times New Roman"/>
          <w:kern w:val="2"/>
          <w:sz w:val="24"/>
          <w:szCs w:val="24"/>
          <w:lang w:val="en-US" w:bidi="ar-SA"/>
        </w:rPr>
        <w:t>月</w:t>
      </w:r>
      <w:r w:rsidR="00052DB9">
        <w:rPr>
          <w:rFonts w:ascii="Times New Roman" w:hAnsi="Times New Roman" w:cs="Times New Roman" w:hint="eastAsia"/>
          <w:kern w:val="2"/>
          <w:sz w:val="24"/>
          <w:szCs w:val="24"/>
          <w:lang w:val="en-US" w:bidi="ar-SA"/>
        </w:rPr>
        <w:t>2</w:t>
      </w:r>
      <w:r w:rsidR="0089113F">
        <w:rPr>
          <w:rFonts w:ascii="Times New Roman" w:hAnsi="Times New Roman" w:cs="Times New Roman"/>
          <w:kern w:val="2"/>
          <w:sz w:val="24"/>
          <w:szCs w:val="24"/>
          <w:lang w:val="en-US" w:bidi="ar-SA"/>
        </w:rPr>
        <w:t>7</w:t>
      </w:r>
      <w:r w:rsidR="00B21EFE" w:rsidRPr="00B21EFE">
        <w:rPr>
          <w:rFonts w:ascii="Times New Roman" w:hAnsi="Times New Roman" w:cs="Times New Roman"/>
          <w:kern w:val="2"/>
          <w:sz w:val="24"/>
          <w:szCs w:val="24"/>
          <w:lang w:val="en-US" w:bidi="ar-SA"/>
        </w:rPr>
        <w:t>日</w:t>
      </w:r>
      <w:r w:rsidR="00B21EFE" w:rsidRPr="00B21EFE">
        <w:rPr>
          <w:rFonts w:ascii="Times New Roman" w:hAnsi="Times New Roman" w:cs="Times New Roman"/>
          <w:kern w:val="2"/>
          <w:sz w:val="24"/>
          <w:szCs w:val="24"/>
          <w:lang w:val="en-US" w:bidi="ar-SA"/>
        </w:rPr>
        <w:t xml:space="preserve"> </w:t>
      </w:r>
    </w:p>
    <w:sectPr w:rsidR="00DA6849" w:rsidRPr="008A5967" w:rsidSect="00BB43A9">
      <w:footerReference w:type="default" r:id="rId8"/>
      <w:pgSz w:w="11910" w:h="16840"/>
      <w:pgMar w:top="1420" w:right="1560" w:bottom="1320" w:left="1580" w:header="0" w:footer="11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BCEA6" w14:textId="77777777" w:rsidR="008F0B76" w:rsidRDefault="008F0B76">
      <w:r>
        <w:separator/>
      </w:r>
    </w:p>
  </w:endnote>
  <w:endnote w:type="continuationSeparator" w:id="0">
    <w:p w14:paraId="67EEE1EF" w14:textId="77777777" w:rsidR="008F0B76" w:rsidRDefault="008F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8507" w14:textId="77777777" w:rsidR="000B6430" w:rsidRDefault="008F0B76">
    <w:pPr>
      <w:pStyle w:val="a3"/>
      <w:spacing w:line="14" w:lineRule="auto"/>
      <w:rPr>
        <w:sz w:val="12"/>
      </w:rPr>
    </w:pPr>
    <w:r>
      <w:rPr>
        <w:noProof/>
        <w:lang w:val="en-US" w:bidi="ar-SA"/>
      </w:rPr>
      <w:pict w14:anchorId="3EA2DF48">
        <v:shapetype id="_x0000_t202" coordsize="21600,21600" o:spt="202" path="m,l,21600r21600,l21600,xe">
          <v:stroke joinstyle="miter"/>
          <v:path gradientshapeok="t" o:connecttype="rect"/>
        </v:shapetype>
        <v:shape id="Text Box 1" o:spid="_x0000_s2049" type="#_x0000_t202" style="position:absolute;margin-left:291.2pt;margin-top:787.35pt;width:13.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" filled="f" stroked="f">
          <v:textbox inset="0,0,0,0">
            <w:txbxContent>
              <w:p w14:paraId="7FCBEF3E" w14:textId="77777777" w:rsidR="000B6430" w:rsidRDefault="0057605C">
                <w:pPr>
                  <w:spacing w:before="12"/>
                  <w:ind w:left="40"/>
                  <w:rPr>
                    <w:rFonts w:ascii="Times New Roman"/>
                    <w:sz w:val="18"/>
                  </w:rPr>
                </w:pPr>
                <w:r>
                  <w:fldChar w:fldCharType="begin"/>
                </w:r>
                <w:r w:rsidR="000B6430">
                  <w:rPr>
                    <w:rFonts w:ascii="Times New Roman"/>
                    <w:sz w:val="18"/>
                  </w:rPr>
                  <w:instrText xml:space="preserve"> PAGE </w:instrText>
                </w:r>
                <w:r>
                  <w:fldChar w:fldCharType="separate"/>
                </w:r>
                <w:r w:rsidR="00765932">
                  <w:rPr>
                    <w:rFonts w:ascii="Times New Roman"/>
                    <w:noProof/>
                    <w:sz w:val="18"/>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08851" w14:textId="77777777" w:rsidR="008F0B76" w:rsidRDefault="008F0B76">
      <w:r>
        <w:separator/>
      </w:r>
    </w:p>
  </w:footnote>
  <w:footnote w:type="continuationSeparator" w:id="0">
    <w:p w14:paraId="70874DD0" w14:textId="77777777" w:rsidR="008F0B76" w:rsidRDefault="008F0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73045"/>
    <w:multiLevelType w:val="hybridMultilevel"/>
    <w:tmpl w:val="1DDA7362"/>
    <w:lvl w:ilvl="0" w:tplc="176C03D0">
      <w:start w:val="1"/>
      <w:numFmt w:val="decimal"/>
      <w:lvlText w:val="（%1）"/>
      <w:lvlJc w:val="left"/>
      <w:pPr>
        <w:ind w:left="107" w:hanging="529"/>
      </w:pPr>
      <w:rPr>
        <w:rFonts w:ascii="宋体" w:eastAsia="宋体" w:hAnsi="宋体" w:cs="宋体" w:hint="default"/>
        <w:spacing w:val="-3"/>
        <w:w w:val="100"/>
        <w:sz w:val="19"/>
        <w:szCs w:val="19"/>
        <w:lang w:val="zh-CN" w:eastAsia="zh-CN" w:bidi="zh-CN"/>
      </w:rPr>
    </w:lvl>
    <w:lvl w:ilvl="1" w:tplc="A886951C">
      <w:numFmt w:val="bullet"/>
      <w:lvlText w:val="•"/>
      <w:lvlJc w:val="left"/>
      <w:pPr>
        <w:ind w:left="460" w:hanging="529"/>
      </w:pPr>
      <w:rPr>
        <w:rFonts w:hint="default"/>
        <w:lang w:val="zh-CN" w:eastAsia="zh-CN" w:bidi="zh-CN"/>
      </w:rPr>
    </w:lvl>
    <w:lvl w:ilvl="2" w:tplc="D9B239AA">
      <w:numFmt w:val="bullet"/>
      <w:lvlText w:val="•"/>
      <w:lvlJc w:val="left"/>
      <w:pPr>
        <w:ind w:left="820" w:hanging="529"/>
      </w:pPr>
      <w:rPr>
        <w:rFonts w:hint="default"/>
        <w:lang w:val="zh-CN" w:eastAsia="zh-CN" w:bidi="zh-CN"/>
      </w:rPr>
    </w:lvl>
    <w:lvl w:ilvl="3" w:tplc="B504E1E8">
      <w:numFmt w:val="bullet"/>
      <w:lvlText w:val="•"/>
      <w:lvlJc w:val="left"/>
      <w:pPr>
        <w:ind w:left="1180" w:hanging="529"/>
      </w:pPr>
      <w:rPr>
        <w:rFonts w:hint="default"/>
        <w:lang w:val="zh-CN" w:eastAsia="zh-CN" w:bidi="zh-CN"/>
      </w:rPr>
    </w:lvl>
    <w:lvl w:ilvl="4" w:tplc="2FE4862A">
      <w:numFmt w:val="bullet"/>
      <w:lvlText w:val="•"/>
      <w:lvlJc w:val="left"/>
      <w:pPr>
        <w:ind w:left="1540" w:hanging="529"/>
      </w:pPr>
      <w:rPr>
        <w:rFonts w:hint="default"/>
        <w:lang w:val="zh-CN" w:eastAsia="zh-CN" w:bidi="zh-CN"/>
      </w:rPr>
    </w:lvl>
    <w:lvl w:ilvl="5" w:tplc="7A2A2FF4">
      <w:numFmt w:val="bullet"/>
      <w:lvlText w:val="•"/>
      <w:lvlJc w:val="left"/>
      <w:pPr>
        <w:ind w:left="1901" w:hanging="529"/>
      </w:pPr>
      <w:rPr>
        <w:rFonts w:hint="default"/>
        <w:lang w:val="zh-CN" w:eastAsia="zh-CN" w:bidi="zh-CN"/>
      </w:rPr>
    </w:lvl>
    <w:lvl w:ilvl="6" w:tplc="00146F34">
      <w:numFmt w:val="bullet"/>
      <w:lvlText w:val="•"/>
      <w:lvlJc w:val="left"/>
      <w:pPr>
        <w:ind w:left="2261" w:hanging="529"/>
      </w:pPr>
      <w:rPr>
        <w:rFonts w:hint="default"/>
        <w:lang w:val="zh-CN" w:eastAsia="zh-CN" w:bidi="zh-CN"/>
      </w:rPr>
    </w:lvl>
    <w:lvl w:ilvl="7" w:tplc="9F00299A">
      <w:numFmt w:val="bullet"/>
      <w:lvlText w:val="•"/>
      <w:lvlJc w:val="left"/>
      <w:pPr>
        <w:ind w:left="2621" w:hanging="529"/>
      </w:pPr>
      <w:rPr>
        <w:rFonts w:hint="default"/>
        <w:lang w:val="zh-CN" w:eastAsia="zh-CN" w:bidi="zh-CN"/>
      </w:rPr>
    </w:lvl>
    <w:lvl w:ilvl="8" w:tplc="3C04C8FA">
      <w:numFmt w:val="bullet"/>
      <w:lvlText w:val="•"/>
      <w:lvlJc w:val="left"/>
      <w:pPr>
        <w:ind w:left="2981" w:hanging="52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A6849"/>
    <w:rsid w:val="0000393E"/>
    <w:rsid w:val="00003A2A"/>
    <w:rsid w:val="00006FC9"/>
    <w:rsid w:val="00052DB9"/>
    <w:rsid w:val="00066477"/>
    <w:rsid w:val="000B2FA1"/>
    <w:rsid w:val="000B6430"/>
    <w:rsid w:val="000C0FB8"/>
    <w:rsid w:val="000D4C36"/>
    <w:rsid w:val="00127A12"/>
    <w:rsid w:val="00157141"/>
    <w:rsid w:val="001723FA"/>
    <w:rsid w:val="0017420C"/>
    <w:rsid w:val="001A0536"/>
    <w:rsid w:val="001A25BC"/>
    <w:rsid w:val="001B1E6D"/>
    <w:rsid w:val="001C0D04"/>
    <w:rsid w:val="001E6848"/>
    <w:rsid w:val="002003E0"/>
    <w:rsid w:val="00200439"/>
    <w:rsid w:val="002249D8"/>
    <w:rsid w:val="00245D3F"/>
    <w:rsid w:val="00264DDE"/>
    <w:rsid w:val="0028338F"/>
    <w:rsid w:val="002865AC"/>
    <w:rsid w:val="002877EF"/>
    <w:rsid w:val="00291B35"/>
    <w:rsid w:val="002F3484"/>
    <w:rsid w:val="002F498A"/>
    <w:rsid w:val="003231D2"/>
    <w:rsid w:val="00327B50"/>
    <w:rsid w:val="00330754"/>
    <w:rsid w:val="00350E54"/>
    <w:rsid w:val="00406C01"/>
    <w:rsid w:val="00407800"/>
    <w:rsid w:val="00416BC3"/>
    <w:rsid w:val="004414F3"/>
    <w:rsid w:val="00475C70"/>
    <w:rsid w:val="004F2DB7"/>
    <w:rsid w:val="00523F31"/>
    <w:rsid w:val="0053379B"/>
    <w:rsid w:val="005357F4"/>
    <w:rsid w:val="00565AC5"/>
    <w:rsid w:val="005722A2"/>
    <w:rsid w:val="0057605C"/>
    <w:rsid w:val="00580EB3"/>
    <w:rsid w:val="005B06D5"/>
    <w:rsid w:val="005B0B6A"/>
    <w:rsid w:val="00605EF6"/>
    <w:rsid w:val="00651ABB"/>
    <w:rsid w:val="0066786B"/>
    <w:rsid w:val="00686045"/>
    <w:rsid w:val="006A1150"/>
    <w:rsid w:val="006D3699"/>
    <w:rsid w:val="006E2AAB"/>
    <w:rsid w:val="007009E1"/>
    <w:rsid w:val="00727818"/>
    <w:rsid w:val="007468CD"/>
    <w:rsid w:val="007538CD"/>
    <w:rsid w:val="00765932"/>
    <w:rsid w:val="007718A9"/>
    <w:rsid w:val="007A3992"/>
    <w:rsid w:val="007E5A02"/>
    <w:rsid w:val="00832F04"/>
    <w:rsid w:val="008669C7"/>
    <w:rsid w:val="00883BA8"/>
    <w:rsid w:val="00885AA7"/>
    <w:rsid w:val="0089113F"/>
    <w:rsid w:val="008911EA"/>
    <w:rsid w:val="008A5967"/>
    <w:rsid w:val="008C045B"/>
    <w:rsid w:val="008F0B76"/>
    <w:rsid w:val="008F4AA2"/>
    <w:rsid w:val="0090724D"/>
    <w:rsid w:val="009123D4"/>
    <w:rsid w:val="0093635E"/>
    <w:rsid w:val="00943CE3"/>
    <w:rsid w:val="00960CB9"/>
    <w:rsid w:val="009A12D7"/>
    <w:rsid w:val="009A3864"/>
    <w:rsid w:val="009E6B84"/>
    <w:rsid w:val="009F7000"/>
    <w:rsid w:val="00A12CEA"/>
    <w:rsid w:val="00A34E28"/>
    <w:rsid w:val="00A450F5"/>
    <w:rsid w:val="00A65CB1"/>
    <w:rsid w:val="00A91FFD"/>
    <w:rsid w:val="00AB0375"/>
    <w:rsid w:val="00AB35D7"/>
    <w:rsid w:val="00AD731E"/>
    <w:rsid w:val="00AF414F"/>
    <w:rsid w:val="00B00640"/>
    <w:rsid w:val="00B04532"/>
    <w:rsid w:val="00B21EFE"/>
    <w:rsid w:val="00B30C40"/>
    <w:rsid w:val="00B57BE8"/>
    <w:rsid w:val="00B7041F"/>
    <w:rsid w:val="00B8250E"/>
    <w:rsid w:val="00B9021E"/>
    <w:rsid w:val="00B93E5E"/>
    <w:rsid w:val="00B944CB"/>
    <w:rsid w:val="00BB24F8"/>
    <w:rsid w:val="00BB43A9"/>
    <w:rsid w:val="00BE4658"/>
    <w:rsid w:val="00C075FB"/>
    <w:rsid w:val="00C17CF4"/>
    <w:rsid w:val="00C800A4"/>
    <w:rsid w:val="00C808DE"/>
    <w:rsid w:val="00C94E15"/>
    <w:rsid w:val="00CA07CA"/>
    <w:rsid w:val="00CC6F86"/>
    <w:rsid w:val="00CD31CC"/>
    <w:rsid w:val="00CF1375"/>
    <w:rsid w:val="00CF284A"/>
    <w:rsid w:val="00CF470E"/>
    <w:rsid w:val="00D16781"/>
    <w:rsid w:val="00D24340"/>
    <w:rsid w:val="00D406DB"/>
    <w:rsid w:val="00D41B76"/>
    <w:rsid w:val="00D523EB"/>
    <w:rsid w:val="00D601D8"/>
    <w:rsid w:val="00D63360"/>
    <w:rsid w:val="00D75C7F"/>
    <w:rsid w:val="00D913E5"/>
    <w:rsid w:val="00DA6849"/>
    <w:rsid w:val="00DB1382"/>
    <w:rsid w:val="00DF7E13"/>
    <w:rsid w:val="00E05FB2"/>
    <w:rsid w:val="00E55B23"/>
    <w:rsid w:val="00E70138"/>
    <w:rsid w:val="00E85A85"/>
    <w:rsid w:val="00EB2CA6"/>
    <w:rsid w:val="00EB2FFF"/>
    <w:rsid w:val="00EB6DB0"/>
    <w:rsid w:val="00ED1F6E"/>
    <w:rsid w:val="00ED2389"/>
    <w:rsid w:val="00F3450A"/>
    <w:rsid w:val="00F56563"/>
    <w:rsid w:val="00F62D89"/>
    <w:rsid w:val="00F9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F7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43A9"/>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43A9"/>
    <w:tblPr>
      <w:tblInd w:w="0" w:type="dxa"/>
      <w:tblCellMar>
        <w:top w:w="0" w:type="dxa"/>
        <w:left w:w="0" w:type="dxa"/>
        <w:bottom w:w="0" w:type="dxa"/>
        <w:right w:w="0" w:type="dxa"/>
      </w:tblCellMar>
    </w:tblPr>
  </w:style>
  <w:style w:type="paragraph" w:styleId="a3">
    <w:name w:val="Body Text"/>
    <w:basedOn w:val="a"/>
    <w:uiPriority w:val="1"/>
    <w:qFormat/>
    <w:rsid w:val="00BB43A9"/>
    <w:rPr>
      <w:sz w:val="24"/>
      <w:szCs w:val="24"/>
    </w:rPr>
  </w:style>
  <w:style w:type="paragraph" w:styleId="a4">
    <w:name w:val="List Paragraph"/>
    <w:basedOn w:val="a"/>
    <w:uiPriority w:val="34"/>
    <w:qFormat/>
    <w:rsid w:val="00BB43A9"/>
  </w:style>
  <w:style w:type="paragraph" w:customStyle="1" w:styleId="TableParagraph">
    <w:name w:val="Table Paragraph"/>
    <w:basedOn w:val="a"/>
    <w:uiPriority w:val="1"/>
    <w:qFormat/>
    <w:rsid w:val="00BB43A9"/>
    <w:pPr>
      <w:ind w:left="107"/>
    </w:pPr>
  </w:style>
  <w:style w:type="character" w:styleId="a5">
    <w:name w:val="annotation reference"/>
    <w:basedOn w:val="a0"/>
    <w:uiPriority w:val="99"/>
    <w:semiHidden/>
    <w:unhideWhenUsed/>
    <w:rsid w:val="000B6430"/>
    <w:rPr>
      <w:sz w:val="21"/>
      <w:szCs w:val="21"/>
    </w:rPr>
  </w:style>
  <w:style w:type="paragraph" w:styleId="a6">
    <w:name w:val="annotation text"/>
    <w:basedOn w:val="a"/>
    <w:link w:val="Char"/>
    <w:uiPriority w:val="99"/>
    <w:semiHidden/>
    <w:unhideWhenUsed/>
    <w:rsid w:val="000B6430"/>
  </w:style>
  <w:style w:type="character" w:customStyle="1" w:styleId="Char">
    <w:name w:val="批注文字 Char"/>
    <w:basedOn w:val="a0"/>
    <w:link w:val="a6"/>
    <w:uiPriority w:val="99"/>
    <w:semiHidden/>
    <w:rsid w:val="000B6430"/>
    <w:rPr>
      <w:rFonts w:ascii="宋体" w:eastAsia="宋体" w:hAnsi="宋体" w:cs="宋体"/>
      <w:lang w:val="zh-CN" w:eastAsia="zh-CN" w:bidi="zh-CN"/>
    </w:rPr>
  </w:style>
  <w:style w:type="paragraph" w:styleId="a7">
    <w:name w:val="annotation subject"/>
    <w:basedOn w:val="a6"/>
    <w:next w:val="a6"/>
    <w:link w:val="Char0"/>
    <w:uiPriority w:val="99"/>
    <w:semiHidden/>
    <w:unhideWhenUsed/>
    <w:rsid w:val="000B6430"/>
    <w:rPr>
      <w:b/>
      <w:bCs/>
    </w:rPr>
  </w:style>
  <w:style w:type="character" w:customStyle="1" w:styleId="Char0">
    <w:name w:val="批注主题 Char"/>
    <w:basedOn w:val="Char"/>
    <w:link w:val="a7"/>
    <w:uiPriority w:val="99"/>
    <w:semiHidden/>
    <w:rsid w:val="000B6430"/>
    <w:rPr>
      <w:rFonts w:ascii="宋体" w:eastAsia="宋体" w:hAnsi="宋体" w:cs="宋体"/>
      <w:b/>
      <w:bCs/>
      <w:lang w:val="zh-CN" w:eastAsia="zh-CN" w:bidi="zh-CN"/>
    </w:rPr>
  </w:style>
  <w:style w:type="paragraph" w:styleId="a8">
    <w:name w:val="Balloon Text"/>
    <w:basedOn w:val="a"/>
    <w:link w:val="Char1"/>
    <w:uiPriority w:val="99"/>
    <w:semiHidden/>
    <w:unhideWhenUsed/>
    <w:rsid w:val="000B6430"/>
    <w:rPr>
      <w:sz w:val="18"/>
      <w:szCs w:val="18"/>
    </w:rPr>
  </w:style>
  <w:style w:type="character" w:customStyle="1" w:styleId="Char1">
    <w:name w:val="批注框文本 Char"/>
    <w:basedOn w:val="a0"/>
    <w:link w:val="a8"/>
    <w:uiPriority w:val="99"/>
    <w:semiHidden/>
    <w:rsid w:val="000B6430"/>
    <w:rPr>
      <w:rFonts w:ascii="宋体" w:eastAsia="宋体" w:hAnsi="宋体" w:cs="宋体"/>
      <w:sz w:val="18"/>
      <w:szCs w:val="18"/>
      <w:lang w:val="zh-CN" w:eastAsia="zh-CN" w:bidi="zh-CN"/>
    </w:rPr>
  </w:style>
  <w:style w:type="paragraph" w:styleId="a9">
    <w:name w:val="header"/>
    <w:basedOn w:val="a"/>
    <w:link w:val="Char2"/>
    <w:uiPriority w:val="99"/>
    <w:unhideWhenUsed/>
    <w:rsid w:val="00580EB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80EB3"/>
    <w:rPr>
      <w:rFonts w:ascii="宋体" w:eastAsia="宋体" w:hAnsi="宋体" w:cs="宋体"/>
      <w:sz w:val="18"/>
      <w:szCs w:val="18"/>
      <w:lang w:val="zh-CN" w:eastAsia="zh-CN" w:bidi="zh-CN"/>
    </w:rPr>
  </w:style>
  <w:style w:type="paragraph" w:styleId="aa">
    <w:name w:val="footer"/>
    <w:basedOn w:val="a"/>
    <w:link w:val="Char3"/>
    <w:uiPriority w:val="99"/>
    <w:unhideWhenUsed/>
    <w:rsid w:val="00580EB3"/>
    <w:pPr>
      <w:tabs>
        <w:tab w:val="center" w:pos="4153"/>
        <w:tab w:val="right" w:pos="8306"/>
      </w:tabs>
      <w:snapToGrid w:val="0"/>
    </w:pPr>
    <w:rPr>
      <w:sz w:val="18"/>
      <w:szCs w:val="18"/>
    </w:rPr>
  </w:style>
  <w:style w:type="character" w:customStyle="1" w:styleId="Char3">
    <w:name w:val="页脚 Char"/>
    <w:basedOn w:val="a0"/>
    <w:link w:val="aa"/>
    <w:uiPriority w:val="99"/>
    <w:rsid w:val="00580EB3"/>
    <w:rPr>
      <w:rFonts w:ascii="宋体" w:eastAsia="宋体" w:hAnsi="宋体" w:cs="宋体"/>
      <w:sz w:val="18"/>
      <w:szCs w:val="18"/>
      <w:lang w:val="zh-CN" w:eastAsia="zh-CN" w:bidi="zh-CN"/>
    </w:rPr>
  </w:style>
  <w:style w:type="character" w:customStyle="1" w:styleId="apple-converted-space">
    <w:name w:val="apple-converted-space"/>
    <w:basedOn w:val="a0"/>
    <w:rsid w:val="0000393E"/>
  </w:style>
  <w:style w:type="character" w:styleId="ab">
    <w:name w:val="Hyperlink"/>
    <w:basedOn w:val="a0"/>
    <w:uiPriority w:val="99"/>
    <w:semiHidden/>
    <w:unhideWhenUsed/>
    <w:rsid w:val="000039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3207">
      <w:bodyDiv w:val="1"/>
      <w:marLeft w:val="0"/>
      <w:marRight w:val="0"/>
      <w:marTop w:val="0"/>
      <w:marBottom w:val="0"/>
      <w:divBdr>
        <w:top w:val="none" w:sz="0" w:space="0" w:color="auto"/>
        <w:left w:val="none" w:sz="0" w:space="0" w:color="auto"/>
        <w:bottom w:val="none" w:sz="0" w:space="0" w:color="auto"/>
        <w:right w:val="none" w:sz="0" w:space="0" w:color="auto"/>
      </w:divBdr>
      <w:divsChild>
        <w:div w:id="932081910">
          <w:marLeft w:val="0"/>
          <w:marRight w:val="0"/>
          <w:marTop w:val="0"/>
          <w:marBottom w:val="0"/>
          <w:divBdr>
            <w:top w:val="none" w:sz="0" w:space="0" w:color="auto"/>
            <w:left w:val="none" w:sz="0" w:space="0" w:color="auto"/>
            <w:bottom w:val="none" w:sz="0" w:space="0" w:color="auto"/>
            <w:right w:val="none" w:sz="0" w:space="0" w:color="auto"/>
          </w:divBdr>
        </w:div>
        <w:div w:id="931425966">
          <w:marLeft w:val="0"/>
          <w:marRight w:val="0"/>
          <w:marTop w:val="0"/>
          <w:marBottom w:val="0"/>
          <w:divBdr>
            <w:top w:val="none" w:sz="0" w:space="0" w:color="auto"/>
            <w:left w:val="none" w:sz="0" w:space="0" w:color="auto"/>
            <w:bottom w:val="none" w:sz="0" w:space="0" w:color="auto"/>
            <w:right w:val="none" w:sz="0" w:space="0" w:color="auto"/>
          </w:divBdr>
        </w:div>
        <w:div w:id="940187821">
          <w:marLeft w:val="0"/>
          <w:marRight w:val="0"/>
          <w:marTop w:val="0"/>
          <w:marBottom w:val="0"/>
          <w:divBdr>
            <w:top w:val="none" w:sz="0" w:space="0" w:color="auto"/>
            <w:left w:val="none" w:sz="0" w:space="0" w:color="auto"/>
            <w:bottom w:val="none" w:sz="0" w:space="0" w:color="auto"/>
            <w:right w:val="none" w:sz="0" w:space="0" w:color="auto"/>
          </w:divBdr>
        </w:div>
        <w:div w:id="800881802">
          <w:marLeft w:val="0"/>
          <w:marRight w:val="0"/>
          <w:marTop w:val="0"/>
          <w:marBottom w:val="0"/>
          <w:divBdr>
            <w:top w:val="none" w:sz="0" w:space="0" w:color="auto"/>
            <w:left w:val="none" w:sz="0" w:space="0" w:color="auto"/>
            <w:bottom w:val="none" w:sz="0" w:space="0" w:color="auto"/>
            <w:right w:val="none" w:sz="0" w:space="0" w:color="auto"/>
          </w:divBdr>
        </w:div>
        <w:div w:id="1977954439">
          <w:marLeft w:val="0"/>
          <w:marRight w:val="0"/>
          <w:marTop w:val="0"/>
          <w:marBottom w:val="0"/>
          <w:divBdr>
            <w:top w:val="none" w:sz="0" w:space="0" w:color="auto"/>
            <w:left w:val="none" w:sz="0" w:space="0" w:color="auto"/>
            <w:bottom w:val="none" w:sz="0" w:space="0" w:color="auto"/>
            <w:right w:val="none" w:sz="0" w:space="0" w:color="auto"/>
          </w:divBdr>
        </w:div>
        <w:div w:id="1160391798">
          <w:marLeft w:val="0"/>
          <w:marRight w:val="0"/>
          <w:marTop w:val="0"/>
          <w:marBottom w:val="0"/>
          <w:divBdr>
            <w:top w:val="none" w:sz="0" w:space="0" w:color="auto"/>
            <w:left w:val="none" w:sz="0" w:space="0" w:color="auto"/>
            <w:bottom w:val="none" w:sz="0" w:space="0" w:color="auto"/>
            <w:right w:val="none" w:sz="0" w:space="0" w:color="auto"/>
          </w:divBdr>
        </w:div>
        <w:div w:id="856622755">
          <w:marLeft w:val="0"/>
          <w:marRight w:val="0"/>
          <w:marTop w:val="0"/>
          <w:marBottom w:val="0"/>
          <w:divBdr>
            <w:top w:val="none" w:sz="0" w:space="0" w:color="auto"/>
            <w:left w:val="none" w:sz="0" w:space="0" w:color="auto"/>
            <w:bottom w:val="none" w:sz="0" w:space="0" w:color="auto"/>
            <w:right w:val="none" w:sz="0" w:space="0" w:color="auto"/>
          </w:divBdr>
        </w:div>
      </w:divsChild>
    </w:div>
    <w:div w:id="625963272">
      <w:bodyDiv w:val="1"/>
      <w:marLeft w:val="0"/>
      <w:marRight w:val="0"/>
      <w:marTop w:val="0"/>
      <w:marBottom w:val="0"/>
      <w:divBdr>
        <w:top w:val="none" w:sz="0" w:space="0" w:color="auto"/>
        <w:left w:val="none" w:sz="0" w:space="0" w:color="auto"/>
        <w:bottom w:val="none" w:sz="0" w:space="0" w:color="auto"/>
        <w:right w:val="none" w:sz="0" w:space="0" w:color="auto"/>
      </w:divBdr>
      <w:divsChild>
        <w:div w:id="1602881274">
          <w:marLeft w:val="0"/>
          <w:marRight w:val="0"/>
          <w:marTop w:val="0"/>
          <w:marBottom w:val="0"/>
          <w:divBdr>
            <w:top w:val="none" w:sz="0" w:space="0" w:color="auto"/>
            <w:left w:val="none" w:sz="0" w:space="0" w:color="auto"/>
            <w:bottom w:val="none" w:sz="0" w:space="0" w:color="auto"/>
            <w:right w:val="none" w:sz="0" w:space="0" w:color="auto"/>
          </w:divBdr>
        </w:div>
        <w:div w:id="923611446">
          <w:marLeft w:val="0"/>
          <w:marRight w:val="0"/>
          <w:marTop w:val="0"/>
          <w:marBottom w:val="0"/>
          <w:divBdr>
            <w:top w:val="none" w:sz="0" w:space="0" w:color="auto"/>
            <w:left w:val="none" w:sz="0" w:space="0" w:color="auto"/>
            <w:bottom w:val="none" w:sz="0" w:space="0" w:color="auto"/>
            <w:right w:val="none" w:sz="0" w:space="0" w:color="auto"/>
          </w:divBdr>
        </w:div>
        <w:div w:id="1959098467">
          <w:marLeft w:val="0"/>
          <w:marRight w:val="0"/>
          <w:marTop w:val="0"/>
          <w:marBottom w:val="0"/>
          <w:divBdr>
            <w:top w:val="none" w:sz="0" w:space="0" w:color="auto"/>
            <w:left w:val="none" w:sz="0" w:space="0" w:color="auto"/>
            <w:bottom w:val="none" w:sz="0" w:space="0" w:color="auto"/>
            <w:right w:val="none" w:sz="0" w:space="0" w:color="auto"/>
          </w:divBdr>
        </w:div>
        <w:div w:id="270741645">
          <w:marLeft w:val="0"/>
          <w:marRight w:val="0"/>
          <w:marTop w:val="0"/>
          <w:marBottom w:val="0"/>
          <w:divBdr>
            <w:top w:val="none" w:sz="0" w:space="0" w:color="auto"/>
            <w:left w:val="none" w:sz="0" w:space="0" w:color="auto"/>
            <w:bottom w:val="none" w:sz="0" w:space="0" w:color="auto"/>
            <w:right w:val="none" w:sz="0" w:space="0" w:color="auto"/>
          </w:divBdr>
        </w:div>
      </w:divsChild>
    </w:div>
    <w:div w:id="1003511978">
      <w:bodyDiv w:val="1"/>
      <w:marLeft w:val="0"/>
      <w:marRight w:val="0"/>
      <w:marTop w:val="0"/>
      <w:marBottom w:val="0"/>
      <w:divBdr>
        <w:top w:val="none" w:sz="0" w:space="0" w:color="auto"/>
        <w:left w:val="none" w:sz="0" w:space="0" w:color="auto"/>
        <w:bottom w:val="none" w:sz="0" w:space="0" w:color="auto"/>
        <w:right w:val="none" w:sz="0" w:space="0" w:color="auto"/>
      </w:divBdr>
      <w:divsChild>
        <w:div w:id="1879901212">
          <w:marLeft w:val="0"/>
          <w:marRight w:val="0"/>
          <w:marTop w:val="0"/>
          <w:marBottom w:val="0"/>
          <w:divBdr>
            <w:top w:val="none" w:sz="0" w:space="0" w:color="auto"/>
            <w:left w:val="none" w:sz="0" w:space="0" w:color="auto"/>
            <w:bottom w:val="none" w:sz="0" w:space="0" w:color="auto"/>
            <w:right w:val="none" w:sz="0" w:space="0" w:color="auto"/>
          </w:divBdr>
        </w:div>
        <w:div w:id="545991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林玲</cp:lastModifiedBy>
  <cp:revision>100</cp:revision>
  <dcterms:created xsi:type="dcterms:W3CDTF">2019-08-26T08:38:00Z</dcterms:created>
  <dcterms:modified xsi:type="dcterms:W3CDTF">2023-04-26T05:40:00Z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ies>
</file>