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6514" w14:textId="6480412A" w:rsidR="0091648A" w:rsidRDefault="0091648A" w:rsidP="0091648A">
      <w:pPr>
        <w:spacing w:line="360" w:lineRule="auto"/>
        <w:rPr>
          <w:rFonts w:ascii="宋体" w:hAnsi="宋体"/>
          <w:sz w:val="24"/>
          <w:szCs w:val="24"/>
        </w:rPr>
      </w:pPr>
      <w:r>
        <w:rPr>
          <w:rFonts w:ascii="宋体" w:hAnsi="宋体" w:hint="eastAsia"/>
          <w:sz w:val="24"/>
          <w:szCs w:val="24"/>
        </w:rPr>
        <w:t>证券代码：603815           证券简称：交建股份      公告编号：202</w:t>
      </w:r>
      <w:r>
        <w:rPr>
          <w:rFonts w:ascii="宋体" w:hAnsi="宋体"/>
          <w:sz w:val="24"/>
          <w:szCs w:val="24"/>
        </w:rPr>
        <w:t>2</w:t>
      </w:r>
      <w:r w:rsidRPr="0039207D">
        <w:rPr>
          <w:rFonts w:ascii="宋体" w:hAnsi="宋体" w:hint="eastAsia"/>
          <w:sz w:val="24"/>
          <w:szCs w:val="24"/>
        </w:rPr>
        <w:t>-</w:t>
      </w:r>
      <w:r w:rsidR="00A16E62">
        <w:rPr>
          <w:rFonts w:ascii="宋体" w:hAnsi="宋体" w:hint="eastAsia"/>
          <w:sz w:val="24"/>
          <w:szCs w:val="24"/>
        </w:rPr>
        <w:t>0</w:t>
      </w:r>
      <w:r w:rsidR="00A16E62">
        <w:rPr>
          <w:rFonts w:ascii="宋体" w:hAnsi="宋体"/>
          <w:sz w:val="24"/>
          <w:szCs w:val="24"/>
        </w:rPr>
        <w:t>55</w:t>
      </w:r>
    </w:p>
    <w:p w14:paraId="3B4372CE" w14:textId="77777777" w:rsidR="0091648A" w:rsidRDefault="0091648A" w:rsidP="0091648A">
      <w:pPr>
        <w:spacing w:line="360" w:lineRule="auto"/>
        <w:jc w:val="center"/>
        <w:rPr>
          <w:rFonts w:ascii="宋体" w:hAnsi="宋体"/>
          <w:b/>
          <w:sz w:val="30"/>
          <w:szCs w:val="30"/>
        </w:rPr>
      </w:pPr>
    </w:p>
    <w:p w14:paraId="586EF145" w14:textId="77777777" w:rsidR="00D72898" w:rsidRPr="00007B00" w:rsidRDefault="00864DC5">
      <w:pPr>
        <w:jc w:val="center"/>
        <w:rPr>
          <w:rFonts w:ascii="黑体" w:eastAsia="黑体" w:hAnsi="宋体"/>
          <w:bCs/>
          <w:sz w:val="36"/>
          <w:szCs w:val="36"/>
        </w:rPr>
      </w:pPr>
      <w:r w:rsidRPr="00007B00">
        <w:rPr>
          <w:rFonts w:ascii="黑体" w:eastAsia="黑体" w:hAnsi="宋体" w:hint="eastAsia"/>
          <w:bCs/>
          <w:sz w:val="36"/>
          <w:szCs w:val="36"/>
        </w:rPr>
        <w:t>安徽省交通建设股份有限公司</w:t>
      </w:r>
    </w:p>
    <w:p w14:paraId="332ABDFB" w14:textId="77777777" w:rsidR="00D72898" w:rsidRPr="00007B00" w:rsidRDefault="00864DC5">
      <w:pPr>
        <w:jc w:val="center"/>
        <w:rPr>
          <w:rFonts w:ascii="黑体" w:eastAsia="黑体" w:hAnsi="宋体"/>
          <w:bCs/>
          <w:sz w:val="36"/>
          <w:szCs w:val="36"/>
        </w:rPr>
      </w:pPr>
      <w:r w:rsidRPr="00007B00">
        <w:rPr>
          <w:rFonts w:ascii="黑体" w:eastAsia="黑体" w:hAnsi="宋体" w:hint="eastAsia"/>
          <w:bCs/>
          <w:sz w:val="36"/>
          <w:szCs w:val="36"/>
        </w:rPr>
        <w:t>关于非公开发行股票摊薄即期回报的填补措施</w:t>
      </w:r>
    </w:p>
    <w:p w14:paraId="1FDF1885" w14:textId="18321C04" w:rsidR="0091648A" w:rsidRDefault="00864DC5" w:rsidP="0091648A">
      <w:pPr>
        <w:spacing w:line="360" w:lineRule="auto"/>
        <w:ind w:firstLineChars="200" w:firstLine="720"/>
        <w:jc w:val="center"/>
        <w:rPr>
          <w:rFonts w:ascii="黑体" w:eastAsia="黑体" w:hAnsi="宋体"/>
          <w:bCs/>
          <w:sz w:val="36"/>
          <w:szCs w:val="36"/>
        </w:rPr>
      </w:pPr>
      <w:r w:rsidRPr="00007B00">
        <w:rPr>
          <w:rFonts w:ascii="黑体" w:eastAsia="黑体" w:hAnsi="宋体" w:hint="eastAsia"/>
          <w:bCs/>
          <w:sz w:val="36"/>
          <w:szCs w:val="36"/>
        </w:rPr>
        <w:t>及相关主体承诺的公</w:t>
      </w:r>
      <w:r w:rsidRPr="00007B00">
        <w:rPr>
          <w:rFonts w:ascii="黑体" w:eastAsia="黑体" w:hAnsi="宋体"/>
          <w:bCs/>
          <w:sz w:val="36"/>
          <w:szCs w:val="36"/>
        </w:rPr>
        <w:t>告</w:t>
      </w:r>
      <w:bookmarkStart w:id="0" w:name="_Hlk114497085"/>
    </w:p>
    <w:p w14:paraId="55697F5F" w14:textId="77777777" w:rsidR="0091648A" w:rsidRDefault="0091648A" w:rsidP="0091648A">
      <w:pPr>
        <w:spacing w:line="360" w:lineRule="auto"/>
        <w:ind w:firstLineChars="200" w:firstLine="602"/>
        <w:jc w:val="center"/>
        <w:rPr>
          <w:rFonts w:ascii="宋体" w:hAnsi="宋体"/>
          <w:b/>
          <w:sz w:val="30"/>
          <w:szCs w:val="30"/>
        </w:rPr>
      </w:pPr>
    </w:p>
    <w:tbl>
      <w:tblPr>
        <w:tblStyle w:val="ac"/>
        <w:tblW w:w="8364" w:type="dxa"/>
        <w:tblInd w:w="108" w:type="dxa"/>
        <w:tblLayout w:type="fixed"/>
        <w:tblLook w:val="04A0" w:firstRow="1" w:lastRow="0" w:firstColumn="1" w:lastColumn="0" w:noHBand="0" w:noVBand="1"/>
      </w:tblPr>
      <w:tblGrid>
        <w:gridCol w:w="8364"/>
      </w:tblGrid>
      <w:tr w:rsidR="0091648A" w14:paraId="7191099F" w14:textId="77777777" w:rsidTr="009367F6">
        <w:tc>
          <w:tcPr>
            <w:tcW w:w="8364" w:type="dxa"/>
          </w:tcPr>
          <w:p w14:paraId="4CBC5EE3" w14:textId="77777777" w:rsidR="0091648A" w:rsidRDefault="0091648A" w:rsidP="009367F6">
            <w:pPr>
              <w:spacing w:line="360" w:lineRule="auto"/>
              <w:ind w:firstLineChars="200" w:firstLine="480"/>
              <w:jc w:val="left"/>
              <w:rPr>
                <w:rFonts w:ascii="宋体" w:hAnsi="宋体"/>
                <w:kern w:val="0"/>
              </w:rPr>
            </w:pPr>
            <w:r w:rsidRPr="00774B50">
              <w:rPr>
                <w:rFonts w:ascii="宋体" w:hAnsi="宋体"/>
                <w:kern w:val="0"/>
                <w:sz w:val="24"/>
                <w:szCs w:val="24"/>
              </w:rPr>
              <w:t>本公司董事会及全体董事保证本公告内容不存在任何虚假记载、误导性陈述或者重大遗漏，并对其内容的真实性、准确性和完整性承担</w:t>
            </w:r>
            <w:r>
              <w:rPr>
                <w:rFonts w:ascii="宋体" w:hAnsi="宋体" w:hint="eastAsia"/>
                <w:kern w:val="0"/>
                <w:sz w:val="24"/>
                <w:szCs w:val="24"/>
              </w:rPr>
              <w:t>法律</w:t>
            </w:r>
            <w:r w:rsidRPr="00774B50">
              <w:rPr>
                <w:rFonts w:ascii="宋体" w:hAnsi="宋体"/>
                <w:kern w:val="0"/>
                <w:sz w:val="24"/>
                <w:szCs w:val="24"/>
              </w:rPr>
              <w:t>责任。</w:t>
            </w:r>
          </w:p>
        </w:tc>
      </w:tr>
    </w:tbl>
    <w:p w14:paraId="21176A83" w14:textId="77777777" w:rsidR="0091648A" w:rsidRDefault="0091648A">
      <w:pPr>
        <w:autoSpaceDE w:val="0"/>
        <w:spacing w:line="360" w:lineRule="auto"/>
        <w:ind w:firstLineChars="200" w:firstLine="480"/>
        <w:rPr>
          <w:rFonts w:ascii="Times New Roman" w:hAnsi="Times New Roman"/>
          <w:sz w:val="24"/>
        </w:rPr>
      </w:pPr>
    </w:p>
    <w:p w14:paraId="23E48156" w14:textId="18B580B2" w:rsidR="00D72898" w:rsidRDefault="00864DC5">
      <w:pPr>
        <w:autoSpaceDE w:val="0"/>
        <w:spacing w:line="360" w:lineRule="auto"/>
        <w:ind w:firstLineChars="200" w:firstLine="480"/>
        <w:rPr>
          <w:rFonts w:ascii="Times New Roman" w:hAnsi="Times New Roman"/>
          <w:sz w:val="24"/>
        </w:rPr>
      </w:pPr>
      <w:r>
        <w:rPr>
          <w:rFonts w:ascii="Times New Roman" w:hAnsi="Times New Roman"/>
          <w:sz w:val="24"/>
        </w:rPr>
        <w:t>根据《国务院办公厅关于进一步加强资本市场中小投资者合法权益保护工作的意见》、《国务院关于进一步促进资本市场健康发展的若干意见》和《关于首发及再融资、重大资产重组摊薄即期回报有关事项的指导意见》，为保障中小投资者利益，</w:t>
      </w:r>
      <w:r w:rsidR="007A1C34" w:rsidRPr="007A1C34">
        <w:rPr>
          <w:rFonts w:ascii="Times New Roman" w:hAnsi="Times New Roman" w:hint="eastAsia"/>
          <w:sz w:val="24"/>
        </w:rPr>
        <w:t>安徽省交通建设股份有限公司</w:t>
      </w:r>
      <w:r w:rsidR="007A1C34">
        <w:rPr>
          <w:rFonts w:ascii="Times New Roman" w:hAnsi="Times New Roman" w:hint="eastAsia"/>
          <w:sz w:val="24"/>
        </w:rPr>
        <w:t>（以下简称“</w:t>
      </w:r>
      <w:r>
        <w:rPr>
          <w:rFonts w:ascii="Times New Roman" w:hAnsi="Times New Roman"/>
          <w:sz w:val="24"/>
        </w:rPr>
        <w:t>公司</w:t>
      </w:r>
      <w:r w:rsidR="007A1C34">
        <w:rPr>
          <w:rFonts w:ascii="Times New Roman" w:hAnsi="Times New Roman" w:hint="eastAsia"/>
          <w:sz w:val="24"/>
        </w:rPr>
        <w:t>”）</w:t>
      </w:r>
      <w:r>
        <w:rPr>
          <w:rFonts w:ascii="Times New Roman" w:hAnsi="Times New Roman"/>
          <w:sz w:val="24"/>
        </w:rPr>
        <w:t>就本次非公开发行股票事项对即期回报摊薄的影响进行了分析，并提出了具体的填补回报措施，相关主体也对公司填补回报措施能够得到切实履行</w:t>
      </w:r>
      <w:proofErr w:type="gramStart"/>
      <w:r>
        <w:rPr>
          <w:rFonts w:ascii="Times New Roman" w:hAnsi="Times New Roman"/>
          <w:sz w:val="24"/>
        </w:rPr>
        <w:t>作出</w:t>
      </w:r>
      <w:proofErr w:type="gramEnd"/>
      <w:r>
        <w:rPr>
          <w:rFonts w:ascii="Times New Roman" w:hAnsi="Times New Roman"/>
          <w:sz w:val="24"/>
        </w:rPr>
        <w:t>了承诺。具体情况如下：</w:t>
      </w:r>
      <w:bookmarkEnd w:id="0"/>
    </w:p>
    <w:p w14:paraId="1042887A"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bookmarkStart w:id="1" w:name="_Toc69244288"/>
      <w:bookmarkStart w:id="2" w:name="_Toc494412597"/>
      <w:bookmarkStart w:id="3" w:name="_Toc512526915"/>
      <w:r>
        <w:rPr>
          <w:rFonts w:ascii="Times New Roman" w:hAnsi="Times New Roman"/>
          <w:b/>
          <w:bCs/>
          <w:sz w:val="24"/>
        </w:rPr>
        <w:t>一、本次非公开发行对即期回报的影响</w:t>
      </w:r>
      <w:bookmarkEnd w:id="1"/>
      <w:bookmarkEnd w:id="2"/>
      <w:bookmarkEnd w:id="3"/>
    </w:p>
    <w:p w14:paraId="637A67B1" w14:textId="2362BA42" w:rsidR="00D72898" w:rsidRDefault="00864DC5">
      <w:pPr>
        <w:autoSpaceDE w:val="0"/>
        <w:spacing w:line="360" w:lineRule="auto"/>
        <w:ind w:firstLineChars="200" w:firstLine="480"/>
        <w:rPr>
          <w:rFonts w:ascii="Times New Roman" w:hAnsi="Times New Roman"/>
          <w:sz w:val="24"/>
        </w:rPr>
      </w:pPr>
      <w:bookmarkStart w:id="4" w:name="_Toc512526916"/>
      <w:bookmarkStart w:id="5" w:name="_Toc69244289"/>
      <w:bookmarkStart w:id="6" w:name="_Toc494412598"/>
      <w:bookmarkStart w:id="7" w:name="_Hlk114497146"/>
      <w:r>
        <w:rPr>
          <w:rFonts w:ascii="Times New Roman" w:hAnsi="Times New Roman"/>
          <w:sz w:val="24"/>
        </w:rPr>
        <w:t>本次非公开发行实施完成后，在公司股本和净资产均增加的情况下，如果未来公司</w:t>
      </w:r>
      <w:r w:rsidR="00083D67">
        <w:rPr>
          <w:rFonts w:ascii="Times New Roman" w:hAnsi="Times New Roman" w:hint="eastAsia"/>
          <w:sz w:val="24"/>
        </w:rPr>
        <w:t>净利润水平</w:t>
      </w:r>
      <w:r>
        <w:rPr>
          <w:rFonts w:ascii="Times New Roman" w:hAnsi="Times New Roman"/>
          <w:sz w:val="24"/>
        </w:rPr>
        <w:t>未获得相应幅度的增长，公司每股收益和加权平均净资产收益率将面临下降的风险。</w:t>
      </w:r>
    </w:p>
    <w:p w14:paraId="69E8D40E" w14:textId="77777777" w:rsidR="00D72898" w:rsidRDefault="00864DC5">
      <w:pPr>
        <w:autoSpaceDE w:val="0"/>
        <w:spacing w:line="360" w:lineRule="auto"/>
        <w:ind w:firstLineChars="200" w:firstLine="480"/>
        <w:rPr>
          <w:rFonts w:ascii="Times New Roman" w:hAnsi="Times New Roman"/>
          <w:sz w:val="24"/>
        </w:rPr>
      </w:pPr>
      <w:r>
        <w:rPr>
          <w:rFonts w:ascii="Times New Roman" w:hAnsi="Times New Roman"/>
          <w:sz w:val="24"/>
        </w:rPr>
        <w:t>考虑上述情况，公司基于下列假设条件对主要财务指标进行了测算，以下假设仅为测算本次非公开发行对公司即期回报主要财务指标的摊薄影响，不代表公司对未来年度经营情况及趋势的判断，亦不构成盈利预测。投资者不应据此进行投资决策，投资者据此进行投资决策造成损失的，公司不承担赔偿责任。相关假设如下：</w:t>
      </w:r>
    </w:p>
    <w:p w14:paraId="241C065D"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（一）测算的假设前提</w:t>
      </w:r>
    </w:p>
    <w:p w14:paraId="622CD920" w14:textId="77777777"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1、假设宏观经济环境、产业政策、行业发展状况、市场情况等方面未发生</w:t>
      </w:r>
      <w:r w:rsidRPr="002F441A">
        <w:rPr>
          <w:rFonts w:ascii="宋体" w:hAnsi="宋体"/>
          <w:sz w:val="24"/>
        </w:rPr>
        <w:lastRenderedPageBreak/>
        <w:t>重大变化。</w:t>
      </w:r>
    </w:p>
    <w:p w14:paraId="6D929B6E" w14:textId="1D9042C8"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2、假定本次发行于2023年1月末实施完毕。该完成时间仅用于计算本次非公开发行摊薄即期回报对主要财务指标的影响，最终以</w:t>
      </w:r>
      <w:r w:rsidR="002C3519" w:rsidRPr="002F441A">
        <w:rPr>
          <w:rFonts w:ascii="宋体" w:hAnsi="宋体" w:hint="eastAsia"/>
          <w:sz w:val="24"/>
        </w:rPr>
        <w:t>中国证券监督管理委员会（以下简称“中国证监会”）</w:t>
      </w:r>
      <w:r w:rsidRPr="002F441A">
        <w:rPr>
          <w:rFonts w:ascii="宋体" w:hAnsi="宋体"/>
          <w:sz w:val="24"/>
        </w:rPr>
        <w:t>核准本次发行后的实际完成时间为准。</w:t>
      </w:r>
    </w:p>
    <w:p w14:paraId="2C61C000" w14:textId="45238BFF"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3、本次非公开发行股份数量为180,000,000股，</w:t>
      </w:r>
      <w:r w:rsidRPr="002F441A">
        <w:rPr>
          <w:rFonts w:ascii="宋体" w:hAnsi="宋体" w:hint="eastAsia"/>
          <w:sz w:val="24"/>
        </w:rPr>
        <w:t>不超过发行前总股本的3</w:t>
      </w:r>
      <w:r w:rsidRPr="002F441A">
        <w:rPr>
          <w:rFonts w:ascii="宋体" w:hAnsi="宋体"/>
          <w:sz w:val="24"/>
        </w:rPr>
        <w:t>0%</w:t>
      </w:r>
      <w:r w:rsidRPr="002F441A">
        <w:rPr>
          <w:rFonts w:ascii="宋体" w:hAnsi="宋体" w:hint="eastAsia"/>
          <w:sz w:val="24"/>
        </w:rPr>
        <w:t>。</w:t>
      </w:r>
      <w:r w:rsidRPr="002F441A">
        <w:rPr>
          <w:rFonts w:ascii="宋体" w:hAnsi="宋体"/>
          <w:sz w:val="24"/>
        </w:rPr>
        <w:t>该发行股</w:t>
      </w:r>
      <w:r w:rsidR="00802457" w:rsidRPr="002F441A">
        <w:rPr>
          <w:rFonts w:ascii="宋体" w:hAnsi="宋体" w:hint="eastAsia"/>
          <w:sz w:val="24"/>
        </w:rPr>
        <w:t>份</w:t>
      </w:r>
      <w:r w:rsidRPr="002F441A">
        <w:rPr>
          <w:rFonts w:ascii="宋体" w:hAnsi="宋体"/>
          <w:sz w:val="24"/>
        </w:rPr>
        <w:t>数量仅用于本测算的估计，最终</w:t>
      </w:r>
      <w:r w:rsidRPr="002F441A">
        <w:rPr>
          <w:rFonts w:ascii="宋体" w:hAnsi="宋体" w:hint="eastAsia"/>
          <w:sz w:val="24"/>
        </w:rPr>
        <w:t>以</w:t>
      </w:r>
      <w:r w:rsidRPr="002F441A">
        <w:rPr>
          <w:rFonts w:ascii="宋体" w:hAnsi="宋体"/>
          <w:sz w:val="24"/>
        </w:rPr>
        <w:t>经中国证监会核准后的股</w:t>
      </w:r>
      <w:r w:rsidR="00802457" w:rsidRPr="002F441A">
        <w:rPr>
          <w:rFonts w:ascii="宋体" w:hAnsi="宋体" w:hint="eastAsia"/>
          <w:sz w:val="24"/>
        </w:rPr>
        <w:t>份</w:t>
      </w:r>
      <w:r w:rsidRPr="002F441A">
        <w:rPr>
          <w:rFonts w:ascii="宋体" w:hAnsi="宋体"/>
          <w:sz w:val="24"/>
        </w:rPr>
        <w:t>发行数量为准。</w:t>
      </w:r>
    </w:p>
    <w:p w14:paraId="3D0F8F59" w14:textId="77777777"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4、在预测公司总股本时，以当前总股本618,924,235股为基础，仅考虑本次非公开发行股票的影响，不考虑其他因素导致股本变动的情形。</w:t>
      </w:r>
    </w:p>
    <w:p w14:paraId="18FB30E3" w14:textId="77777777"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5、不考虑本次发行募集资金到位后，对公司生产经营、财务状况（如财务费用、投资收益）等的影响。</w:t>
      </w:r>
    </w:p>
    <w:p w14:paraId="778F28FD" w14:textId="77777777"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6、2022年1-6月，公司实现归属于母公司股东的净利润为8,481.80万元，扣除非经常性损益后归属于母公司股东的净利润8,485.02万元。假设2022年全年公司实现归属于母公司股东的净利润和扣除非经常性损益后归属于母公司股东的净利润</w:t>
      </w:r>
      <w:r w:rsidRPr="002F441A">
        <w:rPr>
          <w:rFonts w:ascii="宋体" w:hAnsi="宋体" w:hint="eastAsia"/>
          <w:sz w:val="24"/>
        </w:rPr>
        <w:t>均</w:t>
      </w:r>
      <w:r w:rsidRPr="002F441A">
        <w:rPr>
          <w:rFonts w:ascii="宋体" w:hAnsi="宋体"/>
          <w:sz w:val="24"/>
        </w:rPr>
        <w:t>为2022年1-6月的2倍。基于谨慎性原则，分别假设本公司2023年度归属于上市公司股东的净利润和扣除非经常性损益后归属于上市公司股东的净利润均较2022年度持平、增长10%和20%进行测算。</w:t>
      </w:r>
    </w:p>
    <w:p w14:paraId="4A245869"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（二）公司主要财务指标的影响</w:t>
      </w:r>
    </w:p>
    <w:p w14:paraId="6F60A090" w14:textId="2D7796FF" w:rsidR="00D72898" w:rsidRPr="002F441A" w:rsidRDefault="00864DC5">
      <w:pPr>
        <w:autoSpaceDE w:val="0"/>
        <w:spacing w:line="360" w:lineRule="auto"/>
        <w:ind w:firstLineChars="200" w:firstLine="480"/>
        <w:rPr>
          <w:rFonts w:ascii="宋体" w:hAnsi="宋体"/>
          <w:sz w:val="24"/>
        </w:rPr>
      </w:pPr>
      <w:r w:rsidRPr="002F441A">
        <w:rPr>
          <w:rFonts w:ascii="宋体" w:hAnsi="宋体"/>
          <w:sz w:val="24"/>
        </w:rPr>
        <w:t>基于上述假设前提，根据《公开发行证券的公司信息披露编报规则第9号——净资产收益率和每股收益的计算及披露》等有关规定，公司测算了本次非公开发行对股东即期回报摊薄的影响，具体主要财务指标情况如下：</w:t>
      </w:r>
    </w:p>
    <w:tbl>
      <w:tblPr>
        <w:tblW w:w="5053" w:type="pct"/>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1701"/>
        <w:gridCol w:w="1701"/>
        <w:gridCol w:w="1417"/>
      </w:tblGrid>
      <w:tr w:rsidR="00D72898" w14:paraId="08F5E895" w14:textId="77777777" w:rsidTr="00A16E62">
        <w:trPr>
          <w:trHeight w:val="397"/>
          <w:jc w:val="center"/>
        </w:trPr>
        <w:tc>
          <w:tcPr>
            <w:tcW w:w="3794" w:type="dxa"/>
            <w:vMerge w:val="restart"/>
            <w:tcBorders>
              <w:tl2br w:val="nil"/>
              <w:tr2bl w:val="nil"/>
            </w:tcBorders>
            <w:shd w:val="clear" w:color="auto" w:fill="auto"/>
            <w:vAlign w:val="center"/>
          </w:tcPr>
          <w:p w14:paraId="68FCAE25"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项目</w:t>
            </w:r>
          </w:p>
        </w:tc>
        <w:tc>
          <w:tcPr>
            <w:tcW w:w="1701" w:type="dxa"/>
            <w:vMerge w:val="restart"/>
            <w:tcBorders>
              <w:tl2br w:val="nil"/>
              <w:tr2bl w:val="nil"/>
            </w:tcBorders>
            <w:shd w:val="clear" w:color="auto" w:fill="auto"/>
            <w:vAlign w:val="center"/>
          </w:tcPr>
          <w:p w14:paraId="7AA4538C" w14:textId="52D8F2CB" w:rsidR="00D72898" w:rsidRPr="002F441A" w:rsidRDefault="00864DC5" w:rsidP="004E21D7">
            <w:pPr>
              <w:widowControl/>
              <w:textAlignment w:val="top"/>
              <w:rPr>
                <w:rFonts w:ascii="宋体" w:hAnsi="宋体"/>
                <w:b/>
                <w:bCs/>
                <w:color w:val="000000"/>
                <w:kern w:val="0"/>
                <w:lang w:bidi="ar"/>
              </w:rPr>
            </w:pPr>
            <w:r w:rsidRPr="002F441A">
              <w:rPr>
                <w:rFonts w:ascii="宋体" w:hAnsi="宋体"/>
                <w:b/>
                <w:bCs/>
                <w:color w:val="000000"/>
                <w:kern w:val="0"/>
                <w:lang w:bidi="ar"/>
              </w:rPr>
              <w:t>2022年度/2022年</w:t>
            </w:r>
            <w:r w:rsidRPr="002F441A">
              <w:rPr>
                <w:rStyle w:val="font41"/>
                <w:rFonts w:ascii="宋体" w:hAnsi="宋体"/>
                <w:lang w:bidi="ar"/>
              </w:rPr>
              <w:t xml:space="preserve">12月31日 </w:t>
            </w:r>
          </w:p>
        </w:tc>
        <w:tc>
          <w:tcPr>
            <w:tcW w:w="3118" w:type="dxa"/>
            <w:gridSpan w:val="2"/>
            <w:tcBorders>
              <w:tl2br w:val="nil"/>
              <w:tr2bl w:val="nil"/>
            </w:tcBorders>
            <w:shd w:val="clear" w:color="auto" w:fill="auto"/>
            <w:vAlign w:val="center"/>
          </w:tcPr>
          <w:p w14:paraId="0D2614BA"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2023年度</w:t>
            </w:r>
            <w:r w:rsidRPr="002F441A">
              <w:rPr>
                <w:rStyle w:val="font41"/>
                <w:rFonts w:ascii="宋体" w:hAnsi="宋体"/>
                <w:lang w:bidi="ar"/>
              </w:rPr>
              <w:t>/2023</w:t>
            </w:r>
            <w:r w:rsidRPr="002F441A">
              <w:rPr>
                <w:rFonts w:ascii="宋体" w:hAnsi="宋体"/>
                <w:b/>
                <w:bCs/>
                <w:color w:val="000000"/>
                <w:kern w:val="0"/>
                <w:lang w:bidi="ar"/>
              </w:rPr>
              <w:t>年</w:t>
            </w:r>
            <w:r w:rsidRPr="002F441A">
              <w:rPr>
                <w:rStyle w:val="font41"/>
                <w:rFonts w:ascii="宋体" w:hAnsi="宋体"/>
                <w:lang w:bidi="ar"/>
              </w:rPr>
              <w:t>12</w:t>
            </w:r>
            <w:r w:rsidRPr="002F441A">
              <w:rPr>
                <w:rFonts w:ascii="宋体" w:hAnsi="宋体"/>
                <w:b/>
                <w:bCs/>
                <w:color w:val="000000"/>
                <w:kern w:val="0"/>
                <w:lang w:bidi="ar"/>
              </w:rPr>
              <w:t>月</w:t>
            </w:r>
            <w:r w:rsidRPr="002F441A">
              <w:rPr>
                <w:rStyle w:val="font41"/>
                <w:rFonts w:ascii="宋体" w:hAnsi="宋体"/>
                <w:lang w:bidi="ar"/>
              </w:rPr>
              <w:t>31</w:t>
            </w:r>
            <w:r w:rsidRPr="002F441A">
              <w:rPr>
                <w:rFonts w:ascii="宋体" w:hAnsi="宋体"/>
                <w:b/>
                <w:bCs/>
                <w:color w:val="000000"/>
                <w:kern w:val="0"/>
                <w:lang w:bidi="ar"/>
              </w:rPr>
              <w:t>日</w:t>
            </w:r>
          </w:p>
        </w:tc>
      </w:tr>
      <w:tr w:rsidR="00D72898" w14:paraId="16820339" w14:textId="77777777" w:rsidTr="00A16E62">
        <w:trPr>
          <w:trHeight w:val="397"/>
          <w:jc w:val="center"/>
        </w:trPr>
        <w:tc>
          <w:tcPr>
            <w:tcW w:w="3794" w:type="dxa"/>
            <w:vMerge/>
            <w:tcBorders>
              <w:tl2br w:val="nil"/>
              <w:tr2bl w:val="nil"/>
            </w:tcBorders>
            <w:shd w:val="clear" w:color="auto" w:fill="auto"/>
            <w:vAlign w:val="center"/>
          </w:tcPr>
          <w:p w14:paraId="5CE85AC4" w14:textId="77777777" w:rsidR="00D72898" w:rsidRPr="002F441A" w:rsidRDefault="00D72898">
            <w:pPr>
              <w:jc w:val="center"/>
              <w:rPr>
                <w:rFonts w:ascii="宋体" w:hAnsi="宋体"/>
                <w:b/>
                <w:bCs/>
                <w:color w:val="000000"/>
              </w:rPr>
            </w:pPr>
          </w:p>
        </w:tc>
        <w:tc>
          <w:tcPr>
            <w:tcW w:w="1701" w:type="dxa"/>
            <w:vMerge/>
            <w:tcBorders>
              <w:tl2br w:val="nil"/>
              <w:tr2bl w:val="nil"/>
            </w:tcBorders>
            <w:shd w:val="clear" w:color="auto" w:fill="auto"/>
            <w:vAlign w:val="center"/>
          </w:tcPr>
          <w:p w14:paraId="58EF0BB6" w14:textId="77777777" w:rsidR="00D72898" w:rsidRPr="002F441A" w:rsidRDefault="00D72898">
            <w:pPr>
              <w:widowControl/>
              <w:jc w:val="center"/>
              <w:textAlignment w:val="top"/>
              <w:rPr>
                <w:rFonts w:ascii="宋体" w:hAnsi="宋体"/>
                <w:b/>
                <w:bCs/>
                <w:color w:val="000000"/>
              </w:rPr>
            </w:pPr>
          </w:p>
        </w:tc>
        <w:tc>
          <w:tcPr>
            <w:tcW w:w="1701" w:type="dxa"/>
            <w:tcBorders>
              <w:tl2br w:val="nil"/>
              <w:tr2bl w:val="nil"/>
            </w:tcBorders>
            <w:shd w:val="clear" w:color="auto" w:fill="auto"/>
            <w:vAlign w:val="center"/>
          </w:tcPr>
          <w:p w14:paraId="65A11E48"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本次发行前</w:t>
            </w:r>
          </w:p>
        </w:tc>
        <w:tc>
          <w:tcPr>
            <w:tcW w:w="1417" w:type="dxa"/>
            <w:tcBorders>
              <w:tl2br w:val="nil"/>
              <w:tr2bl w:val="nil"/>
            </w:tcBorders>
            <w:shd w:val="clear" w:color="auto" w:fill="auto"/>
            <w:vAlign w:val="center"/>
          </w:tcPr>
          <w:p w14:paraId="71138FD6"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本次发行后</w:t>
            </w:r>
          </w:p>
        </w:tc>
      </w:tr>
      <w:tr w:rsidR="00D72898" w14:paraId="7CA85545" w14:textId="77777777" w:rsidTr="00A16E62">
        <w:trPr>
          <w:trHeight w:val="397"/>
          <w:jc w:val="center"/>
        </w:trPr>
        <w:tc>
          <w:tcPr>
            <w:tcW w:w="3794" w:type="dxa"/>
            <w:tcBorders>
              <w:tl2br w:val="nil"/>
              <w:tr2bl w:val="nil"/>
            </w:tcBorders>
            <w:shd w:val="clear" w:color="auto" w:fill="auto"/>
            <w:vAlign w:val="center"/>
          </w:tcPr>
          <w:p w14:paraId="14C26C90" w14:textId="77777777" w:rsidR="00D72898" w:rsidRPr="002F441A" w:rsidRDefault="00864DC5">
            <w:pPr>
              <w:widowControl/>
              <w:jc w:val="center"/>
              <w:textAlignment w:val="top"/>
              <w:rPr>
                <w:rFonts w:ascii="宋体" w:hAnsi="宋体"/>
                <w:color w:val="000000"/>
              </w:rPr>
            </w:pPr>
            <w:r w:rsidRPr="002F441A">
              <w:rPr>
                <w:rFonts w:ascii="宋体" w:hAnsi="宋体"/>
                <w:color w:val="000000"/>
                <w:kern w:val="0"/>
                <w:lang w:bidi="ar"/>
              </w:rPr>
              <w:t>总股本（股）</w:t>
            </w:r>
          </w:p>
        </w:tc>
        <w:tc>
          <w:tcPr>
            <w:tcW w:w="1701" w:type="dxa"/>
            <w:tcBorders>
              <w:tl2br w:val="nil"/>
              <w:tr2bl w:val="nil"/>
            </w:tcBorders>
            <w:shd w:val="clear" w:color="auto" w:fill="auto"/>
            <w:noWrap/>
            <w:vAlign w:val="center"/>
          </w:tcPr>
          <w:p w14:paraId="01CB9567" w14:textId="77777777" w:rsidR="00D72898" w:rsidRPr="002F441A" w:rsidRDefault="00864DC5">
            <w:pPr>
              <w:widowControl/>
              <w:jc w:val="right"/>
              <w:textAlignment w:val="bottom"/>
              <w:rPr>
                <w:rFonts w:ascii="宋体" w:hAnsi="宋体"/>
                <w:color w:val="000000"/>
              </w:rPr>
            </w:pPr>
            <w:r w:rsidRPr="002F441A">
              <w:rPr>
                <w:rFonts w:ascii="宋体" w:hAnsi="宋体"/>
                <w:color w:val="000000"/>
              </w:rPr>
              <w:t>618,924,235</w:t>
            </w:r>
          </w:p>
        </w:tc>
        <w:tc>
          <w:tcPr>
            <w:tcW w:w="1701" w:type="dxa"/>
            <w:tcBorders>
              <w:tl2br w:val="nil"/>
              <w:tr2bl w:val="nil"/>
            </w:tcBorders>
            <w:shd w:val="clear" w:color="auto" w:fill="auto"/>
            <w:noWrap/>
            <w:vAlign w:val="center"/>
          </w:tcPr>
          <w:p w14:paraId="7A2F2FA9" w14:textId="77777777" w:rsidR="00D72898" w:rsidRPr="002F441A" w:rsidRDefault="00864DC5">
            <w:pPr>
              <w:widowControl/>
              <w:jc w:val="right"/>
              <w:textAlignment w:val="bottom"/>
              <w:rPr>
                <w:rFonts w:ascii="宋体" w:hAnsi="宋体"/>
                <w:color w:val="000000"/>
              </w:rPr>
            </w:pPr>
            <w:r w:rsidRPr="002F441A">
              <w:rPr>
                <w:rFonts w:ascii="宋体" w:hAnsi="宋体"/>
                <w:color w:val="000000"/>
              </w:rPr>
              <w:t>618,924,235</w:t>
            </w:r>
          </w:p>
        </w:tc>
        <w:tc>
          <w:tcPr>
            <w:tcW w:w="1417" w:type="dxa"/>
            <w:tcBorders>
              <w:tl2br w:val="nil"/>
              <w:tr2bl w:val="nil"/>
            </w:tcBorders>
            <w:shd w:val="clear" w:color="auto" w:fill="auto"/>
            <w:vAlign w:val="center"/>
          </w:tcPr>
          <w:p w14:paraId="7F445CC8" w14:textId="77777777" w:rsidR="00D72898" w:rsidRPr="002F441A" w:rsidRDefault="00864DC5">
            <w:pPr>
              <w:jc w:val="right"/>
              <w:rPr>
                <w:rFonts w:ascii="宋体" w:hAnsi="宋体"/>
                <w:color w:val="000000"/>
              </w:rPr>
            </w:pPr>
            <w:r w:rsidRPr="002F441A">
              <w:rPr>
                <w:rFonts w:ascii="宋体" w:hAnsi="宋体"/>
                <w:color w:val="000000"/>
              </w:rPr>
              <w:t>798,924,235</w:t>
            </w:r>
          </w:p>
        </w:tc>
      </w:tr>
      <w:tr w:rsidR="00D72898" w14:paraId="7B73004B" w14:textId="77777777" w:rsidTr="00A16E62">
        <w:trPr>
          <w:trHeight w:val="397"/>
          <w:jc w:val="center"/>
        </w:trPr>
        <w:tc>
          <w:tcPr>
            <w:tcW w:w="8613" w:type="dxa"/>
            <w:gridSpan w:val="4"/>
            <w:tcBorders>
              <w:tl2br w:val="nil"/>
              <w:tr2bl w:val="nil"/>
            </w:tcBorders>
            <w:shd w:val="clear" w:color="auto" w:fill="auto"/>
            <w:vAlign w:val="center"/>
          </w:tcPr>
          <w:p w14:paraId="60DC3891"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1、2023年度较2022年度持平</w:t>
            </w:r>
          </w:p>
        </w:tc>
      </w:tr>
      <w:tr w:rsidR="00D72898" w14:paraId="0B3B6FAA" w14:textId="77777777" w:rsidTr="00A16E62">
        <w:trPr>
          <w:trHeight w:val="397"/>
          <w:jc w:val="center"/>
        </w:trPr>
        <w:tc>
          <w:tcPr>
            <w:tcW w:w="3794" w:type="dxa"/>
            <w:tcBorders>
              <w:tl2br w:val="nil"/>
              <w:tr2bl w:val="nil"/>
            </w:tcBorders>
            <w:shd w:val="clear" w:color="auto" w:fill="auto"/>
            <w:vAlign w:val="center"/>
          </w:tcPr>
          <w:p w14:paraId="05DF337D" w14:textId="77777777" w:rsidR="00D72898" w:rsidRPr="002F441A" w:rsidRDefault="00864DC5">
            <w:pPr>
              <w:widowControl/>
              <w:jc w:val="center"/>
              <w:textAlignment w:val="top"/>
              <w:rPr>
                <w:rFonts w:ascii="宋体" w:hAnsi="宋体"/>
                <w:color w:val="000000"/>
                <w:kern w:val="0"/>
                <w:lang w:bidi="ar"/>
              </w:rPr>
            </w:pPr>
            <w:r w:rsidRPr="002F441A">
              <w:rPr>
                <w:rFonts w:ascii="宋体" w:hAnsi="宋体"/>
                <w:color w:val="000000"/>
                <w:kern w:val="0"/>
                <w:lang w:bidi="ar"/>
              </w:rPr>
              <w:t>归属于上市公司股东的净利润（万元）</w:t>
            </w:r>
          </w:p>
        </w:tc>
        <w:tc>
          <w:tcPr>
            <w:tcW w:w="1701" w:type="dxa"/>
            <w:tcBorders>
              <w:tl2br w:val="nil"/>
              <w:tr2bl w:val="nil"/>
            </w:tcBorders>
            <w:shd w:val="clear" w:color="auto" w:fill="auto"/>
            <w:vAlign w:val="center"/>
          </w:tcPr>
          <w:p w14:paraId="5EC6E7CC"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16,963.60</w:t>
            </w:r>
          </w:p>
        </w:tc>
        <w:tc>
          <w:tcPr>
            <w:tcW w:w="3118" w:type="dxa"/>
            <w:gridSpan w:val="2"/>
            <w:tcBorders>
              <w:tl2br w:val="nil"/>
              <w:tr2bl w:val="nil"/>
            </w:tcBorders>
            <w:shd w:val="clear" w:color="auto" w:fill="auto"/>
            <w:vAlign w:val="center"/>
          </w:tcPr>
          <w:p w14:paraId="0FB76F74"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16,963.60</w:t>
            </w:r>
          </w:p>
        </w:tc>
      </w:tr>
      <w:tr w:rsidR="00D72898" w14:paraId="54BB7561" w14:textId="77777777" w:rsidTr="00A16E62">
        <w:trPr>
          <w:trHeight w:val="397"/>
          <w:jc w:val="center"/>
        </w:trPr>
        <w:tc>
          <w:tcPr>
            <w:tcW w:w="3794" w:type="dxa"/>
            <w:tcBorders>
              <w:tl2br w:val="nil"/>
              <w:tr2bl w:val="nil"/>
            </w:tcBorders>
            <w:shd w:val="clear" w:color="auto" w:fill="auto"/>
            <w:vAlign w:val="center"/>
          </w:tcPr>
          <w:p w14:paraId="02377AEB" w14:textId="77777777" w:rsidR="00D72898" w:rsidRPr="002F441A" w:rsidRDefault="00864DC5">
            <w:pPr>
              <w:widowControl/>
              <w:jc w:val="center"/>
              <w:textAlignment w:val="top"/>
              <w:rPr>
                <w:rFonts w:ascii="宋体" w:hAnsi="宋体"/>
                <w:color w:val="000000"/>
                <w:kern w:val="0"/>
                <w:lang w:bidi="ar"/>
              </w:rPr>
            </w:pPr>
            <w:r w:rsidRPr="002F441A">
              <w:rPr>
                <w:rFonts w:ascii="宋体" w:hAnsi="宋体"/>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257338A7"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16,970.04</w:t>
            </w:r>
          </w:p>
        </w:tc>
        <w:tc>
          <w:tcPr>
            <w:tcW w:w="3118" w:type="dxa"/>
            <w:gridSpan w:val="2"/>
            <w:tcBorders>
              <w:tl2br w:val="nil"/>
              <w:tr2bl w:val="nil"/>
            </w:tcBorders>
            <w:shd w:val="clear" w:color="auto" w:fill="auto"/>
            <w:vAlign w:val="center"/>
          </w:tcPr>
          <w:p w14:paraId="505129BF"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16,970.04</w:t>
            </w:r>
          </w:p>
        </w:tc>
      </w:tr>
      <w:tr w:rsidR="004E21D7" w14:paraId="10DF8ACB" w14:textId="77777777" w:rsidTr="00A16E62">
        <w:trPr>
          <w:trHeight w:val="397"/>
          <w:jc w:val="center"/>
        </w:trPr>
        <w:tc>
          <w:tcPr>
            <w:tcW w:w="3794" w:type="dxa"/>
            <w:tcBorders>
              <w:tl2br w:val="nil"/>
              <w:tr2bl w:val="nil"/>
            </w:tcBorders>
            <w:shd w:val="clear" w:color="auto" w:fill="auto"/>
            <w:vAlign w:val="center"/>
          </w:tcPr>
          <w:p w14:paraId="3692E0C8" w14:textId="77777777" w:rsidR="004E21D7" w:rsidRPr="002F441A" w:rsidRDefault="004E21D7">
            <w:pPr>
              <w:widowControl/>
              <w:jc w:val="center"/>
              <w:textAlignment w:val="top"/>
              <w:rPr>
                <w:rFonts w:ascii="宋体" w:hAnsi="宋体"/>
                <w:color w:val="000000"/>
              </w:rPr>
            </w:pPr>
            <w:r w:rsidRPr="002F441A">
              <w:rPr>
                <w:rFonts w:ascii="宋体" w:hAnsi="宋体"/>
                <w:color w:val="000000"/>
              </w:rPr>
              <w:t>基本每股收益（元）</w:t>
            </w:r>
          </w:p>
        </w:tc>
        <w:tc>
          <w:tcPr>
            <w:tcW w:w="1701" w:type="dxa"/>
            <w:tcBorders>
              <w:tl2br w:val="nil"/>
              <w:tr2bl w:val="nil"/>
            </w:tcBorders>
            <w:shd w:val="clear" w:color="auto" w:fill="auto"/>
            <w:vAlign w:val="center"/>
          </w:tcPr>
          <w:p w14:paraId="3BC62AA1"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3C5E3163"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417" w:type="dxa"/>
            <w:tcBorders>
              <w:tl2br w:val="nil"/>
              <w:tr2bl w:val="nil"/>
            </w:tcBorders>
            <w:shd w:val="clear" w:color="auto" w:fill="auto"/>
            <w:vAlign w:val="center"/>
          </w:tcPr>
          <w:p w14:paraId="04998713" w14:textId="71BCD3CA" w:rsidR="004E21D7" w:rsidRPr="002F441A" w:rsidRDefault="004E21D7" w:rsidP="004E21D7">
            <w:pPr>
              <w:widowControl/>
              <w:jc w:val="right"/>
              <w:textAlignment w:val="top"/>
              <w:rPr>
                <w:rFonts w:ascii="宋体" w:hAnsi="宋体"/>
                <w:color w:val="000000"/>
              </w:rPr>
            </w:pPr>
            <w:r w:rsidRPr="002F441A">
              <w:rPr>
                <w:rFonts w:ascii="宋体" w:hAnsi="宋体"/>
                <w:color w:val="000000"/>
              </w:rPr>
              <w:t>0.2164</w:t>
            </w:r>
          </w:p>
        </w:tc>
      </w:tr>
      <w:tr w:rsidR="004E21D7" w14:paraId="1F9ED76B" w14:textId="77777777" w:rsidTr="00A16E62">
        <w:trPr>
          <w:trHeight w:val="397"/>
          <w:jc w:val="center"/>
        </w:trPr>
        <w:tc>
          <w:tcPr>
            <w:tcW w:w="3794" w:type="dxa"/>
            <w:tcBorders>
              <w:tl2br w:val="nil"/>
              <w:tr2bl w:val="nil"/>
            </w:tcBorders>
            <w:shd w:val="clear" w:color="auto" w:fill="auto"/>
            <w:vAlign w:val="center"/>
          </w:tcPr>
          <w:p w14:paraId="6ADC4BA2" w14:textId="77777777" w:rsidR="004E21D7" w:rsidRPr="002F441A" w:rsidRDefault="004E21D7">
            <w:pPr>
              <w:widowControl/>
              <w:jc w:val="center"/>
              <w:textAlignment w:val="top"/>
              <w:rPr>
                <w:rFonts w:ascii="宋体" w:hAnsi="宋体"/>
                <w:color w:val="000000"/>
              </w:rPr>
            </w:pPr>
            <w:r w:rsidRPr="002F441A">
              <w:rPr>
                <w:rFonts w:ascii="宋体" w:hAnsi="宋体"/>
                <w:color w:val="000000"/>
              </w:rPr>
              <w:t>稀释每股收益（元）</w:t>
            </w:r>
          </w:p>
        </w:tc>
        <w:tc>
          <w:tcPr>
            <w:tcW w:w="1701" w:type="dxa"/>
            <w:tcBorders>
              <w:tl2br w:val="nil"/>
              <w:tr2bl w:val="nil"/>
            </w:tcBorders>
            <w:shd w:val="clear" w:color="auto" w:fill="auto"/>
            <w:vAlign w:val="center"/>
          </w:tcPr>
          <w:p w14:paraId="204E8768"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7FAD5680"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417" w:type="dxa"/>
            <w:tcBorders>
              <w:tl2br w:val="nil"/>
              <w:tr2bl w:val="nil"/>
            </w:tcBorders>
            <w:shd w:val="clear" w:color="auto" w:fill="auto"/>
            <w:vAlign w:val="center"/>
          </w:tcPr>
          <w:p w14:paraId="37DC75C5" w14:textId="049E50CC" w:rsidR="004E21D7" w:rsidRPr="002F441A" w:rsidRDefault="004E21D7" w:rsidP="004E21D7">
            <w:pPr>
              <w:widowControl/>
              <w:jc w:val="right"/>
              <w:textAlignment w:val="top"/>
              <w:rPr>
                <w:rFonts w:ascii="宋体" w:hAnsi="宋体"/>
                <w:color w:val="000000"/>
              </w:rPr>
            </w:pPr>
            <w:r w:rsidRPr="002F441A">
              <w:rPr>
                <w:rFonts w:ascii="宋体" w:hAnsi="宋体"/>
                <w:color w:val="000000"/>
              </w:rPr>
              <w:t>0.2164</w:t>
            </w:r>
          </w:p>
        </w:tc>
      </w:tr>
      <w:tr w:rsidR="004E21D7" w14:paraId="4EFEB883" w14:textId="77777777" w:rsidTr="00A16E62">
        <w:trPr>
          <w:trHeight w:val="397"/>
          <w:jc w:val="center"/>
        </w:trPr>
        <w:tc>
          <w:tcPr>
            <w:tcW w:w="3794" w:type="dxa"/>
            <w:tcBorders>
              <w:tl2br w:val="nil"/>
              <w:tr2bl w:val="nil"/>
            </w:tcBorders>
            <w:shd w:val="clear" w:color="auto" w:fill="auto"/>
            <w:vAlign w:val="center"/>
          </w:tcPr>
          <w:p w14:paraId="2BBAD6F9" w14:textId="77777777" w:rsidR="004E21D7" w:rsidRPr="002F441A" w:rsidRDefault="004E21D7">
            <w:pPr>
              <w:widowControl/>
              <w:jc w:val="center"/>
              <w:textAlignment w:val="top"/>
              <w:rPr>
                <w:rFonts w:ascii="宋体" w:hAnsi="宋体"/>
                <w:color w:val="000000"/>
              </w:rPr>
            </w:pPr>
            <w:r w:rsidRPr="002F441A">
              <w:rPr>
                <w:rFonts w:ascii="宋体" w:hAnsi="宋体"/>
                <w:color w:val="000000"/>
              </w:rPr>
              <w:lastRenderedPageBreak/>
              <w:t>扣除非经常性损益后基本每股收益（元）</w:t>
            </w:r>
          </w:p>
        </w:tc>
        <w:tc>
          <w:tcPr>
            <w:tcW w:w="1701" w:type="dxa"/>
            <w:tcBorders>
              <w:tl2br w:val="nil"/>
              <w:tr2bl w:val="nil"/>
            </w:tcBorders>
            <w:shd w:val="clear" w:color="auto" w:fill="auto"/>
            <w:vAlign w:val="center"/>
          </w:tcPr>
          <w:p w14:paraId="39D5E3A7"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5D8B454C"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417" w:type="dxa"/>
            <w:tcBorders>
              <w:tl2br w:val="nil"/>
              <w:tr2bl w:val="nil"/>
            </w:tcBorders>
            <w:shd w:val="clear" w:color="auto" w:fill="auto"/>
            <w:vAlign w:val="center"/>
          </w:tcPr>
          <w:p w14:paraId="42EE6753" w14:textId="1753AEB8" w:rsidR="004E21D7" w:rsidRPr="002F441A" w:rsidRDefault="004E21D7" w:rsidP="004E21D7">
            <w:pPr>
              <w:widowControl/>
              <w:jc w:val="right"/>
              <w:textAlignment w:val="top"/>
              <w:rPr>
                <w:rFonts w:ascii="宋体" w:hAnsi="宋体"/>
                <w:color w:val="000000"/>
              </w:rPr>
            </w:pPr>
            <w:r w:rsidRPr="002F441A">
              <w:rPr>
                <w:rFonts w:ascii="宋体" w:hAnsi="宋体"/>
                <w:color w:val="000000"/>
              </w:rPr>
              <w:t>0.2165</w:t>
            </w:r>
          </w:p>
        </w:tc>
      </w:tr>
      <w:tr w:rsidR="004E21D7" w14:paraId="597E54C1" w14:textId="77777777" w:rsidTr="00A16E62">
        <w:trPr>
          <w:trHeight w:val="397"/>
          <w:jc w:val="center"/>
        </w:trPr>
        <w:tc>
          <w:tcPr>
            <w:tcW w:w="3794" w:type="dxa"/>
            <w:tcBorders>
              <w:tl2br w:val="nil"/>
              <w:tr2bl w:val="nil"/>
            </w:tcBorders>
            <w:shd w:val="clear" w:color="auto" w:fill="auto"/>
            <w:vAlign w:val="center"/>
          </w:tcPr>
          <w:p w14:paraId="1CF95FDF" w14:textId="77777777" w:rsidR="004E21D7" w:rsidRPr="002F441A" w:rsidRDefault="004E21D7">
            <w:pPr>
              <w:widowControl/>
              <w:jc w:val="center"/>
              <w:textAlignment w:val="top"/>
              <w:rPr>
                <w:rFonts w:ascii="宋体" w:hAnsi="宋体"/>
                <w:color w:val="000000"/>
              </w:rPr>
            </w:pPr>
            <w:r w:rsidRPr="002F441A">
              <w:rPr>
                <w:rFonts w:ascii="宋体" w:hAnsi="宋体"/>
                <w:color w:val="000000"/>
              </w:rPr>
              <w:t>扣除非经常性损益后稀释每股收益（元）</w:t>
            </w:r>
          </w:p>
        </w:tc>
        <w:tc>
          <w:tcPr>
            <w:tcW w:w="1701" w:type="dxa"/>
            <w:tcBorders>
              <w:tl2br w:val="nil"/>
              <w:tr2bl w:val="nil"/>
            </w:tcBorders>
            <w:shd w:val="clear" w:color="auto" w:fill="auto"/>
            <w:vAlign w:val="center"/>
          </w:tcPr>
          <w:p w14:paraId="25DF9F2B"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0EE9EE18" w14:textId="77777777" w:rsidR="004E21D7" w:rsidRPr="002F441A" w:rsidRDefault="004E21D7"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417" w:type="dxa"/>
            <w:tcBorders>
              <w:tl2br w:val="nil"/>
              <w:tr2bl w:val="nil"/>
            </w:tcBorders>
            <w:shd w:val="clear" w:color="auto" w:fill="auto"/>
            <w:vAlign w:val="center"/>
          </w:tcPr>
          <w:p w14:paraId="3F5FCE68" w14:textId="5EE05518" w:rsidR="004E21D7" w:rsidRPr="002F441A" w:rsidRDefault="004E21D7" w:rsidP="004E21D7">
            <w:pPr>
              <w:widowControl/>
              <w:jc w:val="right"/>
              <w:textAlignment w:val="top"/>
              <w:rPr>
                <w:rFonts w:ascii="宋体" w:hAnsi="宋体"/>
                <w:color w:val="000000"/>
              </w:rPr>
            </w:pPr>
            <w:r w:rsidRPr="002F441A">
              <w:rPr>
                <w:rFonts w:ascii="宋体" w:hAnsi="宋体"/>
                <w:color w:val="000000"/>
              </w:rPr>
              <w:t>0.2165</w:t>
            </w:r>
          </w:p>
        </w:tc>
      </w:tr>
      <w:tr w:rsidR="00D72898" w14:paraId="639027A0" w14:textId="77777777" w:rsidTr="00A16E62">
        <w:trPr>
          <w:trHeight w:val="397"/>
          <w:jc w:val="center"/>
        </w:trPr>
        <w:tc>
          <w:tcPr>
            <w:tcW w:w="8613" w:type="dxa"/>
            <w:gridSpan w:val="4"/>
            <w:tcBorders>
              <w:tl2br w:val="nil"/>
              <w:tr2bl w:val="nil"/>
            </w:tcBorders>
            <w:shd w:val="clear" w:color="auto" w:fill="auto"/>
            <w:vAlign w:val="center"/>
          </w:tcPr>
          <w:p w14:paraId="5E865C4F"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2、2023年度较2022年度增长10%</w:t>
            </w:r>
          </w:p>
        </w:tc>
      </w:tr>
      <w:tr w:rsidR="00D72898" w14:paraId="7FB3A3F8" w14:textId="77777777" w:rsidTr="00A16E62">
        <w:trPr>
          <w:trHeight w:val="397"/>
          <w:jc w:val="center"/>
        </w:trPr>
        <w:tc>
          <w:tcPr>
            <w:tcW w:w="3794" w:type="dxa"/>
            <w:tcBorders>
              <w:tl2br w:val="nil"/>
              <w:tr2bl w:val="nil"/>
            </w:tcBorders>
            <w:shd w:val="clear" w:color="auto" w:fill="auto"/>
            <w:vAlign w:val="center"/>
          </w:tcPr>
          <w:p w14:paraId="2C4D18AA" w14:textId="77777777" w:rsidR="00D72898" w:rsidRPr="002F441A" w:rsidRDefault="00864DC5">
            <w:pPr>
              <w:widowControl/>
              <w:jc w:val="center"/>
              <w:textAlignment w:val="top"/>
              <w:rPr>
                <w:rFonts w:ascii="宋体" w:hAnsi="宋体"/>
                <w:color w:val="000000"/>
              </w:rPr>
            </w:pPr>
            <w:r w:rsidRPr="002F441A">
              <w:rPr>
                <w:rFonts w:ascii="宋体" w:hAnsi="宋体"/>
                <w:color w:val="000000"/>
                <w:kern w:val="0"/>
                <w:lang w:bidi="ar"/>
              </w:rPr>
              <w:t>归属于上市公司股东的净利润（万元）</w:t>
            </w:r>
          </w:p>
        </w:tc>
        <w:tc>
          <w:tcPr>
            <w:tcW w:w="1701" w:type="dxa"/>
            <w:tcBorders>
              <w:tl2br w:val="nil"/>
              <w:tr2bl w:val="nil"/>
            </w:tcBorders>
            <w:shd w:val="clear" w:color="auto" w:fill="auto"/>
            <w:vAlign w:val="center"/>
          </w:tcPr>
          <w:p w14:paraId="24B80F0C"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16,963.60</w:t>
            </w:r>
          </w:p>
        </w:tc>
        <w:tc>
          <w:tcPr>
            <w:tcW w:w="3118" w:type="dxa"/>
            <w:gridSpan w:val="2"/>
            <w:tcBorders>
              <w:tl2br w:val="nil"/>
              <w:tr2bl w:val="nil"/>
            </w:tcBorders>
            <w:shd w:val="clear" w:color="auto" w:fill="auto"/>
            <w:vAlign w:val="center"/>
          </w:tcPr>
          <w:p w14:paraId="4425F84E"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18,659.96</w:t>
            </w:r>
          </w:p>
        </w:tc>
      </w:tr>
      <w:tr w:rsidR="00D72898" w14:paraId="37FCD539" w14:textId="77777777" w:rsidTr="00A16E62">
        <w:trPr>
          <w:trHeight w:val="397"/>
          <w:jc w:val="center"/>
        </w:trPr>
        <w:tc>
          <w:tcPr>
            <w:tcW w:w="3794" w:type="dxa"/>
            <w:tcBorders>
              <w:tl2br w:val="nil"/>
              <w:tr2bl w:val="nil"/>
            </w:tcBorders>
            <w:shd w:val="clear" w:color="auto" w:fill="auto"/>
            <w:vAlign w:val="center"/>
          </w:tcPr>
          <w:p w14:paraId="29A666EB" w14:textId="77777777" w:rsidR="00D72898" w:rsidRPr="002F441A" w:rsidRDefault="00864DC5">
            <w:pPr>
              <w:widowControl/>
              <w:jc w:val="center"/>
              <w:textAlignment w:val="top"/>
              <w:rPr>
                <w:rFonts w:ascii="宋体" w:hAnsi="宋体"/>
                <w:color w:val="000000"/>
              </w:rPr>
            </w:pPr>
            <w:r w:rsidRPr="002F441A">
              <w:rPr>
                <w:rFonts w:ascii="宋体" w:hAnsi="宋体"/>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6FC708BB"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16,970.04</w:t>
            </w:r>
          </w:p>
        </w:tc>
        <w:tc>
          <w:tcPr>
            <w:tcW w:w="3118" w:type="dxa"/>
            <w:gridSpan w:val="2"/>
            <w:tcBorders>
              <w:tl2br w:val="nil"/>
              <w:tr2bl w:val="nil"/>
            </w:tcBorders>
            <w:shd w:val="clear" w:color="auto" w:fill="auto"/>
            <w:vAlign w:val="center"/>
          </w:tcPr>
          <w:p w14:paraId="41A6D316"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18,667.04</w:t>
            </w:r>
          </w:p>
        </w:tc>
      </w:tr>
      <w:tr w:rsidR="00D72898" w14:paraId="419BB19C" w14:textId="77777777" w:rsidTr="00A16E62">
        <w:trPr>
          <w:trHeight w:val="397"/>
          <w:jc w:val="center"/>
        </w:trPr>
        <w:tc>
          <w:tcPr>
            <w:tcW w:w="3794" w:type="dxa"/>
            <w:tcBorders>
              <w:tl2br w:val="nil"/>
              <w:tr2bl w:val="nil"/>
            </w:tcBorders>
            <w:shd w:val="clear" w:color="auto" w:fill="auto"/>
            <w:vAlign w:val="center"/>
          </w:tcPr>
          <w:p w14:paraId="798CCA90"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基本每股收益（元）</w:t>
            </w:r>
          </w:p>
        </w:tc>
        <w:tc>
          <w:tcPr>
            <w:tcW w:w="1701" w:type="dxa"/>
            <w:tcBorders>
              <w:tl2br w:val="nil"/>
              <w:tr2bl w:val="nil"/>
            </w:tcBorders>
            <w:shd w:val="clear" w:color="auto" w:fill="auto"/>
            <w:vAlign w:val="center"/>
          </w:tcPr>
          <w:p w14:paraId="2943F4DE"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2F15BA8C"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.3015</w:t>
            </w:r>
          </w:p>
        </w:tc>
        <w:tc>
          <w:tcPr>
            <w:tcW w:w="1417" w:type="dxa"/>
            <w:tcBorders>
              <w:tl2br w:val="nil"/>
              <w:tr2bl w:val="nil"/>
            </w:tcBorders>
            <w:shd w:val="clear" w:color="auto" w:fill="auto"/>
            <w:vAlign w:val="center"/>
          </w:tcPr>
          <w:p w14:paraId="6FA254CA"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.2380</w:t>
            </w:r>
          </w:p>
        </w:tc>
      </w:tr>
      <w:tr w:rsidR="00D72898" w14:paraId="2360F22F" w14:textId="77777777" w:rsidTr="00A16E62">
        <w:trPr>
          <w:trHeight w:val="397"/>
          <w:jc w:val="center"/>
        </w:trPr>
        <w:tc>
          <w:tcPr>
            <w:tcW w:w="3794" w:type="dxa"/>
            <w:tcBorders>
              <w:tl2br w:val="nil"/>
              <w:tr2bl w:val="nil"/>
            </w:tcBorders>
            <w:shd w:val="clear" w:color="auto" w:fill="auto"/>
            <w:vAlign w:val="center"/>
          </w:tcPr>
          <w:p w14:paraId="0CF97AA0"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稀释每股收益（元）</w:t>
            </w:r>
          </w:p>
        </w:tc>
        <w:tc>
          <w:tcPr>
            <w:tcW w:w="1701" w:type="dxa"/>
            <w:tcBorders>
              <w:tl2br w:val="nil"/>
              <w:tr2bl w:val="nil"/>
            </w:tcBorders>
            <w:shd w:val="clear" w:color="auto" w:fill="auto"/>
            <w:vAlign w:val="center"/>
          </w:tcPr>
          <w:p w14:paraId="59E21481"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51398489"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.3015</w:t>
            </w:r>
          </w:p>
        </w:tc>
        <w:tc>
          <w:tcPr>
            <w:tcW w:w="1417" w:type="dxa"/>
            <w:tcBorders>
              <w:tl2br w:val="nil"/>
              <w:tr2bl w:val="nil"/>
            </w:tcBorders>
            <w:shd w:val="clear" w:color="auto" w:fill="auto"/>
            <w:vAlign w:val="center"/>
          </w:tcPr>
          <w:p w14:paraId="269E5649"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.2380</w:t>
            </w:r>
          </w:p>
        </w:tc>
      </w:tr>
      <w:tr w:rsidR="00D72898" w14:paraId="349EE5DF" w14:textId="77777777" w:rsidTr="00A16E62">
        <w:trPr>
          <w:trHeight w:val="397"/>
          <w:jc w:val="center"/>
        </w:trPr>
        <w:tc>
          <w:tcPr>
            <w:tcW w:w="3794" w:type="dxa"/>
            <w:tcBorders>
              <w:tl2br w:val="nil"/>
              <w:tr2bl w:val="nil"/>
            </w:tcBorders>
            <w:shd w:val="clear" w:color="auto" w:fill="auto"/>
            <w:vAlign w:val="center"/>
          </w:tcPr>
          <w:p w14:paraId="5937A95F"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扣除非经常性损益后基本每股收益（元）</w:t>
            </w:r>
          </w:p>
        </w:tc>
        <w:tc>
          <w:tcPr>
            <w:tcW w:w="1701" w:type="dxa"/>
            <w:tcBorders>
              <w:tl2br w:val="nil"/>
              <w:tr2bl w:val="nil"/>
            </w:tcBorders>
            <w:shd w:val="clear" w:color="auto" w:fill="auto"/>
            <w:vAlign w:val="center"/>
          </w:tcPr>
          <w:p w14:paraId="47699979"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39318961"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.3016</w:t>
            </w:r>
          </w:p>
        </w:tc>
        <w:tc>
          <w:tcPr>
            <w:tcW w:w="1417" w:type="dxa"/>
            <w:tcBorders>
              <w:tl2br w:val="nil"/>
              <w:tr2bl w:val="nil"/>
            </w:tcBorders>
            <w:shd w:val="clear" w:color="auto" w:fill="auto"/>
            <w:vAlign w:val="center"/>
          </w:tcPr>
          <w:p w14:paraId="3C702096"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.2381</w:t>
            </w:r>
          </w:p>
        </w:tc>
      </w:tr>
      <w:tr w:rsidR="00D72898" w14:paraId="61A022E7" w14:textId="77777777" w:rsidTr="00A16E62">
        <w:trPr>
          <w:trHeight w:val="397"/>
          <w:jc w:val="center"/>
        </w:trPr>
        <w:tc>
          <w:tcPr>
            <w:tcW w:w="3794" w:type="dxa"/>
            <w:tcBorders>
              <w:tl2br w:val="nil"/>
              <w:tr2bl w:val="nil"/>
            </w:tcBorders>
            <w:shd w:val="clear" w:color="auto" w:fill="auto"/>
            <w:vAlign w:val="center"/>
          </w:tcPr>
          <w:p w14:paraId="4EE56B83"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扣除非经常性损益后稀释每股收益（元）</w:t>
            </w:r>
          </w:p>
        </w:tc>
        <w:tc>
          <w:tcPr>
            <w:tcW w:w="1701" w:type="dxa"/>
            <w:tcBorders>
              <w:tl2br w:val="nil"/>
              <w:tr2bl w:val="nil"/>
            </w:tcBorders>
            <w:shd w:val="clear" w:color="auto" w:fill="auto"/>
            <w:vAlign w:val="center"/>
          </w:tcPr>
          <w:p w14:paraId="525A4FB7"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6DB0F220"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.3016</w:t>
            </w:r>
          </w:p>
        </w:tc>
        <w:tc>
          <w:tcPr>
            <w:tcW w:w="1417" w:type="dxa"/>
            <w:tcBorders>
              <w:tl2br w:val="nil"/>
              <w:tr2bl w:val="nil"/>
            </w:tcBorders>
            <w:shd w:val="clear" w:color="auto" w:fill="auto"/>
            <w:vAlign w:val="center"/>
          </w:tcPr>
          <w:p w14:paraId="38459CE1"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.2381</w:t>
            </w:r>
          </w:p>
        </w:tc>
      </w:tr>
      <w:tr w:rsidR="00D72898" w14:paraId="459BE900" w14:textId="77777777" w:rsidTr="00A16E62">
        <w:trPr>
          <w:trHeight w:val="397"/>
          <w:jc w:val="center"/>
        </w:trPr>
        <w:tc>
          <w:tcPr>
            <w:tcW w:w="8613" w:type="dxa"/>
            <w:gridSpan w:val="4"/>
            <w:tcBorders>
              <w:tl2br w:val="nil"/>
              <w:tr2bl w:val="nil"/>
            </w:tcBorders>
            <w:shd w:val="clear" w:color="auto" w:fill="auto"/>
            <w:vAlign w:val="center"/>
          </w:tcPr>
          <w:p w14:paraId="5767D67A" w14:textId="77777777" w:rsidR="00D72898" w:rsidRPr="002F441A" w:rsidRDefault="00864DC5">
            <w:pPr>
              <w:widowControl/>
              <w:jc w:val="center"/>
              <w:textAlignment w:val="top"/>
              <w:rPr>
                <w:rFonts w:ascii="宋体" w:hAnsi="宋体"/>
                <w:b/>
                <w:bCs/>
                <w:color w:val="000000"/>
              </w:rPr>
            </w:pPr>
            <w:r w:rsidRPr="002F441A">
              <w:rPr>
                <w:rFonts w:ascii="宋体" w:hAnsi="宋体"/>
                <w:b/>
                <w:bCs/>
                <w:color w:val="000000"/>
                <w:kern w:val="0"/>
                <w:lang w:bidi="ar"/>
              </w:rPr>
              <w:t>3、2023年度较2022年度增长20%</w:t>
            </w:r>
          </w:p>
        </w:tc>
      </w:tr>
      <w:tr w:rsidR="00D72898" w14:paraId="2B8A14DD" w14:textId="77777777" w:rsidTr="00A16E62">
        <w:trPr>
          <w:trHeight w:val="397"/>
          <w:jc w:val="center"/>
        </w:trPr>
        <w:tc>
          <w:tcPr>
            <w:tcW w:w="3794" w:type="dxa"/>
            <w:tcBorders>
              <w:tl2br w:val="nil"/>
              <w:tr2bl w:val="nil"/>
            </w:tcBorders>
            <w:shd w:val="clear" w:color="auto" w:fill="auto"/>
            <w:vAlign w:val="center"/>
          </w:tcPr>
          <w:p w14:paraId="0946874F" w14:textId="77777777" w:rsidR="00D72898" w:rsidRPr="002F441A" w:rsidRDefault="00864DC5">
            <w:pPr>
              <w:widowControl/>
              <w:jc w:val="center"/>
              <w:textAlignment w:val="top"/>
              <w:rPr>
                <w:rFonts w:ascii="宋体" w:hAnsi="宋体"/>
                <w:color w:val="000000"/>
              </w:rPr>
            </w:pPr>
            <w:r w:rsidRPr="002F441A">
              <w:rPr>
                <w:rFonts w:ascii="宋体" w:hAnsi="宋体"/>
                <w:color w:val="000000"/>
                <w:kern w:val="0"/>
                <w:lang w:bidi="ar"/>
              </w:rPr>
              <w:t>归属于上市公司股东的净利润（万元）</w:t>
            </w:r>
          </w:p>
        </w:tc>
        <w:tc>
          <w:tcPr>
            <w:tcW w:w="1701" w:type="dxa"/>
            <w:tcBorders>
              <w:tl2br w:val="nil"/>
              <w:tr2bl w:val="nil"/>
            </w:tcBorders>
            <w:shd w:val="clear" w:color="auto" w:fill="auto"/>
            <w:vAlign w:val="center"/>
          </w:tcPr>
          <w:p w14:paraId="71C1A129"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16,963.60</w:t>
            </w:r>
          </w:p>
        </w:tc>
        <w:tc>
          <w:tcPr>
            <w:tcW w:w="3118" w:type="dxa"/>
            <w:gridSpan w:val="2"/>
            <w:tcBorders>
              <w:tl2br w:val="nil"/>
              <w:tr2bl w:val="nil"/>
            </w:tcBorders>
            <w:shd w:val="clear" w:color="auto" w:fill="auto"/>
            <w:vAlign w:val="center"/>
          </w:tcPr>
          <w:p w14:paraId="2C509C54"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20,356.32</w:t>
            </w:r>
          </w:p>
        </w:tc>
      </w:tr>
      <w:tr w:rsidR="00D72898" w14:paraId="678CD0F6" w14:textId="77777777" w:rsidTr="00A16E62">
        <w:trPr>
          <w:trHeight w:val="397"/>
          <w:jc w:val="center"/>
        </w:trPr>
        <w:tc>
          <w:tcPr>
            <w:tcW w:w="3794" w:type="dxa"/>
            <w:tcBorders>
              <w:tl2br w:val="nil"/>
              <w:tr2bl w:val="nil"/>
            </w:tcBorders>
            <w:shd w:val="clear" w:color="auto" w:fill="auto"/>
            <w:vAlign w:val="center"/>
          </w:tcPr>
          <w:p w14:paraId="6B4F2DA9" w14:textId="77777777" w:rsidR="00D72898" w:rsidRPr="002F441A" w:rsidRDefault="00864DC5">
            <w:pPr>
              <w:widowControl/>
              <w:jc w:val="center"/>
              <w:textAlignment w:val="top"/>
              <w:rPr>
                <w:rFonts w:ascii="宋体" w:hAnsi="宋体"/>
                <w:color w:val="000000"/>
              </w:rPr>
            </w:pPr>
            <w:r w:rsidRPr="002F441A">
              <w:rPr>
                <w:rFonts w:ascii="宋体" w:hAnsi="宋体"/>
                <w:color w:val="000000"/>
                <w:kern w:val="0"/>
                <w:lang w:bidi="ar"/>
              </w:rPr>
              <w:t>扣除非经常性损益后归属于上市公司股东的净利润（万元）</w:t>
            </w:r>
          </w:p>
        </w:tc>
        <w:tc>
          <w:tcPr>
            <w:tcW w:w="1701" w:type="dxa"/>
            <w:tcBorders>
              <w:tl2br w:val="nil"/>
              <w:tr2bl w:val="nil"/>
            </w:tcBorders>
            <w:shd w:val="clear" w:color="auto" w:fill="auto"/>
            <w:vAlign w:val="center"/>
          </w:tcPr>
          <w:p w14:paraId="5797A241"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16,970.04</w:t>
            </w:r>
          </w:p>
        </w:tc>
        <w:tc>
          <w:tcPr>
            <w:tcW w:w="3118" w:type="dxa"/>
            <w:gridSpan w:val="2"/>
            <w:tcBorders>
              <w:tl2br w:val="nil"/>
              <w:tr2bl w:val="nil"/>
            </w:tcBorders>
            <w:shd w:val="clear" w:color="auto" w:fill="auto"/>
            <w:vAlign w:val="center"/>
          </w:tcPr>
          <w:p w14:paraId="6F388D2C"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20,364.05</w:t>
            </w:r>
          </w:p>
        </w:tc>
      </w:tr>
      <w:tr w:rsidR="00D72898" w14:paraId="29C615BA" w14:textId="77777777" w:rsidTr="00A16E62">
        <w:trPr>
          <w:trHeight w:val="397"/>
          <w:jc w:val="center"/>
        </w:trPr>
        <w:tc>
          <w:tcPr>
            <w:tcW w:w="3794" w:type="dxa"/>
            <w:tcBorders>
              <w:tl2br w:val="nil"/>
              <w:tr2bl w:val="nil"/>
            </w:tcBorders>
            <w:shd w:val="clear" w:color="auto" w:fill="auto"/>
            <w:vAlign w:val="center"/>
          </w:tcPr>
          <w:p w14:paraId="20395080"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基本每股收益（元）</w:t>
            </w:r>
          </w:p>
        </w:tc>
        <w:tc>
          <w:tcPr>
            <w:tcW w:w="1701" w:type="dxa"/>
            <w:tcBorders>
              <w:tl2br w:val="nil"/>
              <w:tr2bl w:val="nil"/>
            </w:tcBorders>
            <w:shd w:val="clear" w:color="auto" w:fill="auto"/>
            <w:vAlign w:val="center"/>
          </w:tcPr>
          <w:p w14:paraId="51D1FDE3"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0005E0EF"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0.3289</w:t>
            </w:r>
          </w:p>
        </w:tc>
        <w:tc>
          <w:tcPr>
            <w:tcW w:w="1417" w:type="dxa"/>
            <w:tcBorders>
              <w:tl2br w:val="nil"/>
              <w:tr2bl w:val="nil"/>
            </w:tcBorders>
            <w:shd w:val="clear" w:color="auto" w:fill="auto"/>
            <w:vAlign w:val="center"/>
          </w:tcPr>
          <w:p w14:paraId="7C92E0C6"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0.2597</w:t>
            </w:r>
          </w:p>
        </w:tc>
      </w:tr>
      <w:tr w:rsidR="00D72898" w14:paraId="59173FC5" w14:textId="77777777" w:rsidTr="00A16E62">
        <w:trPr>
          <w:trHeight w:val="397"/>
          <w:jc w:val="center"/>
        </w:trPr>
        <w:tc>
          <w:tcPr>
            <w:tcW w:w="3794" w:type="dxa"/>
            <w:tcBorders>
              <w:tl2br w:val="nil"/>
              <w:tr2bl w:val="nil"/>
            </w:tcBorders>
            <w:shd w:val="clear" w:color="auto" w:fill="auto"/>
            <w:vAlign w:val="center"/>
          </w:tcPr>
          <w:p w14:paraId="2F3C4355"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稀释每股收益（元）</w:t>
            </w:r>
          </w:p>
        </w:tc>
        <w:tc>
          <w:tcPr>
            <w:tcW w:w="1701" w:type="dxa"/>
            <w:tcBorders>
              <w:tl2br w:val="nil"/>
              <w:tr2bl w:val="nil"/>
            </w:tcBorders>
            <w:shd w:val="clear" w:color="auto" w:fill="auto"/>
            <w:vAlign w:val="center"/>
          </w:tcPr>
          <w:p w14:paraId="35EFE7A6"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.2741</w:t>
            </w:r>
          </w:p>
        </w:tc>
        <w:tc>
          <w:tcPr>
            <w:tcW w:w="1701" w:type="dxa"/>
            <w:tcBorders>
              <w:tl2br w:val="nil"/>
              <w:tr2bl w:val="nil"/>
            </w:tcBorders>
            <w:shd w:val="clear" w:color="auto" w:fill="auto"/>
            <w:vAlign w:val="center"/>
          </w:tcPr>
          <w:p w14:paraId="4F96A7FE"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0.3289</w:t>
            </w:r>
          </w:p>
        </w:tc>
        <w:tc>
          <w:tcPr>
            <w:tcW w:w="1417" w:type="dxa"/>
            <w:tcBorders>
              <w:tl2br w:val="nil"/>
              <w:tr2bl w:val="nil"/>
            </w:tcBorders>
            <w:shd w:val="clear" w:color="auto" w:fill="auto"/>
            <w:vAlign w:val="center"/>
          </w:tcPr>
          <w:p w14:paraId="61B78932"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0.2597</w:t>
            </w:r>
          </w:p>
        </w:tc>
      </w:tr>
      <w:tr w:rsidR="00D72898" w14:paraId="705C3968" w14:textId="77777777" w:rsidTr="00A16E62">
        <w:trPr>
          <w:trHeight w:val="397"/>
          <w:jc w:val="center"/>
        </w:trPr>
        <w:tc>
          <w:tcPr>
            <w:tcW w:w="3794" w:type="dxa"/>
            <w:tcBorders>
              <w:tl2br w:val="nil"/>
              <w:tr2bl w:val="nil"/>
            </w:tcBorders>
            <w:shd w:val="clear" w:color="auto" w:fill="auto"/>
            <w:vAlign w:val="center"/>
          </w:tcPr>
          <w:p w14:paraId="6BF64507"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扣除非经常性损益后基本每股收益（元）</w:t>
            </w:r>
          </w:p>
        </w:tc>
        <w:tc>
          <w:tcPr>
            <w:tcW w:w="1701" w:type="dxa"/>
            <w:tcBorders>
              <w:tl2br w:val="nil"/>
              <w:tr2bl w:val="nil"/>
            </w:tcBorders>
            <w:shd w:val="clear" w:color="auto" w:fill="auto"/>
            <w:vAlign w:val="center"/>
          </w:tcPr>
          <w:p w14:paraId="61C2FCED"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106DF2C8"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0.3290</w:t>
            </w:r>
          </w:p>
        </w:tc>
        <w:tc>
          <w:tcPr>
            <w:tcW w:w="1417" w:type="dxa"/>
            <w:tcBorders>
              <w:tl2br w:val="nil"/>
              <w:tr2bl w:val="nil"/>
            </w:tcBorders>
            <w:shd w:val="clear" w:color="auto" w:fill="auto"/>
            <w:vAlign w:val="center"/>
          </w:tcPr>
          <w:p w14:paraId="65079E99"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0.2598</w:t>
            </w:r>
          </w:p>
        </w:tc>
      </w:tr>
      <w:tr w:rsidR="00D72898" w14:paraId="25F7C36D" w14:textId="77777777" w:rsidTr="00A16E62">
        <w:trPr>
          <w:trHeight w:val="397"/>
          <w:jc w:val="center"/>
        </w:trPr>
        <w:tc>
          <w:tcPr>
            <w:tcW w:w="3794" w:type="dxa"/>
            <w:tcBorders>
              <w:tl2br w:val="nil"/>
              <w:tr2bl w:val="nil"/>
            </w:tcBorders>
            <w:shd w:val="clear" w:color="auto" w:fill="auto"/>
            <w:vAlign w:val="center"/>
          </w:tcPr>
          <w:p w14:paraId="1D134537" w14:textId="77777777" w:rsidR="00D72898" w:rsidRPr="002F441A" w:rsidRDefault="00864DC5">
            <w:pPr>
              <w:widowControl/>
              <w:jc w:val="center"/>
              <w:textAlignment w:val="top"/>
              <w:rPr>
                <w:rFonts w:ascii="宋体" w:hAnsi="宋体"/>
                <w:color w:val="000000"/>
              </w:rPr>
            </w:pPr>
            <w:r w:rsidRPr="002F441A">
              <w:rPr>
                <w:rFonts w:ascii="宋体" w:hAnsi="宋体"/>
                <w:color w:val="000000"/>
              </w:rPr>
              <w:t>扣除非经常性损益后稀释每股收益（元）</w:t>
            </w:r>
          </w:p>
        </w:tc>
        <w:tc>
          <w:tcPr>
            <w:tcW w:w="1701" w:type="dxa"/>
            <w:tcBorders>
              <w:tl2br w:val="nil"/>
              <w:tr2bl w:val="nil"/>
            </w:tcBorders>
            <w:shd w:val="clear" w:color="auto" w:fill="auto"/>
            <w:vAlign w:val="center"/>
          </w:tcPr>
          <w:p w14:paraId="07532155" w14:textId="77777777" w:rsidR="00D72898" w:rsidRPr="002F441A" w:rsidRDefault="00864DC5" w:rsidP="004E21D7">
            <w:pPr>
              <w:widowControl/>
              <w:jc w:val="right"/>
              <w:textAlignment w:val="top"/>
              <w:rPr>
                <w:rFonts w:ascii="宋体" w:hAnsi="宋体"/>
                <w:color w:val="000000"/>
              </w:rPr>
            </w:pPr>
            <w:r w:rsidRPr="002F441A">
              <w:rPr>
                <w:rFonts w:ascii="宋体" w:hAnsi="宋体" w:hint="eastAsia"/>
                <w:color w:val="000000"/>
              </w:rPr>
              <w:t>0</w:t>
            </w:r>
            <w:r w:rsidRPr="002F441A">
              <w:rPr>
                <w:rFonts w:ascii="宋体" w:hAnsi="宋体"/>
                <w:color w:val="000000"/>
              </w:rPr>
              <w:t>.2742</w:t>
            </w:r>
          </w:p>
        </w:tc>
        <w:tc>
          <w:tcPr>
            <w:tcW w:w="1701" w:type="dxa"/>
            <w:tcBorders>
              <w:tl2br w:val="nil"/>
              <w:tr2bl w:val="nil"/>
            </w:tcBorders>
            <w:shd w:val="clear" w:color="auto" w:fill="auto"/>
            <w:vAlign w:val="center"/>
          </w:tcPr>
          <w:p w14:paraId="1B325EE5"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0.3290</w:t>
            </w:r>
          </w:p>
        </w:tc>
        <w:tc>
          <w:tcPr>
            <w:tcW w:w="1417" w:type="dxa"/>
            <w:tcBorders>
              <w:tl2br w:val="nil"/>
              <w:tr2bl w:val="nil"/>
            </w:tcBorders>
            <w:shd w:val="clear" w:color="auto" w:fill="auto"/>
            <w:vAlign w:val="center"/>
          </w:tcPr>
          <w:p w14:paraId="766F46B0" w14:textId="77777777" w:rsidR="00D72898" w:rsidRPr="002F441A" w:rsidRDefault="00864DC5" w:rsidP="004E21D7">
            <w:pPr>
              <w:widowControl/>
              <w:jc w:val="right"/>
              <w:textAlignment w:val="top"/>
              <w:rPr>
                <w:rFonts w:ascii="宋体" w:hAnsi="宋体"/>
                <w:color w:val="000000"/>
              </w:rPr>
            </w:pPr>
            <w:r w:rsidRPr="002F441A">
              <w:rPr>
                <w:rFonts w:ascii="宋体" w:hAnsi="宋体"/>
                <w:color w:val="000000"/>
              </w:rPr>
              <w:t>0.2598</w:t>
            </w:r>
          </w:p>
        </w:tc>
      </w:tr>
    </w:tbl>
    <w:p w14:paraId="2D10FF3F"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r>
        <w:rPr>
          <w:rFonts w:ascii="Times New Roman" w:hAnsi="Times New Roman"/>
          <w:b/>
          <w:bCs/>
          <w:sz w:val="24"/>
        </w:rPr>
        <w:t>二、本次非公开发行股票摊薄即期回报的风险提示</w:t>
      </w:r>
      <w:bookmarkEnd w:id="4"/>
      <w:bookmarkEnd w:id="5"/>
      <w:bookmarkEnd w:id="6"/>
    </w:p>
    <w:p w14:paraId="001CD4C7" w14:textId="77777777" w:rsidR="00D72898" w:rsidRDefault="00864DC5">
      <w:pPr>
        <w:autoSpaceDE w:val="0"/>
        <w:spacing w:beforeLines="50" w:before="156" w:line="360" w:lineRule="auto"/>
        <w:ind w:firstLineChars="200" w:firstLine="480"/>
        <w:rPr>
          <w:rFonts w:ascii="Times New Roman" w:hAnsi="Times New Roman"/>
          <w:sz w:val="24"/>
        </w:rPr>
      </w:pPr>
      <w:r>
        <w:rPr>
          <w:rFonts w:ascii="Times New Roman" w:hAnsi="Times New Roman"/>
          <w:sz w:val="24"/>
        </w:rPr>
        <w:t>本次非公开发行完成后，公司的总股本和净资产将有较大幅度增加，公司整体资本实力得以提升，短期内公司净利润可能无法与股本和净资产保持同步增长，根据上述测算，从而导致公司每股收益等指标相对以前年度将有所下降。公司存在本次非公开发行完成后每股收益被摊薄风险。</w:t>
      </w:r>
    </w:p>
    <w:p w14:paraId="6D1B954E" w14:textId="77777777" w:rsidR="00D72898" w:rsidRDefault="00864DC5">
      <w:pPr>
        <w:autoSpaceDE w:val="0"/>
        <w:spacing w:line="360" w:lineRule="auto"/>
        <w:ind w:firstLineChars="200" w:firstLine="480"/>
        <w:rPr>
          <w:rFonts w:ascii="Times New Roman" w:hAnsi="Times New Roman"/>
          <w:sz w:val="24"/>
        </w:rPr>
      </w:pPr>
      <w:r>
        <w:rPr>
          <w:rFonts w:ascii="Times New Roman" w:hAnsi="Times New Roman"/>
          <w:sz w:val="24"/>
        </w:rPr>
        <w:t>公司特此提醒投资者关注本次非公开发行可能摊薄即期回报的风险。</w:t>
      </w:r>
    </w:p>
    <w:p w14:paraId="563BC853"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bookmarkStart w:id="8" w:name="_Toc494412599"/>
      <w:bookmarkStart w:id="9" w:name="_Toc512526917"/>
      <w:bookmarkStart w:id="10" w:name="_Toc69244290"/>
      <w:r>
        <w:rPr>
          <w:rFonts w:ascii="Times New Roman" w:hAnsi="Times New Roman"/>
          <w:b/>
          <w:bCs/>
          <w:sz w:val="24"/>
        </w:rPr>
        <w:t>三、本次非公开发行的必要性和合理性</w:t>
      </w:r>
      <w:bookmarkEnd w:id="8"/>
      <w:bookmarkEnd w:id="9"/>
      <w:bookmarkEnd w:id="10"/>
    </w:p>
    <w:p w14:paraId="4E80EB19" w14:textId="30EC0920" w:rsidR="00D72898" w:rsidRDefault="00864DC5" w:rsidP="00617FE9">
      <w:pPr>
        <w:autoSpaceDE w:val="0"/>
        <w:spacing w:line="360" w:lineRule="auto"/>
        <w:ind w:firstLineChars="200" w:firstLine="480"/>
        <w:rPr>
          <w:rFonts w:ascii="Times New Roman" w:hAnsi="Times New Roman"/>
          <w:sz w:val="24"/>
        </w:rPr>
      </w:pPr>
      <w:bookmarkStart w:id="11" w:name="_Toc494412600"/>
      <w:r w:rsidRPr="00617FE9">
        <w:rPr>
          <w:rFonts w:ascii="Times New Roman" w:hAnsi="Times New Roman"/>
          <w:sz w:val="24"/>
        </w:rPr>
        <w:t>本次非公开发行募集资金用于</w:t>
      </w:r>
      <w:r w:rsidR="00617FE9" w:rsidRPr="00617FE9">
        <w:rPr>
          <w:rFonts w:hint="eastAsia"/>
          <w:sz w:val="24"/>
        </w:rPr>
        <w:t>拟用于凤台县凤凰湖新区安置区八期（二期）工程</w:t>
      </w:r>
      <w:proofErr w:type="gramStart"/>
      <w:r w:rsidR="00617FE9" w:rsidRPr="00617FE9">
        <w:rPr>
          <w:rFonts w:hint="eastAsia"/>
          <w:sz w:val="24"/>
        </w:rPr>
        <w:t>投融建</w:t>
      </w:r>
      <w:proofErr w:type="gramEnd"/>
      <w:r w:rsidR="00617FE9" w:rsidRPr="00617FE9">
        <w:rPr>
          <w:rFonts w:hint="eastAsia"/>
          <w:sz w:val="24"/>
        </w:rPr>
        <w:t>一体化建设项目以及补充流动资金和偿还银行贷款项目，</w:t>
      </w:r>
      <w:r w:rsidRPr="00617FE9">
        <w:rPr>
          <w:rFonts w:ascii="Times New Roman" w:hAnsi="Times New Roman"/>
          <w:sz w:val="24"/>
        </w:rPr>
        <w:t>有利于</w:t>
      </w:r>
      <w:r w:rsidR="00E50D8F" w:rsidRPr="00E50D8F">
        <w:rPr>
          <w:rFonts w:ascii="Times New Roman" w:hAnsi="Times New Roman" w:hint="eastAsia"/>
          <w:sz w:val="24"/>
        </w:rPr>
        <w:t>公司在行业内进一步拓展，同时能够降低负债规模，</w:t>
      </w:r>
      <w:r w:rsidRPr="00617FE9">
        <w:rPr>
          <w:rFonts w:ascii="Times New Roman" w:hAnsi="Times New Roman"/>
          <w:sz w:val="24"/>
        </w:rPr>
        <w:t>减少财务费用，进一步充实公司资本实力，优化公司资产结构，提高抗风险能力，符合公司及公司全体股东的利益。关于本次非公开发行募集资金投向的必要性和合理性分析，请见公司披露的预案</w:t>
      </w:r>
      <w:r w:rsidR="009864EE" w:rsidRPr="00617FE9">
        <w:rPr>
          <w:rFonts w:ascii="Times New Roman" w:hAnsi="Times New Roman" w:hint="eastAsia"/>
          <w:sz w:val="24"/>
        </w:rPr>
        <w:t>之</w:t>
      </w:r>
      <w:r w:rsidRPr="00617FE9">
        <w:rPr>
          <w:rFonts w:ascii="宋体" w:hAnsi="宋体"/>
          <w:sz w:val="24"/>
        </w:rPr>
        <w:t>“</w:t>
      </w:r>
      <w:r w:rsidRPr="00617FE9">
        <w:rPr>
          <w:rFonts w:ascii="宋体" w:hAnsi="宋体" w:hint="eastAsia"/>
          <w:sz w:val="24"/>
        </w:rPr>
        <w:t>第四节</w:t>
      </w:r>
      <w:r w:rsidRPr="00617FE9">
        <w:rPr>
          <w:rFonts w:ascii="宋体" w:hAnsi="宋体"/>
          <w:sz w:val="24"/>
        </w:rPr>
        <w:t xml:space="preserve"> </w:t>
      </w:r>
      <w:r w:rsidRPr="00617FE9">
        <w:rPr>
          <w:rFonts w:ascii="宋体" w:hAnsi="宋体" w:hint="eastAsia"/>
          <w:sz w:val="24"/>
        </w:rPr>
        <w:t>董事会关于本次募集资金使用的可行性分析</w:t>
      </w:r>
      <w:r w:rsidRPr="00617FE9">
        <w:rPr>
          <w:rFonts w:ascii="宋体" w:hAnsi="宋体"/>
          <w:sz w:val="24"/>
        </w:rPr>
        <w:t>”</w:t>
      </w:r>
      <w:r w:rsidRPr="00617FE9">
        <w:rPr>
          <w:rFonts w:ascii="Times New Roman" w:hAnsi="Times New Roman"/>
          <w:sz w:val="24"/>
        </w:rPr>
        <w:t>的相关内容。</w:t>
      </w:r>
    </w:p>
    <w:p w14:paraId="42C7FAD8"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bookmarkStart w:id="12" w:name="_Toc512526918"/>
      <w:bookmarkStart w:id="13" w:name="_Toc69244291"/>
      <w:r>
        <w:rPr>
          <w:rFonts w:ascii="Times New Roman" w:hAnsi="Times New Roman"/>
          <w:b/>
          <w:bCs/>
          <w:sz w:val="24"/>
        </w:rPr>
        <w:lastRenderedPageBreak/>
        <w:t>四、本次募集资金投资项目与公司现有业务的关系</w:t>
      </w:r>
      <w:bookmarkEnd w:id="11"/>
      <w:bookmarkEnd w:id="12"/>
      <w:bookmarkEnd w:id="13"/>
    </w:p>
    <w:p w14:paraId="447B3C53" w14:textId="77777777" w:rsidR="00A846DF" w:rsidRPr="001F6AFD" w:rsidRDefault="00A846DF" w:rsidP="00A846DF">
      <w:pPr>
        <w:autoSpaceDE w:val="0"/>
        <w:spacing w:line="360" w:lineRule="auto"/>
        <w:ind w:firstLineChars="200" w:firstLine="480"/>
        <w:rPr>
          <w:sz w:val="24"/>
        </w:rPr>
      </w:pPr>
      <w:bookmarkStart w:id="14" w:name="_Toc69244292"/>
      <w:bookmarkStart w:id="15" w:name="_Toc494412601"/>
      <w:bookmarkStart w:id="16" w:name="_Toc512526919"/>
      <w:r w:rsidRPr="001F6AFD">
        <w:rPr>
          <w:sz w:val="24"/>
        </w:rPr>
        <w:t>公司本次非公开发行募集资金扣除相关发行费用后，</w:t>
      </w:r>
      <w:r w:rsidRPr="00134598">
        <w:rPr>
          <w:rFonts w:hint="eastAsia"/>
          <w:sz w:val="24"/>
        </w:rPr>
        <w:t>拟用于凤台县凤凰湖新区安置区八期（二期）工程</w:t>
      </w:r>
      <w:proofErr w:type="gramStart"/>
      <w:r w:rsidRPr="00134598">
        <w:rPr>
          <w:rFonts w:hint="eastAsia"/>
          <w:sz w:val="24"/>
        </w:rPr>
        <w:t>投融建</w:t>
      </w:r>
      <w:proofErr w:type="gramEnd"/>
      <w:r w:rsidRPr="00134598">
        <w:rPr>
          <w:rFonts w:hint="eastAsia"/>
          <w:sz w:val="24"/>
        </w:rPr>
        <w:t>一体化建设项目以及补充流动资金和偿还银行贷款项目</w:t>
      </w:r>
      <w:r w:rsidRPr="00667D7A">
        <w:rPr>
          <w:sz w:val="24"/>
        </w:rPr>
        <w:t>，</w:t>
      </w:r>
      <w:r>
        <w:rPr>
          <w:sz w:val="24"/>
        </w:rPr>
        <w:t>本次募集资金投资项目有助于</w:t>
      </w:r>
      <w:r w:rsidRPr="00F15315">
        <w:rPr>
          <w:rFonts w:hint="eastAsia"/>
          <w:sz w:val="24"/>
        </w:rPr>
        <w:t>公司将进一步把握城市更新契机，</w:t>
      </w:r>
      <w:proofErr w:type="gramStart"/>
      <w:r w:rsidRPr="00F15315">
        <w:rPr>
          <w:rFonts w:hint="eastAsia"/>
          <w:sz w:val="24"/>
        </w:rPr>
        <w:t>向保障</w:t>
      </w:r>
      <w:proofErr w:type="gramEnd"/>
      <w:r w:rsidRPr="00F15315">
        <w:rPr>
          <w:rFonts w:hint="eastAsia"/>
          <w:sz w:val="24"/>
        </w:rPr>
        <w:t>性住房建设、老旧小区改造、道路升级与改造等城市基础设施改善领域进行业务延伸，同时能够降低负债规模，减少财务费用，流动资金将得到一定程度的补充，</w:t>
      </w:r>
      <w:r>
        <w:rPr>
          <w:kern w:val="0"/>
          <w:sz w:val="24"/>
        </w:rPr>
        <w:t>从而</w:t>
      </w:r>
      <w:r w:rsidRPr="00667D7A">
        <w:rPr>
          <w:kern w:val="0"/>
          <w:sz w:val="24"/>
        </w:rPr>
        <w:t>优化公司资产结构，提</w:t>
      </w:r>
      <w:r w:rsidRPr="001F6AFD">
        <w:rPr>
          <w:kern w:val="0"/>
          <w:sz w:val="24"/>
        </w:rPr>
        <w:t>高抗风险能力，</w:t>
      </w:r>
      <w:r w:rsidRPr="001F6AFD">
        <w:rPr>
          <w:sz w:val="24"/>
        </w:rPr>
        <w:t>进一步提升</w:t>
      </w:r>
      <w:r>
        <w:rPr>
          <w:sz w:val="24"/>
        </w:rPr>
        <w:t>公司的</w:t>
      </w:r>
      <w:r w:rsidRPr="001F6AFD">
        <w:rPr>
          <w:sz w:val="24"/>
        </w:rPr>
        <w:t>盈利水平和核心竞争力。</w:t>
      </w:r>
    </w:p>
    <w:p w14:paraId="48AD92E8" w14:textId="521FDBD9" w:rsidR="00D72898" w:rsidRDefault="00864DC5">
      <w:pPr>
        <w:adjustRightInd w:val="0"/>
        <w:spacing w:beforeLines="50" w:before="156" w:afterLines="50" w:after="156" w:line="360" w:lineRule="auto"/>
        <w:ind w:firstLineChars="200" w:firstLine="480"/>
        <w:jc w:val="left"/>
        <w:rPr>
          <w:rFonts w:ascii="Times New Roman" w:hAnsi="Times New Roman"/>
          <w:sz w:val="24"/>
        </w:rPr>
      </w:pPr>
      <w:r>
        <w:rPr>
          <w:rFonts w:ascii="Times New Roman" w:hAnsi="Times New Roman"/>
          <w:sz w:val="24"/>
        </w:rPr>
        <w:t>本次非公开发行后，公司的</w:t>
      </w:r>
      <w:r w:rsidR="009864EE">
        <w:rPr>
          <w:rFonts w:ascii="Times New Roman" w:hAnsi="Times New Roman" w:hint="eastAsia"/>
          <w:sz w:val="24"/>
        </w:rPr>
        <w:t>主营业务</w:t>
      </w:r>
      <w:r>
        <w:rPr>
          <w:rFonts w:ascii="Times New Roman" w:hAnsi="Times New Roman"/>
          <w:sz w:val="24"/>
        </w:rPr>
        <w:t>保持不变。</w:t>
      </w:r>
    </w:p>
    <w:p w14:paraId="45E9AB1E"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r>
        <w:rPr>
          <w:rFonts w:ascii="Times New Roman" w:hAnsi="Times New Roman"/>
          <w:b/>
          <w:bCs/>
          <w:sz w:val="24"/>
        </w:rPr>
        <w:t>五、公司应对本次非公开发行摊薄即期回报的填补措施</w:t>
      </w:r>
      <w:bookmarkEnd w:id="14"/>
      <w:bookmarkEnd w:id="15"/>
      <w:bookmarkEnd w:id="16"/>
    </w:p>
    <w:p w14:paraId="305679C3" w14:textId="4CE2FAA2" w:rsidR="00D72898" w:rsidRDefault="00864DC5">
      <w:pPr>
        <w:autoSpaceDE w:val="0"/>
        <w:adjustRightInd w:val="0"/>
        <w:spacing w:line="360" w:lineRule="auto"/>
        <w:ind w:firstLineChars="200" w:firstLine="480"/>
        <w:rPr>
          <w:rFonts w:ascii="Times New Roman" w:hAnsi="Times New Roman"/>
          <w:sz w:val="24"/>
        </w:rPr>
      </w:pPr>
      <w:r>
        <w:rPr>
          <w:rFonts w:ascii="Times New Roman" w:hAnsi="Times New Roman"/>
          <w:sz w:val="24"/>
        </w:rPr>
        <w:t>为维护广大投资者的利益，降低即期回报被摊薄的风险，增强对股东的长期回报能力，公司将</w:t>
      </w:r>
      <w:r w:rsidR="000125F0">
        <w:rPr>
          <w:rFonts w:ascii="Times New Roman" w:hAnsi="Times New Roman" w:hint="eastAsia"/>
          <w:sz w:val="24"/>
        </w:rPr>
        <w:t>全面</w:t>
      </w:r>
      <w:r>
        <w:rPr>
          <w:rFonts w:ascii="Times New Roman" w:hAnsi="Times New Roman"/>
          <w:sz w:val="24"/>
        </w:rPr>
        <w:t>提</w:t>
      </w:r>
      <w:r w:rsidR="000125F0">
        <w:rPr>
          <w:rFonts w:ascii="Times New Roman" w:hAnsi="Times New Roman" w:hint="eastAsia"/>
          <w:sz w:val="24"/>
        </w:rPr>
        <w:t>升公司</w:t>
      </w:r>
      <w:r>
        <w:rPr>
          <w:rFonts w:ascii="Times New Roman" w:hAnsi="Times New Roman"/>
          <w:sz w:val="24"/>
        </w:rPr>
        <w:t>经营管理水平，</w:t>
      </w:r>
      <w:r w:rsidR="000125F0">
        <w:rPr>
          <w:rFonts w:ascii="Times New Roman" w:hAnsi="Times New Roman" w:hint="eastAsia"/>
          <w:sz w:val="24"/>
        </w:rPr>
        <w:t>降低运营成本；加强募集资金管理，</w:t>
      </w:r>
      <w:r w:rsidR="003B3B2F" w:rsidRPr="003B3B2F">
        <w:rPr>
          <w:rFonts w:ascii="Times New Roman" w:hAnsi="Times New Roman" w:hint="eastAsia"/>
          <w:sz w:val="24"/>
        </w:rPr>
        <w:t>保障募集资金合理使用</w:t>
      </w:r>
      <w:r w:rsidR="000125F0">
        <w:rPr>
          <w:rFonts w:ascii="Times New Roman" w:hAnsi="Times New Roman" w:hint="eastAsia"/>
          <w:sz w:val="24"/>
        </w:rPr>
        <w:t>；</w:t>
      </w:r>
      <w:r w:rsidR="000125F0" w:rsidRPr="000125F0">
        <w:rPr>
          <w:rFonts w:ascii="Times New Roman" w:hAnsi="Times New Roman" w:hint="eastAsia"/>
          <w:sz w:val="24"/>
        </w:rPr>
        <w:t>不断完善公司治理，为公司发展提供制度保障</w:t>
      </w:r>
      <w:r w:rsidR="000125F0">
        <w:rPr>
          <w:rFonts w:ascii="Times New Roman" w:hAnsi="Times New Roman" w:hint="eastAsia"/>
          <w:sz w:val="24"/>
        </w:rPr>
        <w:t>；加大业务拓展力度，进一步</w:t>
      </w:r>
      <w:r>
        <w:rPr>
          <w:rFonts w:ascii="Times New Roman" w:hAnsi="Times New Roman"/>
          <w:sz w:val="24"/>
        </w:rPr>
        <w:t>增强公司的</w:t>
      </w:r>
      <w:r w:rsidR="000125F0">
        <w:rPr>
          <w:rFonts w:ascii="Times New Roman" w:hAnsi="Times New Roman" w:hint="eastAsia"/>
          <w:sz w:val="24"/>
        </w:rPr>
        <w:t>竞争力；完善现金分</w:t>
      </w:r>
      <w:r w:rsidR="006E40F7">
        <w:rPr>
          <w:rFonts w:ascii="Times New Roman" w:hAnsi="Times New Roman" w:hint="eastAsia"/>
          <w:sz w:val="24"/>
        </w:rPr>
        <w:t>红</w:t>
      </w:r>
      <w:r w:rsidR="000125F0">
        <w:rPr>
          <w:rFonts w:ascii="Times New Roman" w:hAnsi="Times New Roman" w:hint="eastAsia"/>
          <w:sz w:val="24"/>
        </w:rPr>
        <w:t>政策，</w:t>
      </w:r>
      <w:r>
        <w:rPr>
          <w:rFonts w:ascii="Times New Roman" w:hAnsi="Times New Roman"/>
          <w:sz w:val="24"/>
        </w:rPr>
        <w:t>强化投资者的回报机制</w:t>
      </w:r>
      <w:r w:rsidR="000125F0">
        <w:rPr>
          <w:rFonts w:ascii="Times New Roman" w:hAnsi="Times New Roman" w:hint="eastAsia"/>
          <w:sz w:val="24"/>
        </w:rPr>
        <w:t>。</w:t>
      </w:r>
      <w:r>
        <w:rPr>
          <w:rFonts w:ascii="Times New Roman" w:hAnsi="Times New Roman"/>
          <w:sz w:val="24"/>
        </w:rPr>
        <w:t>具体措施如下：</w:t>
      </w:r>
    </w:p>
    <w:p w14:paraId="0089FBD8" w14:textId="473DF208"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（一）</w:t>
      </w:r>
      <w:r w:rsidR="000125F0" w:rsidRPr="00617FE9">
        <w:rPr>
          <w:rFonts w:ascii="Times New Roman" w:hAnsi="Times New Roman" w:hint="eastAsia"/>
          <w:b/>
          <w:bCs/>
          <w:kern w:val="0"/>
          <w:sz w:val="24"/>
        </w:rPr>
        <w:t>全面</w:t>
      </w:r>
      <w:r w:rsidR="000125F0" w:rsidRPr="00617FE9">
        <w:rPr>
          <w:rFonts w:ascii="Times New Roman" w:hAnsi="Times New Roman"/>
          <w:b/>
          <w:bCs/>
          <w:kern w:val="0"/>
          <w:sz w:val="24"/>
        </w:rPr>
        <w:t>提</w:t>
      </w:r>
      <w:r w:rsidR="000125F0" w:rsidRPr="00617FE9">
        <w:rPr>
          <w:rFonts w:ascii="Times New Roman" w:hAnsi="Times New Roman" w:hint="eastAsia"/>
          <w:b/>
          <w:bCs/>
          <w:kern w:val="0"/>
          <w:sz w:val="24"/>
        </w:rPr>
        <w:t>升公司</w:t>
      </w:r>
      <w:r w:rsidR="000125F0" w:rsidRPr="00617FE9">
        <w:rPr>
          <w:rFonts w:ascii="Times New Roman" w:hAnsi="Times New Roman"/>
          <w:b/>
          <w:bCs/>
          <w:kern w:val="0"/>
          <w:sz w:val="24"/>
        </w:rPr>
        <w:t>经营管理水平</w:t>
      </w:r>
      <w:r w:rsidR="005D799C" w:rsidRPr="005D799C">
        <w:rPr>
          <w:rFonts w:ascii="Times New Roman" w:hAnsi="Times New Roman" w:hint="eastAsia"/>
          <w:b/>
          <w:bCs/>
          <w:kern w:val="0"/>
          <w:sz w:val="24"/>
        </w:rPr>
        <w:t>，降低运营成本</w:t>
      </w:r>
    </w:p>
    <w:p w14:paraId="488F4451" w14:textId="306B1A06" w:rsidR="00D72898" w:rsidRDefault="005D799C">
      <w:pPr>
        <w:autoSpaceDE w:val="0"/>
        <w:adjustRightInd w:val="0"/>
        <w:spacing w:line="360" w:lineRule="auto"/>
        <w:ind w:firstLineChars="200" w:firstLine="480"/>
        <w:rPr>
          <w:rFonts w:ascii="Times New Roman" w:hAnsi="Times New Roman"/>
          <w:sz w:val="24"/>
        </w:rPr>
      </w:pPr>
      <w:r w:rsidRPr="005D799C">
        <w:rPr>
          <w:rFonts w:ascii="Times New Roman" w:hAnsi="Times New Roman" w:hint="eastAsia"/>
          <w:sz w:val="24"/>
        </w:rPr>
        <w:t>公司将通过持续开展精细化管理，不断优化改进业务流程，提高公司日常运营效率，提升公司经营业绩。同时，公司将对生产运营流程进行改进完善，提升管理人员执行力，提高生产人员的工作效率。此外，公司将通过优化管理组织架构，提高管理效率，降低运营成本。</w:t>
      </w:r>
    </w:p>
    <w:p w14:paraId="3B3CAFC5"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（二）加强募集资金管理，</w:t>
      </w:r>
      <w:bookmarkStart w:id="17" w:name="_Hlk114566268"/>
      <w:r>
        <w:rPr>
          <w:rFonts w:ascii="Times New Roman" w:hAnsi="Times New Roman"/>
          <w:b/>
          <w:bCs/>
          <w:kern w:val="0"/>
          <w:sz w:val="24"/>
        </w:rPr>
        <w:t>保障募集资金合理使用</w:t>
      </w:r>
      <w:bookmarkEnd w:id="17"/>
    </w:p>
    <w:p w14:paraId="222FDD6D" w14:textId="3DEB0A60" w:rsidR="00D72898" w:rsidRDefault="005D799C">
      <w:pPr>
        <w:autoSpaceDE w:val="0"/>
        <w:adjustRightInd w:val="0"/>
        <w:spacing w:line="360" w:lineRule="auto"/>
        <w:ind w:firstLineChars="200" w:firstLine="480"/>
        <w:rPr>
          <w:rFonts w:ascii="Times New Roman" w:hAnsi="Times New Roman"/>
          <w:sz w:val="24"/>
        </w:rPr>
      </w:pPr>
      <w:r w:rsidRPr="005D799C">
        <w:rPr>
          <w:rFonts w:ascii="Times New Roman" w:hAnsi="Times New Roman" w:hint="eastAsia"/>
          <w:sz w:val="24"/>
        </w:rPr>
        <w:t>为保障公司规范、有效使用募集资金，本次</w:t>
      </w:r>
      <w:r>
        <w:rPr>
          <w:rFonts w:ascii="Times New Roman" w:hAnsi="Times New Roman" w:hint="eastAsia"/>
          <w:sz w:val="24"/>
        </w:rPr>
        <w:t>非</w:t>
      </w:r>
      <w:r w:rsidRPr="005D799C">
        <w:rPr>
          <w:rFonts w:ascii="Times New Roman" w:hAnsi="Times New Roman" w:hint="eastAsia"/>
          <w:sz w:val="24"/>
        </w:rPr>
        <w:t>公开发行</w:t>
      </w:r>
      <w:r>
        <w:rPr>
          <w:rFonts w:ascii="Times New Roman" w:hAnsi="Times New Roman" w:hint="eastAsia"/>
          <w:sz w:val="24"/>
        </w:rPr>
        <w:t>股票</w:t>
      </w:r>
      <w:r w:rsidRPr="005D799C">
        <w:rPr>
          <w:rFonts w:ascii="Times New Roman" w:hAnsi="Times New Roman" w:hint="eastAsia"/>
          <w:sz w:val="24"/>
        </w:rPr>
        <w:t>募集资金到位后，公司将严格按照《上市公司证券发行管理办法》《上市公司监管指引第</w:t>
      </w:r>
      <w:r w:rsidRPr="005D799C">
        <w:rPr>
          <w:rFonts w:ascii="Times New Roman" w:hAnsi="Times New Roman" w:hint="eastAsia"/>
          <w:sz w:val="24"/>
        </w:rPr>
        <w:t>2</w:t>
      </w:r>
      <w:r w:rsidRPr="005D799C">
        <w:rPr>
          <w:rFonts w:ascii="Times New Roman" w:hAnsi="Times New Roman" w:hint="eastAsia"/>
          <w:sz w:val="24"/>
        </w:rPr>
        <w:t>号—上市公司募集资金管理和使用的监管要求》《上海证券交易所股票上市规则》等法规的要求，对募集资金进行专项存储、保证募集资金合理规范使用、积极配合保荐机构和监管银行对募集资金使用的检查和监督、合理防范募集资金使用风险。</w:t>
      </w:r>
    </w:p>
    <w:p w14:paraId="214E75AB"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lastRenderedPageBreak/>
        <w:t>（三）不断完善公司治理，为公司发展提供制度保障</w:t>
      </w:r>
    </w:p>
    <w:p w14:paraId="5A04D725" w14:textId="1F5FFAD4" w:rsidR="00D72898" w:rsidRDefault="005D799C">
      <w:pPr>
        <w:autoSpaceDE w:val="0"/>
        <w:adjustRightInd w:val="0"/>
        <w:spacing w:line="360" w:lineRule="auto"/>
        <w:ind w:firstLineChars="200" w:firstLine="480"/>
        <w:rPr>
          <w:rFonts w:ascii="Times New Roman" w:hAnsi="Times New Roman"/>
          <w:sz w:val="24"/>
        </w:rPr>
      </w:pPr>
      <w:r w:rsidRPr="005D799C">
        <w:rPr>
          <w:rFonts w:ascii="Times New Roman" w:hAnsi="Times New Roman" w:hint="eastAsia"/>
          <w:sz w:val="24"/>
        </w:rPr>
        <w:t>公司将严格遵循《中华人民共和国公司法》《中华人民共和国证券法》《上市公司治理准则》等法律、法规及规范性文件要求，不断完善公司治理结构，确保股东能充分行使权利，确保董事会能够按照法律、法规和公司章程的规定行使职权、做出科学、迅速和谨慎的决策；确保独立董事能够认真履行职责，切实维护公司整体利益，尤其是中小股东的合法权益；确保监事会能够独立有效地行使对董事、经理和其他高级管理人员及公司财务的监督权和检查权，为公司发展提供制度保障。</w:t>
      </w:r>
    </w:p>
    <w:p w14:paraId="402667B7" w14:textId="2C9BE316" w:rsidR="003B3B2F" w:rsidRDefault="003B3B2F" w:rsidP="003B3B2F">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hint="eastAsia"/>
          <w:b/>
          <w:bCs/>
          <w:kern w:val="0"/>
          <w:sz w:val="24"/>
        </w:rPr>
        <w:t>（四）</w:t>
      </w:r>
      <w:r w:rsidRPr="00007B00">
        <w:rPr>
          <w:rFonts w:ascii="Times New Roman" w:hAnsi="Times New Roman" w:hint="eastAsia"/>
          <w:b/>
          <w:bCs/>
          <w:kern w:val="0"/>
          <w:sz w:val="24"/>
        </w:rPr>
        <w:t>加大业务拓展力度，进一步增强公司的竞争力</w:t>
      </w:r>
    </w:p>
    <w:p w14:paraId="375138E1" w14:textId="5B387B91" w:rsidR="003B3B2F" w:rsidRDefault="003B3B2F" w:rsidP="003B3B2F">
      <w:pPr>
        <w:autoSpaceDE w:val="0"/>
        <w:adjustRightInd w:val="0"/>
        <w:spacing w:line="360" w:lineRule="auto"/>
        <w:ind w:firstLineChars="200" w:firstLine="480"/>
        <w:rPr>
          <w:rFonts w:ascii="Times New Roman" w:hAnsi="Times New Roman"/>
          <w:sz w:val="24"/>
        </w:rPr>
      </w:pPr>
      <w:r w:rsidRPr="00007B00">
        <w:rPr>
          <w:rFonts w:ascii="Times New Roman" w:hAnsi="Times New Roman" w:hint="eastAsia"/>
          <w:sz w:val="24"/>
        </w:rPr>
        <w:t>公司将积极拓展业务，提升公司盈利能力。面对</w:t>
      </w:r>
      <w:r>
        <w:rPr>
          <w:rFonts w:ascii="Times New Roman" w:hAnsi="Times New Roman" w:hint="eastAsia"/>
          <w:sz w:val="24"/>
        </w:rPr>
        <w:t>愈发激烈的行业市场</w:t>
      </w:r>
      <w:r w:rsidRPr="00007B00">
        <w:rPr>
          <w:rFonts w:ascii="Times New Roman" w:hAnsi="Times New Roman" w:hint="eastAsia"/>
          <w:sz w:val="24"/>
        </w:rPr>
        <w:t>竞争</w:t>
      </w:r>
      <w:r>
        <w:rPr>
          <w:rFonts w:ascii="Times New Roman" w:hAnsi="Times New Roman" w:hint="eastAsia"/>
          <w:sz w:val="24"/>
        </w:rPr>
        <w:t>格局</w:t>
      </w:r>
      <w:r w:rsidRPr="00007B00">
        <w:rPr>
          <w:rFonts w:ascii="Times New Roman" w:hAnsi="Times New Roman" w:hint="eastAsia"/>
          <w:sz w:val="24"/>
        </w:rPr>
        <w:t>，</w:t>
      </w:r>
      <w:r w:rsidR="00FC6887" w:rsidRPr="00007B00">
        <w:rPr>
          <w:rFonts w:ascii="Times New Roman" w:hAnsi="Times New Roman" w:hint="eastAsia"/>
          <w:sz w:val="24"/>
        </w:rPr>
        <w:t>公司</w:t>
      </w:r>
      <w:r w:rsidR="00A9501E">
        <w:rPr>
          <w:rFonts w:ascii="Times New Roman" w:hAnsi="Times New Roman" w:hint="eastAsia"/>
          <w:sz w:val="24"/>
        </w:rPr>
        <w:t>将</w:t>
      </w:r>
      <w:r w:rsidR="00FC6887" w:rsidRPr="00007B00">
        <w:rPr>
          <w:rFonts w:ascii="Times New Roman" w:hAnsi="Times New Roman" w:hint="eastAsia"/>
          <w:sz w:val="24"/>
        </w:rPr>
        <w:t>以公路、市政基础设施施工业务为核心，打造“投资、设计、施工、养护”一体化的产业格局，提升市场竞争力。针对</w:t>
      </w:r>
      <w:r w:rsidR="00A04AA1">
        <w:rPr>
          <w:rFonts w:ascii="Times New Roman" w:hAnsi="Times New Roman" w:hint="eastAsia"/>
          <w:sz w:val="24"/>
        </w:rPr>
        <w:t>公司优质区域</w:t>
      </w:r>
      <w:r w:rsidR="00FC6887" w:rsidRPr="00007B00">
        <w:rPr>
          <w:rFonts w:ascii="Times New Roman" w:hAnsi="Times New Roman" w:hint="eastAsia"/>
          <w:sz w:val="24"/>
        </w:rPr>
        <w:t>市场和重点客户，</w:t>
      </w:r>
      <w:r w:rsidR="00A04AA1">
        <w:rPr>
          <w:rFonts w:ascii="Times New Roman" w:hAnsi="Times New Roman" w:hint="eastAsia"/>
          <w:sz w:val="24"/>
        </w:rPr>
        <w:t>公司将不断</w:t>
      </w:r>
      <w:r w:rsidR="00FC6887" w:rsidRPr="00007B00">
        <w:rPr>
          <w:rFonts w:ascii="Times New Roman" w:hAnsi="Times New Roman" w:hint="eastAsia"/>
          <w:sz w:val="24"/>
        </w:rPr>
        <w:t>优化营销管理体系，深化营销组织架构改革，充实营销人员配置，完善营销激励政策，</w:t>
      </w:r>
      <w:r w:rsidR="00A04AA1">
        <w:rPr>
          <w:rFonts w:ascii="Times New Roman" w:hAnsi="Times New Roman" w:hint="eastAsia"/>
          <w:sz w:val="24"/>
        </w:rPr>
        <w:t>持续</w:t>
      </w:r>
      <w:r w:rsidR="00FC6887" w:rsidRPr="00007B00">
        <w:rPr>
          <w:rFonts w:ascii="Times New Roman" w:hAnsi="Times New Roman" w:hint="eastAsia"/>
          <w:sz w:val="24"/>
        </w:rPr>
        <w:t>促进公司业务拓展工作提质提效。</w:t>
      </w:r>
      <w:r w:rsidR="00A04AA1">
        <w:rPr>
          <w:rFonts w:ascii="Times New Roman" w:hAnsi="Times New Roman" w:hint="eastAsia"/>
          <w:sz w:val="24"/>
        </w:rPr>
        <w:t>同时，</w:t>
      </w:r>
      <w:r w:rsidR="00FC6887" w:rsidRPr="00007B00">
        <w:rPr>
          <w:rFonts w:ascii="Times New Roman" w:hAnsi="Times New Roman" w:hint="eastAsia"/>
          <w:sz w:val="24"/>
        </w:rPr>
        <w:t>基于目前政府区域综合一体化招标趋势，公司</w:t>
      </w:r>
      <w:r w:rsidR="00FC6887">
        <w:rPr>
          <w:rFonts w:ascii="Times New Roman" w:hAnsi="Times New Roman" w:hint="eastAsia"/>
          <w:sz w:val="24"/>
        </w:rPr>
        <w:t>将不断</w:t>
      </w:r>
      <w:proofErr w:type="gramStart"/>
      <w:r w:rsidR="00FC6887" w:rsidRPr="00007B00">
        <w:rPr>
          <w:rFonts w:ascii="Times New Roman" w:hAnsi="Times New Roman" w:hint="eastAsia"/>
          <w:sz w:val="24"/>
        </w:rPr>
        <w:t>向保障</w:t>
      </w:r>
      <w:proofErr w:type="gramEnd"/>
      <w:r w:rsidR="00FC6887" w:rsidRPr="00007B00">
        <w:rPr>
          <w:rFonts w:ascii="Times New Roman" w:hAnsi="Times New Roman" w:hint="eastAsia"/>
          <w:sz w:val="24"/>
        </w:rPr>
        <w:t>性住房建设、老旧小区改造、道路升级与改造等城市基础设施改善领域进行业务延伸，借助城市更新契机，拓宽上市公司的业务领</w:t>
      </w:r>
      <w:r w:rsidR="00FC6887">
        <w:rPr>
          <w:rFonts w:ascii="Times New Roman" w:hAnsi="Times New Roman" w:hint="eastAsia"/>
          <w:sz w:val="24"/>
        </w:rPr>
        <w:t>域，实现公司业绩快速增长。</w:t>
      </w:r>
    </w:p>
    <w:p w14:paraId="06BE7EDC" w14:textId="2E7AEB22"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w:t>
      </w:r>
      <w:r w:rsidR="003B3B2F">
        <w:rPr>
          <w:rFonts w:ascii="Times New Roman" w:hAnsi="Times New Roman" w:hint="eastAsia"/>
          <w:b/>
          <w:bCs/>
          <w:kern w:val="0"/>
          <w:sz w:val="24"/>
        </w:rPr>
        <w:t>五</w:t>
      </w:r>
      <w:r>
        <w:rPr>
          <w:rFonts w:ascii="Times New Roman" w:hAnsi="Times New Roman"/>
          <w:b/>
          <w:bCs/>
          <w:kern w:val="0"/>
          <w:sz w:val="24"/>
        </w:rPr>
        <w:t>）</w:t>
      </w:r>
      <w:r w:rsidR="005D799C" w:rsidRPr="005D799C">
        <w:rPr>
          <w:rFonts w:ascii="Times New Roman" w:hAnsi="Times New Roman" w:hint="eastAsia"/>
          <w:b/>
          <w:bCs/>
          <w:kern w:val="0"/>
          <w:sz w:val="24"/>
        </w:rPr>
        <w:t>完善利润分配制度，强化投资者回报机制</w:t>
      </w:r>
    </w:p>
    <w:p w14:paraId="55157E49" w14:textId="2D21FB00" w:rsidR="00D72898" w:rsidRPr="006858A0" w:rsidRDefault="005D799C">
      <w:pPr>
        <w:autoSpaceDE w:val="0"/>
        <w:adjustRightInd w:val="0"/>
        <w:spacing w:line="360" w:lineRule="auto"/>
        <w:ind w:firstLineChars="200" w:firstLine="480"/>
        <w:rPr>
          <w:rFonts w:ascii="宋体" w:hAnsi="宋体"/>
          <w:sz w:val="24"/>
        </w:rPr>
      </w:pPr>
      <w:r w:rsidRPr="006858A0">
        <w:rPr>
          <w:rFonts w:ascii="宋体" w:hAnsi="宋体" w:hint="eastAsia"/>
          <w:sz w:val="24"/>
        </w:rPr>
        <w:t>根据中国证</w:t>
      </w:r>
      <w:r w:rsidR="00A04AA1" w:rsidRPr="006858A0">
        <w:rPr>
          <w:rFonts w:ascii="宋体" w:hAnsi="宋体" w:hint="eastAsia"/>
          <w:sz w:val="24"/>
        </w:rPr>
        <w:t>监</w:t>
      </w:r>
      <w:r w:rsidRPr="006858A0">
        <w:rPr>
          <w:rFonts w:ascii="宋体" w:hAnsi="宋体" w:hint="eastAsia"/>
          <w:sz w:val="24"/>
        </w:rPr>
        <w:t>会《关于进一步落实上市公司现金分红有关事项的通知》《上市公司监管指引第3号—上市公司现金分红》等规定，公司制定和完善了《公司章程》中有关利润分配的相关条款，明确了公司利润分配尤其是现金分红的具体条件、比例和分配形式等，完善了公司利润分配的决策程序和机制以及利润分配政策的调整原则，强化了中小投资者权益保障机制。公司已制定《关于未来三年（2020-2022年）股东分红回报规划》，注重对投资者利益的保护并给予投资者稳定回报。本次</w:t>
      </w:r>
      <w:r w:rsidR="00A04AA1" w:rsidRPr="006858A0">
        <w:rPr>
          <w:rFonts w:ascii="宋体" w:hAnsi="宋体" w:hint="eastAsia"/>
          <w:sz w:val="24"/>
        </w:rPr>
        <w:t>非公开</w:t>
      </w:r>
      <w:r w:rsidRPr="006858A0">
        <w:rPr>
          <w:rFonts w:ascii="宋体" w:hAnsi="宋体" w:hint="eastAsia"/>
          <w:sz w:val="24"/>
        </w:rPr>
        <w:t>发行后，公司将依据相关法律法规规定，严格执行《公司章程》并落实现金分红的相关制度，保障投资者的利益。</w:t>
      </w:r>
    </w:p>
    <w:p w14:paraId="349A917C" w14:textId="77777777" w:rsidR="00D72898" w:rsidRDefault="00864DC5">
      <w:pPr>
        <w:adjustRightInd w:val="0"/>
        <w:spacing w:beforeLines="50" w:before="156" w:afterLines="50" w:after="156" w:line="360" w:lineRule="auto"/>
        <w:ind w:firstLineChars="200" w:firstLine="482"/>
        <w:jc w:val="left"/>
        <w:rPr>
          <w:rFonts w:ascii="Times New Roman" w:hAnsi="Times New Roman"/>
          <w:b/>
          <w:bCs/>
          <w:sz w:val="24"/>
        </w:rPr>
      </w:pPr>
      <w:bookmarkStart w:id="18" w:name="_Toc69244293"/>
      <w:bookmarkStart w:id="19" w:name="_Toc512526920"/>
      <w:bookmarkStart w:id="20" w:name="_Toc494412602"/>
      <w:r>
        <w:rPr>
          <w:rFonts w:ascii="Times New Roman" w:hAnsi="Times New Roman"/>
          <w:b/>
          <w:bCs/>
          <w:sz w:val="24"/>
        </w:rPr>
        <w:t>六、相关主体关于公司本次非公开发行股票填补回报措施能够得到切实履</w:t>
      </w:r>
      <w:r>
        <w:rPr>
          <w:rFonts w:ascii="Times New Roman" w:hAnsi="Times New Roman"/>
          <w:b/>
          <w:bCs/>
          <w:sz w:val="24"/>
        </w:rPr>
        <w:lastRenderedPageBreak/>
        <w:t>行做出的承诺</w:t>
      </w:r>
      <w:bookmarkEnd w:id="18"/>
      <w:bookmarkEnd w:id="19"/>
      <w:bookmarkEnd w:id="20"/>
    </w:p>
    <w:p w14:paraId="28CC0928"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（一）</w:t>
      </w:r>
      <w:bookmarkStart w:id="21" w:name="_Hlk69465165"/>
      <w:r>
        <w:rPr>
          <w:rFonts w:ascii="Times New Roman" w:hAnsi="Times New Roman"/>
          <w:b/>
          <w:bCs/>
          <w:kern w:val="0"/>
          <w:sz w:val="24"/>
        </w:rPr>
        <w:t>公司全体董事、高级管理人员的承诺</w:t>
      </w:r>
    </w:p>
    <w:p w14:paraId="36880578" w14:textId="0BA6FF2D"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本人作为安徽省交通建设股份有限公司董事/高级管理人员，根据中国证监会的相关规定，对公司填补回报措施能够得到切实履行</w:t>
      </w:r>
      <w:r w:rsidR="00A862DF" w:rsidRPr="002F441A">
        <w:rPr>
          <w:rFonts w:ascii="宋体" w:hAnsi="宋体" w:hint="eastAsia"/>
          <w:sz w:val="24"/>
        </w:rPr>
        <w:t>做出</w:t>
      </w:r>
      <w:r w:rsidRPr="002F441A">
        <w:rPr>
          <w:rFonts w:ascii="宋体" w:hAnsi="宋体" w:hint="eastAsia"/>
          <w:sz w:val="24"/>
        </w:rPr>
        <w:t>如下承诺：</w:t>
      </w:r>
    </w:p>
    <w:p w14:paraId="1B46A071"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1、承诺</w:t>
      </w:r>
      <w:proofErr w:type="gramStart"/>
      <w:r w:rsidRPr="002F441A">
        <w:rPr>
          <w:rFonts w:ascii="宋体" w:hAnsi="宋体" w:hint="eastAsia"/>
          <w:sz w:val="24"/>
        </w:rPr>
        <w:t>不</w:t>
      </w:r>
      <w:proofErr w:type="gramEnd"/>
      <w:r w:rsidRPr="002F441A">
        <w:rPr>
          <w:rFonts w:ascii="宋体" w:hAnsi="宋体" w:hint="eastAsia"/>
          <w:sz w:val="24"/>
        </w:rPr>
        <w:t>无偿或以不公平条件向其他单位或者个人输送利益，也不采用其他方式损害公司利益；</w:t>
      </w:r>
    </w:p>
    <w:p w14:paraId="7F85CC57"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2、承诺对本人的职务消费行为进行约束；</w:t>
      </w:r>
    </w:p>
    <w:p w14:paraId="4AFD15C6"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3、承诺不动用公司资产从事与本人履行职责无关的投资、消费活动；</w:t>
      </w:r>
    </w:p>
    <w:p w14:paraId="6A39239F"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4、承诺由董事会或薪酬与考核委员会制定的薪酬制度与公司填补回报措施的执行情况相挂钩；</w:t>
      </w:r>
    </w:p>
    <w:p w14:paraId="2D186AAC"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5、如未来公司实施股权激励，本人承诺未来股权激励方案的行权条件将与公司填补回报措施的执行情况相挂钩；</w:t>
      </w:r>
    </w:p>
    <w:p w14:paraId="1CC10F25"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6、自</w:t>
      </w:r>
      <w:proofErr w:type="gramStart"/>
      <w:r w:rsidRPr="002F441A">
        <w:rPr>
          <w:rFonts w:ascii="宋体" w:hAnsi="宋体" w:hint="eastAsia"/>
          <w:sz w:val="24"/>
        </w:rPr>
        <w:t>本承诺</w:t>
      </w:r>
      <w:proofErr w:type="gramEnd"/>
      <w:r w:rsidRPr="002F441A">
        <w:rPr>
          <w:rFonts w:ascii="宋体" w:hAnsi="宋体" w:hint="eastAsia"/>
          <w:sz w:val="24"/>
        </w:rPr>
        <w:t>出具日至公司本次非公开发行股票实施完毕前，若中国证监会</w:t>
      </w:r>
      <w:proofErr w:type="gramStart"/>
      <w:r w:rsidRPr="002F441A">
        <w:rPr>
          <w:rFonts w:ascii="宋体" w:hAnsi="宋体" w:hint="eastAsia"/>
          <w:sz w:val="24"/>
        </w:rPr>
        <w:t>作出</w:t>
      </w:r>
      <w:proofErr w:type="gramEnd"/>
      <w:r w:rsidRPr="002F441A">
        <w:rPr>
          <w:rFonts w:ascii="宋体" w:hAnsi="宋体" w:hint="eastAsia"/>
          <w:sz w:val="24"/>
        </w:rPr>
        <w:t>关于填补回报措施及其承诺的其他新的监管规定的，且上述承诺不能满足中国证监会该等规定时，本人承诺届时将按照中国证监会的最新规定出具补充承诺。</w:t>
      </w:r>
    </w:p>
    <w:p w14:paraId="356EBCEF" w14:textId="20982276"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作为填补回报措施相关责任主体之一，本人若违反上述承诺或拒不履行上述承诺，本人同意中国证监会和上海证券交易所等证券监管机构按照其制定或发布的有关规定、规则，对本人</w:t>
      </w:r>
      <w:proofErr w:type="gramStart"/>
      <w:r w:rsidRPr="002F441A">
        <w:rPr>
          <w:rFonts w:ascii="宋体" w:hAnsi="宋体" w:hint="eastAsia"/>
          <w:sz w:val="24"/>
        </w:rPr>
        <w:t>作出</w:t>
      </w:r>
      <w:proofErr w:type="gramEnd"/>
      <w:r w:rsidRPr="002F441A">
        <w:rPr>
          <w:rFonts w:ascii="宋体" w:hAnsi="宋体" w:hint="eastAsia"/>
          <w:sz w:val="24"/>
        </w:rPr>
        <w:t>相关处罚或采取相关管理措施，并愿意承担相应的法律责任。</w:t>
      </w:r>
    </w:p>
    <w:bookmarkEnd w:id="21"/>
    <w:p w14:paraId="7452E307" w14:textId="77777777" w:rsidR="00D72898" w:rsidRDefault="00864DC5">
      <w:pPr>
        <w:autoSpaceDE w:val="0"/>
        <w:spacing w:beforeLines="50" w:before="156" w:afterLines="50" w:after="156" w:line="360" w:lineRule="auto"/>
        <w:ind w:firstLineChars="200" w:firstLine="482"/>
        <w:rPr>
          <w:rFonts w:ascii="Times New Roman" w:hAnsi="Times New Roman"/>
          <w:b/>
          <w:bCs/>
          <w:kern w:val="0"/>
          <w:sz w:val="24"/>
        </w:rPr>
      </w:pPr>
      <w:r>
        <w:rPr>
          <w:rFonts w:ascii="Times New Roman" w:hAnsi="Times New Roman"/>
          <w:b/>
          <w:bCs/>
          <w:kern w:val="0"/>
          <w:sz w:val="24"/>
        </w:rPr>
        <w:t>（二）公司控股股东</w:t>
      </w:r>
      <w:r>
        <w:rPr>
          <w:rFonts w:ascii="Times New Roman" w:hAnsi="Times New Roman" w:hint="eastAsia"/>
          <w:b/>
          <w:bCs/>
          <w:kern w:val="0"/>
          <w:sz w:val="24"/>
        </w:rPr>
        <w:t>、实际控制人</w:t>
      </w:r>
      <w:r>
        <w:rPr>
          <w:rFonts w:ascii="Times New Roman" w:hAnsi="Times New Roman"/>
          <w:b/>
          <w:bCs/>
          <w:kern w:val="0"/>
          <w:sz w:val="24"/>
        </w:rPr>
        <w:t>的承诺</w:t>
      </w:r>
    </w:p>
    <w:p w14:paraId="2ADC8B51" w14:textId="77777777" w:rsidR="00D72898" w:rsidRDefault="00864DC5">
      <w:pPr>
        <w:autoSpaceDE w:val="0"/>
        <w:adjustRightInd w:val="0"/>
        <w:spacing w:line="360" w:lineRule="auto"/>
        <w:ind w:firstLineChars="200" w:firstLine="480"/>
        <w:rPr>
          <w:rFonts w:ascii="Times New Roman" w:hAnsi="Times New Roman"/>
          <w:sz w:val="24"/>
        </w:rPr>
      </w:pPr>
      <w:r>
        <w:rPr>
          <w:rFonts w:ascii="Times New Roman" w:hAnsi="Times New Roman" w:hint="eastAsia"/>
          <w:sz w:val="24"/>
        </w:rPr>
        <w:t>本公司</w:t>
      </w:r>
      <w:r>
        <w:rPr>
          <w:rFonts w:ascii="Times New Roman" w:hAnsi="Times New Roman" w:hint="eastAsia"/>
          <w:sz w:val="24"/>
        </w:rPr>
        <w:t>/</w:t>
      </w:r>
      <w:r>
        <w:rPr>
          <w:rFonts w:ascii="Times New Roman" w:hAnsi="Times New Roman" w:hint="eastAsia"/>
          <w:sz w:val="24"/>
        </w:rPr>
        <w:t>本人作为安徽省交通建设股份有限公司控股股东</w:t>
      </w:r>
      <w:r>
        <w:rPr>
          <w:rFonts w:ascii="Times New Roman" w:hAnsi="Times New Roman" w:hint="eastAsia"/>
          <w:sz w:val="24"/>
        </w:rPr>
        <w:t>/</w:t>
      </w:r>
      <w:r>
        <w:rPr>
          <w:rFonts w:ascii="Times New Roman" w:hAnsi="Times New Roman" w:hint="eastAsia"/>
          <w:sz w:val="24"/>
        </w:rPr>
        <w:t>实际控制人，根据中国证监会的相关规定，对公司填补回报措施能够得到切实履行</w:t>
      </w:r>
      <w:proofErr w:type="gramStart"/>
      <w:r>
        <w:rPr>
          <w:rFonts w:ascii="Times New Roman" w:hAnsi="Times New Roman" w:hint="eastAsia"/>
          <w:sz w:val="24"/>
        </w:rPr>
        <w:t>作出</w:t>
      </w:r>
      <w:proofErr w:type="gramEnd"/>
      <w:r>
        <w:rPr>
          <w:rFonts w:ascii="Times New Roman" w:hAnsi="Times New Roman" w:hint="eastAsia"/>
          <w:sz w:val="24"/>
        </w:rPr>
        <w:t>如下承诺：</w:t>
      </w:r>
    </w:p>
    <w:p w14:paraId="69D95AFF"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1、依照相关法律、法规及公司章程的有关规定行使股东权利，本公司/本人承诺不越权干预公司经营管理活动，不侵占公司利益。</w:t>
      </w:r>
    </w:p>
    <w:p w14:paraId="5284C7CB"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2、本公司/本人承诺切实履行公司制定的有关填补回报的相关措施以及本公司/本人对此</w:t>
      </w:r>
      <w:proofErr w:type="gramStart"/>
      <w:r w:rsidRPr="002F441A">
        <w:rPr>
          <w:rFonts w:ascii="宋体" w:hAnsi="宋体" w:hint="eastAsia"/>
          <w:sz w:val="24"/>
        </w:rPr>
        <w:t>作出</w:t>
      </w:r>
      <w:proofErr w:type="gramEnd"/>
      <w:r w:rsidRPr="002F441A">
        <w:rPr>
          <w:rFonts w:ascii="宋体" w:hAnsi="宋体" w:hint="eastAsia"/>
          <w:sz w:val="24"/>
        </w:rPr>
        <w:t>的任何有关填补回报措施的承诺，若本公司/本人违反该等承诺并给公司或者投资者造成损失的，本公司/本人愿意依法承担对公司或者投资者的补偿责任。</w:t>
      </w:r>
    </w:p>
    <w:p w14:paraId="4AF1AACF" w14:textId="77777777"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lastRenderedPageBreak/>
        <w:t>3、自</w:t>
      </w:r>
      <w:proofErr w:type="gramStart"/>
      <w:r w:rsidRPr="002F441A">
        <w:rPr>
          <w:rFonts w:ascii="宋体" w:hAnsi="宋体" w:hint="eastAsia"/>
          <w:sz w:val="24"/>
        </w:rPr>
        <w:t>本承诺</w:t>
      </w:r>
      <w:proofErr w:type="gramEnd"/>
      <w:r w:rsidRPr="002F441A">
        <w:rPr>
          <w:rFonts w:ascii="宋体" w:hAnsi="宋体" w:hint="eastAsia"/>
          <w:sz w:val="24"/>
        </w:rPr>
        <w:t>出具日至公司本次非公开发行股票实施完毕前，若中国证监会</w:t>
      </w:r>
      <w:proofErr w:type="gramStart"/>
      <w:r w:rsidRPr="002F441A">
        <w:rPr>
          <w:rFonts w:ascii="宋体" w:hAnsi="宋体" w:hint="eastAsia"/>
          <w:sz w:val="24"/>
        </w:rPr>
        <w:t>作出</w:t>
      </w:r>
      <w:proofErr w:type="gramEnd"/>
      <w:r w:rsidRPr="002F441A">
        <w:rPr>
          <w:rFonts w:ascii="宋体" w:hAnsi="宋体" w:hint="eastAsia"/>
          <w:sz w:val="24"/>
        </w:rPr>
        <w:t>关于填补回报措施及其承诺的其他新的监管规定的，且上述承诺不能满足中国证监会该等规定时，本公司/本人承诺届时将按照中国证监会的最新规定出具补充承诺。</w:t>
      </w:r>
    </w:p>
    <w:p w14:paraId="3432AEE7" w14:textId="076EDCCA" w:rsidR="00D72898" w:rsidRPr="002F441A" w:rsidRDefault="00864DC5">
      <w:pPr>
        <w:autoSpaceDE w:val="0"/>
        <w:adjustRightInd w:val="0"/>
        <w:spacing w:line="360" w:lineRule="auto"/>
        <w:ind w:firstLineChars="200" w:firstLine="480"/>
        <w:rPr>
          <w:rFonts w:ascii="宋体" w:hAnsi="宋体"/>
          <w:sz w:val="24"/>
        </w:rPr>
      </w:pPr>
      <w:r w:rsidRPr="002F441A">
        <w:rPr>
          <w:rFonts w:ascii="宋体" w:hAnsi="宋体" w:hint="eastAsia"/>
          <w:sz w:val="24"/>
        </w:rPr>
        <w:t>作为填补回报措施相关责任主体之一，本公司/本人若违反上述承诺或拒不履行上述承诺，本公司/本人同意中国证监会和上海证券交易所等证券监管机构按照其制定或发布的有关规定、规则，对本公司/本人</w:t>
      </w:r>
      <w:proofErr w:type="gramStart"/>
      <w:r w:rsidRPr="002F441A">
        <w:rPr>
          <w:rFonts w:ascii="宋体" w:hAnsi="宋体" w:hint="eastAsia"/>
          <w:sz w:val="24"/>
        </w:rPr>
        <w:t>作出</w:t>
      </w:r>
      <w:proofErr w:type="gramEnd"/>
      <w:r w:rsidRPr="002F441A">
        <w:rPr>
          <w:rFonts w:ascii="宋体" w:hAnsi="宋体" w:hint="eastAsia"/>
          <w:sz w:val="24"/>
        </w:rPr>
        <w:t>相关处罚或采取相关管理措施，并愿意承担相应的法律责任。</w:t>
      </w:r>
    </w:p>
    <w:bookmarkEnd w:id="7"/>
    <w:p w14:paraId="737D7156" w14:textId="77777777" w:rsidR="00B30B97" w:rsidRPr="00E546A2" w:rsidRDefault="00B30B97" w:rsidP="00B30B97">
      <w:pPr>
        <w:spacing w:line="360" w:lineRule="auto"/>
        <w:ind w:firstLineChars="200" w:firstLine="480"/>
        <w:rPr>
          <w:rFonts w:ascii="宋体" w:hAnsi="宋体"/>
          <w:sz w:val="24"/>
          <w:szCs w:val="20"/>
        </w:rPr>
      </w:pPr>
    </w:p>
    <w:p w14:paraId="2E71E9B4" w14:textId="77777777" w:rsidR="00B30B97" w:rsidRPr="00195E40" w:rsidRDefault="00B30B97" w:rsidP="00B30B97">
      <w:pPr>
        <w:spacing w:line="360" w:lineRule="auto"/>
        <w:ind w:firstLineChars="200" w:firstLine="480"/>
        <w:rPr>
          <w:rFonts w:ascii="宋体" w:hAnsi="宋体"/>
          <w:sz w:val="24"/>
          <w:szCs w:val="20"/>
        </w:rPr>
      </w:pPr>
      <w:r w:rsidRPr="00195E40">
        <w:rPr>
          <w:rFonts w:ascii="宋体" w:hAnsi="宋体" w:hint="eastAsia"/>
          <w:sz w:val="24"/>
          <w:szCs w:val="20"/>
        </w:rPr>
        <w:t>特此公告。</w:t>
      </w:r>
    </w:p>
    <w:p w14:paraId="631F62CC" w14:textId="77777777" w:rsidR="00B30B97" w:rsidRDefault="00B30B97" w:rsidP="00B30B97">
      <w:pPr>
        <w:pStyle w:val="Default"/>
        <w:spacing w:line="360" w:lineRule="auto"/>
        <w:ind w:firstLineChars="200" w:firstLine="480"/>
        <w:jc w:val="right"/>
        <w:rPr>
          <w:rFonts w:hAnsi="宋体"/>
          <w:bCs/>
        </w:rPr>
      </w:pPr>
    </w:p>
    <w:p w14:paraId="461E2618" w14:textId="77777777" w:rsidR="00B30B97" w:rsidRDefault="00B30B97" w:rsidP="00B30B97">
      <w:pPr>
        <w:pStyle w:val="Default"/>
        <w:spacing w:line="360" w:lineRule="auto"/>
        <w:ind w:firstLineChars="200" w:firstLine="480"/>
        <w:jc w:val="right"/>
        <w:rPr>
          <w:rFonts w:hAnsi="宋体"/>
          <w:bCs/>
        </w:rPr>
      </w:pPr>
    </w:p>
    <w:p w14:paraId="0DA83579" w14:textId="77777777" w:rsidR="00B30B97" w:rsidRPr="00EE713F" w:rsidRDefault="00B30B97" w:rsidP="00B30B97">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091812C4" w14:textId="77777777" w:rsidR="00B30B97" w:rsidRDefault="00B30B97" w:rsidP="00B30B97">
      <w:pPr>
        <w:pStyle w:val="Default"/>
        <w:spacing w:line="360" w:lineRule="auto"/>
        <w:ind w:firstLineChars="200" w:firstLine="480"/>
        <w:jc w:val="right"/>
        <w:rPr>
          <w:rFonts w:hAnsi="宋体" w:cs="Times New Roman"/>
          <w:szCs w:val="20"/>
        </w:rPr>
      </w:pPr>
      <w:r>
        <w:rPr>
          <w:rFonts w:hAnsi="宋体" w:hint="eastAsia"/>
          <w:bCs/>
        </w:rPr>
        <w:t>202</w:t>
      </w:r>
      <w:r>
        <w:rPr>
          <w:rFonts w:hAnsi="宋体"/>
          <w:bCs/>
        </w:rPr>
        <w:t>2</w:t>
      </w:r>
      <w:r w:rsidRPr="00EE713F">
        <w:rPr>
          <w:rFonts w:hAnsi="宋体" w:hint="eastAsia"/>
          <w:bCs/>
        </w:rPr>
        <w:t>年</w:t>
      </w:r>
      <w:r>
        <w:rPr>
          <w:rFonts w:hAnsi="宋体"/>
          <w:bCs/>
        </w:rPr>
        <w:t>10</w:t>
      </w:r>
      <w:r w:rsidRPr="00EE713F">
        <w:rPr>
          <w:rFonts w:hAnsi="宋体" w:hint="eastAsia"/>
          <w:bCs/>
        </w:rPr>
        <w:t>月</w:t>
      </w:r>
      <w:r>
        <w:rPr>
          <w:rFonts w:hAnsi="宋体"/>
          <w:bCs/>
        </w:rPr>
        <w:t>12</w:t>
      </w:r>
      <w:r w:rsidRPr="00EE713F">
        <w:rPr>
          <w:rFonts w:hAnsi="宋体" w:hint="eastAsia"/>
          <w:bCs/>
        </w:rPr>
        <w:t>日</w:t>
      </w:r>
    </w:p>
    <w:p w14:paraId="7BCDBEDE" w14:textId="77777777" w:rsidR="00D72898" w:rsidRDefault="00D72898" w:rsidP="00B30B97">
      <w:pPr>
        <w:spacing w:beforeLines="50" w:before="156" w:afterLines="50" w:after="156" w:line="360" w:lineRule="auto"/>
        <w:ind w:firstLineChars="200" w:firstLine="480"/>
        <w:rPr>
          <w:rFonts w:ascii="宋体" w:hAnsi="宋体"/>
          <w:sz w:val="24"/>
        </w:rPr>
      </w:pPr>
    </w:p>
    <w:sectPr w:rsidR="00D72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E311" w14:textId="77777777" w:rsidR="00D01977" w:rsidRDefault="00D01977" w:rsidP="004E21D7">
      <w:r>
        <w:separator/>
      </w:r>
    </w:p>
  </w:endnote>
  <w:endnote w:type="continuationSeparator" w:id="0">
    <w:p w14:paraId="5F201043" w14:textId="77777777" w:rsidR="00D01977" w:rsidRDefault="00D01977" w:rsidP="004E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17C9" w14:textId="77777777" w:rsidR="00D01977" w:rsidRDefault="00D01977" w:rsidP="004E21D7">
      <w:r>
        <w:separator/>
      </w:r>
    </w:p>
  </w:footnote>
  <w:footnote w:type="continuationSeparator" w:id="0">
    <w:p w14:paraId="7412AB0C" w14:textId="77777777" w:rsidR="00D01977" w:rsidRDefault="00D01977" w:rsidP="004E2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yMzQxZGJjNWI4NDJmNTY1NzcwYTNmYzg0ZjkzYjcifQ=="/>
  </w:docVars>
  <w:rsids>
    <w:rsidRoot w:val="009B6783"/>
    <w:rsid w:val="000031F8"/>
    <w:rsid w:val="000071A8"/>
    <w:rsid w:val="00007B00"/>
    <w:rsid w:val="000125F0"/>
    <w:rsid w:val="0002111F"/>
    <w:rsid w:val="00026521"/>
    <w:rsid w:val="0003316B"/>
    <w:rsid w:val="00042162"/>
    <w:rsid w:val="000547AC"/>
    <w:rsid w:val="00057CC8"/>
    <w:rsid w:val="00062B96"/>
    <w:rsid w:val="0006536F"/>
    <w:rsid w:val="00072EF8"/>
    <w:rsid w:val="00081285"/>
    <w:rsid w:val="00083D67"/>
    <w:rsid w:val="000943DA"/>
    <w:rsid w:val="000A174D"/>
    <w:rsid w:val="000A34A0"/>
    <w:rsid w:val="000B1A31"/>
    <w:rsid w:val="000B407F"/>
    <w:rsid w:val="000B66F1"/>
    <w:rsid w:val="000C0B77"/>
    <w:rsid w:val="000C521F"/>
    <w:rsid w:val="000C6874"/>
    <w:rsid w:val="000E241B"/>
    <w:rsid w:val="000F2C2E"/>
    <w:rsid w:val="000F562E"/>
    <w:rsid w:val="000F6E41"/>
    <w:rsid w:val="001019E9"/>
    <w:rsid w:val="00102C8C"/>
    <w:rsid w:val="00103D0E"/>
    <w:rsid w:val="00103F2C"/>
    <w:rsid w:val="00127F75"/>
    <w:rsid w:val="001505D8"/>
    <w:rsid w:val="0015233D"/>
    <w:rsid w:val="00156C3E"/>
    <w:rsid w:val="00160622"/>
    <w:rsid w:val="00164D61"/>
    <w:rsid w:val="00177D2D"/>
    <w:rsid w:val="00186B84"/>
    <w:rsid w:val="001B03B1"/>
    <w:rsid w:val="001B56BD"/>
    <w:rsid w:val="001B6CF6"/>
    <w:rsid w:val="001C0ABE"/>
    <w:rsid w:val="001C4A87"/>
    <w:rsid w:val="001D70BC"/>
    <w:rsid w:val="001E08E5"/>
    <w:rsid w:val="001E30C5"/>
    <w:rsid w:val="001E6863"/>
    <w:rsid w:val="00216495"/>
    <w:rsid w:val="00217032"/>
    <w:rsid w:val="00224FE0"/>
    <w:rsid w:val="002264DF"/>
    <w:rsid w:val="00227760"/>
    <w:rsid w:val="00242811"/>
    <w:rsid w:val="00242E08"/>
    <w:rsid w:val="002579F2"/>
    <w:rsid w:val="00271E0B"/>
    <w:rsid w:val="002732F0"/>
    <w:rsid w:val="002751F9"/>
    <w:rsid w:val="002906FA"/>
    <w:rsid w:val="002926A9"/>
    <w:rsid w:val="002A7AFB"/>
    <w:rsid w:val="002B5BC4"/>
    <w:rsid w:val="002B6764"/>
    <w:rsid w:val="002B6F11"/>
    <w:rsid w:val="002C3519"/>
    <w:rsid w:val="002C5284"/>
    <w:rsid w:val="002C7EB8"/>
    <w:rsid w:val="002D27BF"/>
    <w:rsid w:val="002D786A"/>
    <w:rsid w:val="002E5683"/>
    <w:rsid w:val="002E5957"/>
    <w:rsid w:val="002F441A"/>
    <w:rsid w:val="00303A8E"/>
    <w:rsid w:val="003128BE"/>
    <w:rsid w:val="003272AE"/>
    <w:rsid w:val="0033448F"/>
    <w:rsid w:val="00354A3B"/>
    <w:rsid w:val="00361AD4"/>
    <w:rsid w:val="00372CEA"/>
    <w:rsid w:val="00374B37"/>
    <w:rsid w:val="00387E39"/>
    <w:rsid w:val="003908BC"/>
    <w:rsid w:val="003966F6"/>
    <w:rsid w:val="003A13C3"/>
    <w:rsid w:val="003A2795"/>
    <w:rsid w:val="003A3E0E"/>
    <w:rsid w:val="003A551E"/>
    <w:rsid w:val="003B3B2F"/>
    <w:rsid w:val="003D6DB4"/>
    <w:rsid w:val="003D701B"/>
    <w:rsid w:val="003E7FE3"/>
    <w:rsid w:val="003F7502"/>
    <w:rsid w:val="004010DF"/>
    <w:rsid w:val="004310E9"/>
    <w:rsid w:val="00443315"/>
    <w:rsid w:val="00444AFA"/>
    <w:rsid w:val="00446AA4"/>
    <w:rsid w:val="0046028D"/>
    <w:rsid w:val="0047050D"/>
    <w:rsid w:val="004943FB"/>
    <w:rsid w:val="004B1E6F"/>
    <w:rsid w:val="004B2D60"/>
    <w:rsid w:val="004B626A"/>
    <w:rsid w:val="004C144B"/>
    <w:rsid w:val="004C5A74"/>
    <w:rsid w:val="004D6F47"/>
    <w:rsid w:val="004E21D7"/>
    <w:rsid w:val="004F147C"/>
    <w:rsid w:val="004F52FC"/>
    <w:rsid w:val="0050530A"/>
    <w:rsid w:val="00525528"/>
    <w:rsid w:val="00531ABF"/>
    <w:rsid w:val="00550CED"/>
    <w:rsid w:val="00573127"/>
    <w:rsid w:val="00573557"/>
    <w:rsid w:val="00574D28"/>
    <w:rsid w:val="00591961"/>
    <w:rsid w:val="005956EB"/>
    <w:rsid w:val="005B3A4C"/>
    <w:rsid w:val="005B5D43"/>
    <w:rsid w:val="005B74F9"/>
    <w:rsid w:val="005C62CE"/>
    <w:rsid w:val="005D799C"/>
    <w:rsid w:val="005E6756"/>
    <w:rsid w:val="006036DB"/>
    <w:rsid w:val="00604871"/>
    <w:rsid w:val="00607377"/>
    <w:rsid w:val="00617FE9"/>
    <w:rsid w:val="0063163E"/>
    <w:rsid w:val="006430A8"/>
    <w:rsid w:val="006831D7"/>
    <w:rsid w:val="006858A0"/>
    <w:rsid w:val="00694834"/>
    <w:rsid w:val="00695212"/>
    <w:rsid w:val="006A25F5"/>
    <w:rsid w:val="006E40F7"/>
    <w:rsid w:val="006F3D09"/>
    <w:rsid w:val="00712390"/>
    <w:rsid w:val="00722D1F"/>
    <w:rsid w:val="0072754C"/>
    <w:rsid w:val="007311BF"/>
    <w:rsid w:val="007343F0"/>
    <w:rsid w:val="007367EB"/>
    <w:rsid w:val="0074017A"/>
    <w:rsid w:val="0074476B"/>
    <w:rsid w:val="00751163"/>
    <w:rsid w:val="0076353E"/>
    <w:rsid w:val="0077097C"/>
    <w:rsid w:val="00772C01"/>
    <w:rsid w:val="007761B8"/>
    <w:rsid w:val="00786C1E"/>
    <w:rsid w:val="00793E3F"/>
    <w:rsid w:val="00795E00"/>
    <w:rsid w:val="00797B53"/>
    <w:rsid w:val="007A0B0B"/>
    <w:rsid w:val="007A1C34"/>
    <w:rsid w:val="007A7BE9"/>
    <w:rsid w:val="007B1EEF"/>
    <w:rsid w:val="007B45EE"/>
    <w:rsid w:val="007D111A"/>
    <w:rsid w:val="007D6987"/>
    <w:rsid w:val="007E546D"/>
    <w:rsid w:val="007F0B63"/>
    <w:rsid w:val="00802457"/>
    <w:rsid w:val="00810E74"/>
    <w:rsid w:val="008166A7"/>
    <w:rsid w:val="00845530"/>
    <w:rsid w:val="00852217"/>
    <w:rsid w:val="0085793A"/>
    <w:rsid w:val="00862AB4"/>
    <w:rsid w:val="00864DC5"/>
    <w:rsid w:val="00870730"/>
    <w:rsid w:val="0087181B"/>
    <w:rsid w:val="00880482"/>
    <w:rsid w:val="008858CB"/>
    <w:rsid w:val="00891264"/>
    <w:rsid w:val="00897277"/>
    <w:rsid w:val="008A541D"/>
    <w:rsid w:val="008B2557"/>
    <w:rsid w:val="008B6681"/>
    <w:rsid w:val="008F4DF5"/>
    <w:rsid w:val="008F5CBD"/>
    <w:rsid w:val="00901E6C"/>
    <w:rsid w:val="009053AE"/>
    <w:rsid w:val="00911C0A"/>
    <w:rsid w:val="00911E83"/>
    <w:rsid w:val="00913BA1"/>
    <w:rsid w:val="0091648A"/>
    <w:rsid w:val="009269E2"/>
    <w:rsid w:val="009432BF"/>
    <w:rsid w:val="009605BD"/>
    <w:rsid w:val="00975720"/>
    <w:rsid w:val="009864EE"/>
    <w:rsid w:val="00992BE4"/>
    <w:rsid w:val="009B6783"/>
    <w:rsid w:val="009D4DFD"/>
    <w:rsid w:val="009D604A"/>
    <w:rsid w:val="009E032C"/>
    <w:rsid w:val="009E5945"/>
    <w:rsid w:val="009F2200"/>
    <w:rsid w:val="009F7B6D"/>
    <w:rsid w:val="00A04AA1"/>
    <w:rsid w:val="00A0784E"/>
    <w:rsid w:val="00A10D5C"/>
    <w:rsid w:val="00A115A8"/>
    <w:rsid w:val="00A16201"/>
    <w:rsid w:val="00A16E62"/>
    <w:rsid w:val="00A179AD"/>
    <w:rsid w:val="00A24F00"/>
    <w:rsid w:val="00A44151"/>
    <w:rsid w:val="00A4519C"/>
    <w:rsid w:val="00A635E3"/>
    <w:rsid w:val="00A70CDB"/>
    <w:rsid w:val="00A74E33"/>
    <w:rsid w:val="00A7761F"/>
    <w:rsid w:val="00A83EC0"/>
    <w:rsid w:val="00A846DF"/>
    <w:rsid w:val="00A862DF"/>
    <w:rsid w:val="00A94EE9"/>
    <w:rsid w:val="00A9501E"/>
    <w:rsid w:val="00AA14E4"/>
    <w:rsid w:val="00AA530A"/>
    <w:rsid w:val="00AA53C3"/>
    <w:rsid w:val="00AB0C30"/>
    <w:rsid w:val="00AB1EF2"/>
    <w:rsid w:val="00AB3082"/>
    <w:rsid w:val="00AE2B90"/>
    <w:rsid w:val="00AF30C7"/>
    <w:rsid w:val="00AF33E1"/>
    <w:rsid w:val="00AF409F"/>
    <w:rsid w:val="00AF41EF"/>
    <w:rsid w:val="00AF72DE"/>
    <w:rsid w:val="00B25AB9"/>
    <w:rsid w:val="00B30B97"/>
    <w:rsid w:val="00B409A5"/>
    <w:rsid w:val="00B70F0C"/>
    <w:rsid w:val="00B84CF9"/>
    <w:rsid w:val="00B91038"/>
    <w:rsid w:val="00B9621F"/>
    <w:rsid w:val="00B97EE5"/>
    <w:rsid w:val="00BB4140"/>
    <w:rsid w:val="00BB5368"/>
    <w:rsid w:val="00BC60EE"/>
    <w:rsid w:val="00BC6FF4"/>
    <w:rsid w:val="00BC7E7E"/>
    <w:rsid w:val="00C00DFD"/>
    <w:rsid w:val="00C04537"/>
    <w:rsid w:val="00C065D7"/>
    <w:rsid w:val="00C23D50"/>
    <w:rsid w:val="00C31DDA"/>
    <w:rsid w:val="00C44E9D"/>
    <w:rsid w:val="00C44EFD"/>
    <w:rsid w:val="00C478D1"/>
    <w:rsid w:val="00C630A2"/>
    <w:rsid w:val="00C70D5A"/>
    <w:rsid w:val="00C86E64"/>
    <w:rsid w:val="00C931BC"/>
    <w:rsid w:val="00C94C46"/>
    <w:rsid w:val="00C95047"/>
    <w:rsid w:val="00C96B79"/>
    <w:rsid w:val="00CB3CD6"/>
    <w:rsid w:val="00CC21DD"/>
    <w:rsid w:val="00D01977"/>
    <w:rsid w:val="00D076A0"/>
    <w:rsid w:val="00D22D0A"/>
    <w:rsid w:val="00D30FAC"/>
    <w:rsid w:val="00D318AB"/>
    <w:rsid w:val="00D432E5"/>
    <w:rsid w:val="00D52111"/>
    <w:rsid w:val="00D63AE5"/>
    <w:rsid w:val="00D64CF6"/>
    <w:rsid w:val="00D67CAD"/>
    <w:rsid w:val="00D70093"/>
    <w:rsid w:val="00D72898"/>
    <w:rsid w:val="00D73959"/>
    <w:rsid w:val="00D90C6A"/>
    <w:rsid w:val="00D96643"/>
    <w:rsid w:val="00DE574E"/>
    <w:rsid w:val="00DF3F4A"/>
    <w:rsid w:val="00DF425B"/>
    <w:rsid w:val="00E030C4"/>
    <w:rsid w:val="00E06208"/>
    <w:rsid w:val="00E138F7"/>
    <w:rsid w:val="00E157CC"/>
    <w:rsid w:val="00E20A9E"/>
    <w:rsid w:val="00E21C4A"/>
    <w:rsid w:val="00E24EDA"/>
    <w:rsid w:val="00E309A7"/>
    <w:rsid w:val="00E30B58"/>
    <w:rsid w:val="00E40A26"/>
    <w:rsid w:val="00E50D8F"/>
    <w:rsid w:val="00E51C7B"/>
    <w:rsid w:val="00E54777"/>
    <w:rsid w:val="00E60AEE"/>
    <w:rsid w:val="00E644EE"/>
    <w:rsid w:val="00E66D3B"/>
    <w:rsid w:val="00E80282"/>
    <w:rsid w:val="00E87A49"/>
    <w:rsid w:val="00E87B32"/>
    <w:rsid w:val="00EA5A95"/>
    <w:rsid w:val="00EC0030"/>
    <w:rsid w:val="00ED2D62"/>
    <w:rsid w:val="00ED6AAC"/>
    <w:rsid w:val="00EE0A5B"/>
    <w:rsid w:val="00EE4804"/>
    <w:rsid w:val="00EF2453"/>
    <w:rsid w:val="00EF57B9"/>
    <w:rsid w:val="00F12409"/>
    <w:rsid w:val="00F14930"/>
    <w:rsid w:val="00F314EE"/>
    <w:rsid w:val="00F3355A"/>
    <w:rsid w:val="00F44B3F"/>
    <w:rsid w:val="00F52C8A"/>
    <w:rsid w:val="00F6440D"/>
    <w:rsid w:val="00F7067B"/>
    <w:rsid w:val="00F80929"/>
    <w:rsid w:val="00F84C22"/>
    <w:rsid w:val="00FA1FD9"/>
    <w:rsid w:val="00FA23B9"/>
    <w:rsid w:val="00FC6887"/>
    <w:rsid w:val="00FD11E4"/>
    <w:rsid w:val="00FD76DD"/>
    <w:rsid w:val="00FE5BB5"/>
    <w:rsid w:val="00FE751A"/>
    <w:rsid w:val="00FF3201"/>
    <w:rsid w:val="00FF7579"/>
    <w:rsid w:val="0FBF14A0"/>
    <w:rsid w:val="1D62618C"/>
    <w:rsid w:val="29C803D4"/>
    <w:rsid w:val="35713E9F"/>
    <w:rsid w:val="3A5028CA"/>
    <w:rsid w:val="3B431BF5"/>
    <w:rsid w:val="4B5B3E27"/>
    <w:rsid w:val="50F374B3"/>
    <w:rsid w:val="5C98743E"/>
    <w:rsid w:val="5F934AC7"/>
    <w:rsid w:val="60C50CA9"/>
    <w:rsid w:val="66C02C07"/>
    <w:rsid w:val="6CA76B62"/>
    <w:rsid w:val="6CD06FAA"/>
    <w:rsid w:val="7B5C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F65A"/>
  <w15:docId w15:val="{3CBBB370-7D4F-4C5B-B252-BA529C4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2">
    <w:name w:val="heading 2"/>
    <w:basedOn w:val="a"/>
    <w:next w:val="a"/>
    <w:link w:val="20"/>
    <w:qFormat/>
    <w:pPr>
      <w:keepNext/>
      <w:keepLines/>
      <w:spacing w:before="260" w:after="260"/>
      <w:outlineLvl w:val="1"/>
    </w:pPr>
    <w:rPr>
      <w:rFonts w:ascii="Arial" w:eastAsia="黑体"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link w:val="1"/>
    <w:qFormat/>
    <w:pPr>
      <w:snapToGrid w:val="0"/>
      <w:spacing w:line="400" w:lineRule="atLeast"/>
      <w:ind w:firstLineChars="375" w:firstLine="900"/>
    </w:pPr>
    <w:rPr>
      <w:rFonts w:ascii="楷体_GB2312" w:eastAsia="楷体_GB2312"/>
      <w:sz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rFonts w:ascii="Verdana" w:hAnsi="Verdana"/>
      <w:color w:val="0000FF"/>
      <w:kern w:val="0"/>
      <w:sz w:val="20"/>
      <w:szCs w:val="20"/>
      <w:u w:val="single"/>
      <w:lang w:eastAsia="en-US"/>
    </w:rPr>
  </w:style>
  <w:style w:type="character" w:styleId="ae">
    <w:name w:val="annotation reference"/>
    <w:semiHidden/>
    <w:qFormat/>
    <w:rPr>
      <w:sz w:val="21"/>
      <w:szCs w:val="21"/>
    </w:rPr>
  </w:style>
  <w:style w:type="character" w:customStyle="1" w:styleId="1">
    <w:name w:val="正文文本缩进 字符1"/>
    <w:link w:val="a5"/>
    <w:qFormat/>
    <w:rPr>
      <w:rFonts w:ascii="楷体_GB2312" w:eastAsia="楷体_GB2312" w:hAnsi="Times New Roman" w:cs="Times New Roman"/>
      <w:sz w:val="24"/>
      <w:szCs w:val="24"/>
    </w:rPr>
  </w:style>
  <w:style w:type="character" w:customStyle="1" w:styleId="af">
    <w:name w:val="正文文本缩进 字符"/>
    <w:basedOn w:val="a0"/>
    <w:uiPriority w:val="99"/>
    <w:semiHidden/>
    <w:qFormat/>
    <w:rPr>
      <w:rFonts w:ascii="Times New Roman" w:eastAsia="宋体" w:hAnsi="Times New Roman" w:cs="Times New Roman"/>
      <w:szCs w:val="24"/>
    </w:rPr>
  </w:style>
  <w:style w:type="paragraph" w:styleId="af0">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character" w:customStyle="1" w:styleId="21">
    <w:name w:val="未处理的提及2"/>
    <w:basedOn w:val="a0"/>
    <w:uiPriority w:val="99"/>
    <w:semiHidden/>
    <w:unhideWhenUsed/>
    <w:qFormat/>
    <w:rPr>
      <w:color w:val="605E5C"/>
      <w:shd w:val="clear" w:color="auto" w:fill="E1DFDD"/>
    </w:rPr>
  </w:style>
  <w:style w:type="character" w:customStyle="1" w:styleId="20">
    <w:name w:val="标题 2 字符"/>
    <w:basedOn w:val="a0"/>
    <w:link w:val="2"/>
    <w:qFormat/>
    <w:rPr>
      <w:rFonts w:ascii="Arial" w:eastAsia="黑体" w:hAnsi="Arial" w:cs="Times New Roman"/>
      <w:b/>
      <w:bCs/>
      <w:kern w:val="2"/>
      <w:sz w:val="28"/>
      <w:szCs w:val="32"/>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font41">
    <w:name w:val="font41"/>
    <w:basedOn w:val="a0"/>
    <w:qFormat/>
    <w:rPr>
      <w:rFonts w:ascii="Times New Roman" w:hAnsi="Times New Roman" w:cs="Times New Roman" w:hint="default"/>
      <w:b/>
      <w:bCs/>
      <w:color w:val="000000"/>
      <w:sz w:val="21"/>
      <w:szCs w:val="21"/>
      <w:u w:val="none"/>
    </w:rPr>
  </w:style>
  <w:style w:type="paragraph" w:customStyle="1" w:styleId="11">
    <w:name w:val="修订1"/>
    <w:hidden/>
    <w:uiPriority w:val="99"/>
    <w:semiHidden/>
    <w:rPr>
      <w:rFonts w:ascii="Times New Roman" w:eastAsia="宋体" w:hAnsi="Times New Roman" w:cs="Times New Roman"/>
      <w:kern w:val="2"/>
      <w:sz w:val="21"/>
      <w:szCs w:val="24"/>
    </w:rPr>
  </w:style>
  <w:style w:type="paragraph" w:customStyle="1" w:styleId="Default">
    <w:name w:val="Default"/>
    <w:qFormat/>
    <w:rsid w:val="0091648A"/>
    <w:pPr>
      <w:widowControl w:val="0"/>
      <w:autoSpaceDE w:val="0"/>
      <w:autoSpaceDN w:val="0"/>
      <w:adjustRightInd w:val="0"/>
    </w:pPr>
    <w:rPr>
      <w:rFonts w:ascii="宋体" w:eastAsia="宋体" w:cs="宋体"/>
      <w:color w:val="000000"/>
      <w:sz w:val="24"/>
      <w:szCs w:val="24"/>
    </w:rPr>
  </w:style>
  <w:style w:type="paragraph" w:styleId="af1">
    <w:name w:val="annotation subject"/>
    <w:basedOn w:val="a3"/>
    <w:next w:val="a3"/>
    <w:link w:val="af2"/>
    <w:uiPriority w:val="99"/>
    <w:semiHidden/>
    <w:unhideWhenUsed/>
    <w:rsid w:val="007A1C34"/>
    <w:rPr>
      <w:b/>
      <w:bCs/>
    </w:rPr>
  </w:style>
  <w:style w:type="character" w:customStyle="1" w:styleId="af2">
    <w:name w:val="批注主题 字符"/>
    <w:basedOn w:val="a4"/>
    <w:link w:val="af1"/>
    <w:uiPriority w:val="99"/>
    <w:semiHidden/>
    <w:rsid w:val="007A1C34"/>
    <w:rPr>
      <w:rFonts w:ascii="Calibri" w:eastAsia="宋体" w:hAnsi="Calibri" w:cs="Times New Roman"/>
      <w:b/>
      <w:bCs/>
      <w:kern w:val="2"/>
      <w:sz w:val="21"/>
      <w:szCs w:val="21"/>
    </w:rPr>
  </w:style>
  <w:style w:type="paragraph" w:styleId="af3">
    <w:name w:val="Revision"/>
    <w:hidden/>
    <w:uiPriority w:val="99"/>
    <w:semiHidden/>
    <w:rsid w:val="007A1C34"/>
    <w:rPr>
      <w:rFonts w:ascii="Calibri" w:eastAsia="宋体" w:hAnsi="Calibri"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7A0A9-F49E-412B-BC5F-E5192777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陈可亮</dc:creator>
  <cp:lastModifiedBy>孙 大伟</cp:lastModifiedBy>
  <cp:revision>18</cp:revision>
  <cp:lastPrinted>2020-03-18T02:20:00Z</cp:lastPrinted>
  <dcterms:created xsi:type="dcterms:W3CDTF">2022-10-09T05:53:00Z</dcterms:created>
  <dcterms:modified xsi:type="dcterms:W3CDTF">2022-10-11T08:28:00Z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64CE1C34D18046F0AD8A606E1D1168F4</vt:lpwstr>
  </property>
</Properties>
</file>