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421F" w14:textId="77777777" w:rsidR="007D1ABF" w:rsidRPr="000556B3" w:rsidRDefault="00CC33D3" w:rsidP="00180CA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安徽省交通建设</w:t>
      </w:r>
      <w:r w:rsidR="007D1ABF"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股份有限公司</w:t>
      </w:r>
    </w:p>
    <w:p w14:paraId="592365C5" w14:textId="2DBF2055" w:rsidR="007D1ABF" w:rsidRPr="000556B3" w:rsidRDefault="007D1ABF" w:rsidP="00180CA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独立董事关于第</w:t>
      </w:r>
      <w:r w:rsidR="00CC33D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二</w:t>
      </w: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届董事会第</w:t>
      </w:r>
      <w:r w:rsidR="000B5DF5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二</w:t>
      </w:r>
      <w:r w:rsidR="00CC7EF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十三</w:t>
      </w: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次会议</w:t>
      </w:r>
    </w:p>
    <w:p w14:paraId="3E040D7C" w14:textId="77777777" w:rsidR="007D1ABF" w:rsidRPr="000556B3" w:rsidRDefault="007D1ABF" w:rsidP="00180CA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相关事项的独立意见</w:t>
      </w:r>
    </w:p>
    <w:p w14:paraId="3C861C7F" w14:textId="77777777" w:rsidR="000556B3" w:rsidRDefault="000556B3" w:rsidP="00180CA3">
      <w:pPr>
        <w:pStyle w:val="a3"/>
        <w:spacing w:beforeLines="0" w:afterLines="0"/>
        <w:ind w:firstLine="480"/>
        <w:rPr>
          <w:rFonts w:asciiTheme="minorEastAsia" w:eastAsiaTheme="minorEastAsia" w:hAnsiTheme="minorEastAsia" w:cs="宋体"/>
          <w:kern w:val="0"/>
        </w:rPr>
      </w:pPr>
    </w:p>
    <w:p w14:paraId="000014CC" w14:textId="04B178A5" w:rsidR="008F0745" w:rsidRPr="000556B3" w:rsidRDefault="008F0745" w:rsidP="00180CA3">
      <w:pPr>
        <w:pStyle w:val="a3"/>
        <w:spacing w:beforeLines="0" w:afterLines="0"/>
        <w:ind w:firstLine="480"/>
        <w:rPr>
          <w:rFonts w:asciiTheme="minorEastAsia" w:eastAsiaTheme="minorEastAsia" w:hAnsiTheme="minorEastAsia" w:cs="宋体"/>
          <w:kern w:val="0"/>
        </w:rPr>
      </w:pPr>
      <w:r w:rsidRPr="000556B3">
        <w:rPr>
          <w:rFonts w:asciiTheme="minorEastAsia" w:eastAsiaTheme="minorEastAsia" w:hAnsiTheme="minorEastAsia" w:cs="宋体" w:hint="eastAsia"/>
          <w:kern w:val="0"/>
        </w:rPr>
        <w:t>根据</w:t>
      </w:r>
      <w:r w:rsidRPr="000556B3">
        <w:rPr>
          <w:rFonts w:asciiTheme="minorEastAsia" w:eastAsiaTheme="minorEastAsia" w:hAnsiTheme="minorEastAsia" w:hint="eastAsia"/>
        </w:rPr>
        <w:t>中国证监会</w:t>
      </w:r>
      <w:r w:rsidRPr="000556B3">
        <w:rPr>
          <w:rFonts w:asciiTheme="minorEastAsia" w:eastAsiaTheme="minorEastAsia" w:hAnsiTheme="minorEastAsia" w:cs="宋体" w:hint="eastAsia"/>
          <w:kern w:val="0"/>
        </w:rPr>
        <w:t>《上市公司治理准则》</w:t>
      </w:r>
      <w:r w:rsidR="007D1ABF" w:rsidRPr="000556B3">
        <w:rPr>
          <w:rFonts w:asciiTheme="minorEastAsia" w:eastAsiaTheme="minorEastAsia" w:hAnsiTheme="minorEastAsia" w:cs="宋体" w:hint="eastAsia"/>
          <w:kern w:val="0"/>
        </w:rPr>
        <w:t>、</w:t>
      </w:r>
      <w:r w:rsidRPr="000556B3">
        <w:rPr>
          <w:rFonts w:asciiTheme="minorEastAsia" w:eastAsiaTheme="minorEastAsia" w:hAnsiTheme="minorEastAsia" w:cs="宋体" w:hint="eastAsia"/>
          <w:kern w:val="0"/>
        </w:rPr>
        <w:t>《</w:t>
      </w:r>
      <w:r w:rsidR="0023538B">
        <w:rPr>
          <w:rFonts w:asciiTheme="minorEastAsia" w:eastAsiaTheme="minorEastAsia" w:hAnsiTheme="minorEastAsia" w:cs="宋体" w:hint="eastAsia"/>
          <w:kern w:val="0"/>
        </w:rPr>
        <w:t>上海证券交易所</w:t>
      </w:r>
      <w:r w:rsidRPr="000556B3">
        <w:rPr>
          <w:rFonts w:asciiTheme="minorEastAsia" w:eastAsiaTheme="minorEastAsia" w:hAnsiTheme="minorEastAsia" w:cs="宋体" w:hint="eastAsia"/>
          <w:kern w:val="0"/>
        </w:rPr>
        <w:t>股票上市规则》以及《公司章程》等有关规定,我们作为</w:t>
      </w:r>
      <w:r w:rsidR="00CC33D3" w:rsidRPr="00CC33D3">
        <w:rPr>
          <w:rFonts w:asciiTheme="minorEastAsia" w:eastAsiaTheme="minorEastAsia" w:hAnsiTheme="minorEastAsia" w:cs="宋体" w:hint="eastAsia"/>
          <w:kern w:val="0"/>
        </w:rPr>
        <w:t>安徽省交通建设股份有限公司</w:t>
      </w:r>
      <w:r w:rsidRPr="000556B3">
        <w:rPr>
          <w:rFonts w:asciiTheme="minorEastAsia" w:eastAsiaTheme="minorEastAsia" w:hAnsiTheme="minorEastAsia" w:cs="宋体" w:hint="eastAsia"/>
          <w:kern w:val="0"/>
        </w:rPr>
        <w:t>（简称“公司”）之独立董事,对</w:t>
      </w:r>
      <w:r w:rsidR="00A4465E">
        <w:rPr>
          <w:rFonts w:asciiTheme="minorEastAsia" w:eastAsiaTheme="minorEastAsia" w:hAnsiTheme="minorEastAsia" w:cs="宋体" w:hint="eastAsia"/>
          <w:kern w:val="0"/>
        </w:rPr>
        <w:t>公司202</w:t>
      </w:r>
      <w:r w:rsidR="000B5DF5">
        <w:rPr>
          <w:rFonts w:asciiTheme="minorEastAsia" w:eastAsiaTheme="minorEastAsia" w:hAnsiTheme="minorEastAsia" w:cs="宋体"/>
          <w:kern w:val="0"/>
        </w:rPr>
        <w:t>2</w:t>
      </w:r>
      <w:r w:rsidRPr="000556B3">
        <w:rPr>
          <w:rFonts w:asciiTheme="minorEastAsia" w:eastAsiaTheme="minorEastAsia" w:hAnsiTheme="minorEastAsia" w:cs="宋体" w:hint="eastAsia"/>
          <w:kern w:val="0"/>
        </w:rPr>
        <w:t>年</w:t>
      </w:r>
      <w:r w:rsidR="00CC33D3">
        <w:rPr>
          <w:rFonts w:asciiTheme="minorEastAsia" w:eastAsiaTheme="minorEastAsia" w:hAnsiTheme="minorEastAsia" w:cs="宋体" w:hint="eastAsia"/>
          <w:kern w:val="0"/>
        </w:rPr>
        <w:t>4</w:t>
      </w:r>
      <w:r w:rsidRPr="000556B3">
        <w:rPr>
          <w:rFonts w:asciiTheme="minorEastAsia" w:eastAsiaTheme="minorEastAsia" w:hAnsiTheme="minorEastAsia" w:cs="宋体" w:hint="eastAsia"/>
          <w:kern w:val="0"/>
        </w:rPr>
        <w:t>月</w:t>
      </w:r>
      <w:r w:rsidR="00015B19">
        <w:rPr>
          <w:rFonts w:asciiTheme="minorEastAsia" w:eastAsiaTheme="minorEastAsia" w:hAnsiTheme="minorEastAsia" w:cs="宋体" w:hint="eastAsia"/>
          <w:kern w:val="0"/>
        </w:rPr>
        <w:t>1</w:t>
      </w:r>
      <w:r w:rsidR="000B5DF5">
        <w:rPr>
          <w:rFonts w:asciiTheme="minorEastAsia" w:eastAsiaTheme="minorEastAsia" w:hAnsiTheme="minorEastAsia" w:cs="宋体"/>
          <w:kern w:val="0"/>
        </w:rPr>
        <w:t>8</w:t>
      </w:r>
      <w:r w:rsidRPr="000556B3">
        <w:rPr>
          <w:rFonts w:asciiTheme="minorEastAsia" w:eastAsiaTheme="minorEastAsia" w:hAnsiTheme="minorEastAsia" w:cs="宋体" w:hint="eastAsia"/>
          <w:kern w:val="0"/>
        </w:rPr>
        <w:t>日召开的第</w:t>
      </w:r>
      <w:r w:rsidR="00CC33D3">
        <w:rPr>
          <w:rFonts w:asciiTheme="minorEastAsia" w:eastAsiaTheme="minorEastAsia" w:hAnsiTheme="minorEastAsia" w:cs="宋体" w:hint="eastAsia"/>
          <w:kern w:val="0"/>
        </w:rPr>
        <w:t>二</w:t>
      </w:r>
      <w:r w:rsidRPr="000556B3">
        <w:rPr>
          <w:rFonts w:asciiTheme="minorEastAsia" w:eastAsiaTheme="minorEastAsia" w:hAnsiTheme="minorEastAsia" w:cs="宋体" w:hint="eastAsia"/>
          <w:kern w:val="0"/>
        </w:rPr>
        <w:t>届董事会第</w:t>
      </w:r>
      <w:r w:rsidR="000B5DF5">
        <w:rPr>
          <w:rFonts w:asciiTheme="minorEastAsia" w:eastAsiaTheme="minorEastAsia" w:hAnsiTheme="minorEastAsia" w:cs="宋体" w:hint="eastAsia"/>
          <w:kern w:val="0"/>
        </w:rPr>
        <w:t>二</w:t>
      </w:r>
      <w:r w:rsidR="00CC7EF3">
        <w:rPr>
          <w:rFonts w:asciiTheme="minorEastAsia" w:eastAsiaTheme="minorEastAsia" w:hAnsiTheme="minorEastAsia" w:cs="宋体" w:hint="eastAsia"/>
          <w:kern w:val="0"/>
        </w:rPr>
        <w:t>十三</w:t>
      </w:r>
      <w:r w:rsidRPr="000556B3">
        <w:rPr>
          <w:rFonts w:asciiTheme="minorEastAsia" w:eastAsiaTheme="minorEastAsia" w:hAnsiTheme="minorEastAsia" w:cs="宋体" w:hint="eastAsia"/>
          <w:kern w:val="0"/>
        </w:rPr>
        <w:t>次会议审议的</w:t>
      </w:r>
      <w:r w:rsidR="000556B3" w:rsidRPr="000556B3">
        <w:rPr>
          <w:rFonts w:asciiTheme="minorEastAsia" w:eastAsiaTheme="minorEastAsia" w:hAnsiTheme="minorEastAsia" w:cs="宋体" w:hint="eastAsia"/>
          <w:kern w:val="0"/>
        </w:rPr>
        <w:t>相关</w:t>
      </w:r>
      <w:r w:rsidRPr="000556B3">
        <w:rPr>
          <w:rFonts w:asciiTheme="minorEastAsia" w:eastAsiaTheme="minorEastAsia" w:hAnsiTheme="minorEastAsia" w:cs="宋体" w:hint="eastAsia"/>
          <w:kern w:val="0"/>
        </w:rPr>
        <w:t>议案发表如下独立意见：</w:t>
      </w:r>
    </w:p>
    <w:p w14:paraId="62BEBC36" w14:textId="53AF9FC0" w:rsidR="00BD0C1D" w:rsidRPr="00AD22CA" w:rsidRDefault="00F42761" w:rsidP="00AD22CA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D22CA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BD0C1D"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、关于</w:t>
      </w:r>
      <w:r w:rsidR="00015B19"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公司</w:t>
      </w:r>
      <w:r w:rsidR="00BD0C1D"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20</w:t>
      </w:r>
      <w:r w:rsidR="00CC7EF3" w:rsidRPr="00AD22CA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="000B5DF5" w:rsidRPr="00AD22CA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BD0C1D"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年度利润分配方案的</w:t>
      </w:r>
      <w:r w:rsidR="00FD64A4"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独立意见</w:t>
      </w:r>
    </w:p>
    <w:p w14:paraId="56CF868B" w14:textId="276DF77B" w:rsidR="00AD22CA" w:rsidRPr="00AD22CA" w:rsidRDefault="00994983" w:rsidP="00AD22CA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sz w:val="24"/>
          <w:szCs w:val="24"/>
        </w:rPr>
      </w:pPr>
      <w:r w:rsidRPr="00AD22CA">
        <w:rPr>
          <w:rFonts w:asciiTheme="minorEastAsia" w:eastAsiaTheme="minorEastAsia" w:hAnsiTheme="minorEastAsia" w:hint="eastAsia"/>
          <w:b/>
          <w:bCs/>
          <w:sz w:val="24"/>
          <w:szCs w:val="24"/>
        </w:rPr>
        <w:t>经核查，我们认为</w:t>
      </w:r>
      <w:r w:rsidRPr="00AD22C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D22CA" w:rsidRPr="00AD22CA">
        <w:rPr>
          <w:rFonts w:asciiTheme="minorEastAsia" w:eastAsiaTheme="minorEastAsia" w:hAnsiTheme="minorEastAsia"/>
          <w:sz w:val="24"/>
          <w:szCs w:val="24"/>
        </w:rPr>
        <w:t>公司2021年度利润分配</w:t>
      </w:r>
      <w:r w:rsidR="00AD22CA" w:rsidRPr="00AD22CA">
        <w:rPr>
          <w:rFonts w:asciiTheme="minorEastAsia" w:eastAsiaTheme="minorEastAsia" w:hAnsiTheme="minorEastAsia" w:hint="eastAsia"/>
          <w:sz w:val="24"/>
          <w:szCs w:val="24"/>
        </w:rPr>
        <w:t>方案</w:t>
      </w:r>
      <w:r w:rsidR="00AD22CA" w:rsidRPr="00AD22CA">
        <w:rPr>
          <w:rFonts w:asciiTheme="minorEastAsia" w:eastAsiaTheme="minorEastAsia" w:hAnsiTheme="minorEastAsia"/>
          <w:sz w:val="24"/>
          <w:szCs w:val="24"/>
        </w:rPr>
        <w:t>，符合《公司法》、《证券法》</w:t>
      </w:r>
      <w:r w:rsidR="00AD22CA" w:rsidRPr="00AD22CA">
        <w:rPr>
          <w:rFonts w:asciiTheme="minorEastAsia" w:eastAsiaTheme="minorEastAsia" w:hAnsiTheme="minorEastAsia" w:hint="eastAsia"/>
          <w:sz w:val="24"/>
          <w:szCs w:val="24"/>
        </w:rPr>
        <w:t>、《关于进一步落实上市公司现金分红有关事项的通知》以及</w:t>
      </w:r>
      <w:r w:rsidR="00AD22CA" w:rsidRPr="00AD22CA">
        <w:rPr>
          <w:rFonts w:asciiTheme="minorEastAsia" w:eastAsiaTheme="minorEastAsia" w:hAnsiTheme="minorEastAsia"/>
          <w:sz w:val="24"/>
          <w:szCs w:val="24"/>
        </w:rPr>
        <w:t>《公司章程》</w:t>
      </w:r>
      <w:r w:rsidR="00AD22CA" w:rsidRPr="00AD22CA">
        <w:rPr>
          <w:rFonts w:asciiTheme="minorEastAsia" w:eastAsiaTheme="minorEastAsia" w:hAnsiTheme="minorEastAsia" w:hint="eastAsia"/>
          <w:sz w:val="24"/>
          <w:szCs w:val="24"/>
        </w:rPr>
        <w:t>等相关规定</w:t>
      </w:r>
      <w:r w:rsidR="00AD22CA" w:rsidRPr="00AD22CA">
        <w:rPr>
          <w:rFonts w:asciiTheme="minorEastAsia" w:eastAsiaTheme="minorEastAsia" w:hAnsiTheme="minorEastAsia"/>
          <w:sz w:val="24"/>
          <w:szCs w:val="24"/>
        </w:rPr>
        <w:t>中关于利润分配的</w:t>
      </w:r>
      <w:r w:rsidR="00AD22CA" w:rsidRPr="00AD22CA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AD22CA" w:rsidRPr="00AD22CA">
        <w:rPr>
          <w:rFonts w:asciiTheme="minorEastAsia" w:eastAsiaTheme="minorEastAsia" w:hAnsiTheme="minorEastAsia"/>
          <w:sz w:val="24"/>
          <w:szCs w:val="24"/>
        </w:rPr>
        <w:t>，</w:t>
      </w:r>
      <w:r w:rsidR="00AD22CA" w:rsidRPr="00AD22CA">
        <w:rPr>
          <w:rFonts w:asciiTheme="minorEastAsia" w:eastAsiaTheme="minorEastAsia" w:hAnsiTheme="minorEastAsia" w:hint="eastAsia"/>
          <w:sz w:val="24"/>
          <w:szCs w:val="24"/>
        </w:rPr>
        <w:t>现金分红水平合理，能够兼顾投资者的合理回报和公司的可持续发展，符合公司长远发展需要，不存在损害中小股东利益的情形。公司对该分配方案的审议及表决程序符合相关法律、法规及《公司章程》的规定。</w:t>
      </w:r>
    </w:p>
    <w:p w14:paraId="7269585C" w14:textId="77777777" w:rsidR="00AD22CA" w:rsidRPr="00AD22CA" w:rsidRDefault="00AD22CA" w:rsidP="00AD22CA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r w:rsidRPr="00AD22CA">
        <w:rPr>
          <w:rFonts w:asciiTheme="minorEastAsia" w:eastAsiaTheme="minorEastAsia" w:hAnsiTheme="minorEastAsia" w:hint="eastAsia"/>
          <w:sz w:val="24"/>
          <w:szCs w:val="24"/>
        </w:rPr>
        <w:t>因此，我们同意《关于公司20</w:t>
      </w:r>
      <w:r w:rsidRPr="00AD22CA">
        <w:rPr>
          <w:rFonts w:asciiTheme="minorEastAsia" w:eastAsiaTheme="minorEastAsia" w:hAnsiTheme="minorEastAsia"/>
          <w:sz w:val="24"/>
          <w:szCs w:val="24"/>
        </w:rPr>
        <w:t>21</w:t>
      </w:r>
      <w:r w:rsidRPr="00AD22CA">
        <w:rPr>
          <w:rFonts w:asciiTheme="minorEastAsia" w:eastAsiaTheme="minorEastAsia" w:hAnsiTheme="minorEastAsia" w:hint="eastAsia"/>
          <w:sz w:val="24"/>
          <w:szCs w:val="24"/>
        </w:rPr>
        <w:t>年度利润分配预案的议案》，并同意将该议案提交公司</w:t>
      </w:r>
      <w:r w:rsidRPr="00AD22CA">
        <w:rPr>
          <w:rFonts w:asciiTheme="minorEastAsia" w:eastAsiaTheme="minorEastAsia" w:hAnsiTheme="minorEastAsia"/>
          <w:sz w:val="24"/>
          <w:szCs w:val="24"/>
        </w:rPr>
        <w:t>2021</w:t>
      </w:r>
      <w:r w:rsidRPr="00AD22CA">
        <w:rPr>
          <w:rFonts w:asciiTheme="minorEastAsia" w:eastAsiaTheme="minorEastAsia" w:hAnsiTheme="minorEastAsia" w:hint="eastAsia"/>
          <w:sz w:val="24"/>
          <w:szCs w:val="24"/>
        </w:rPr>
        <w:t>年年度股东大会审议批准。</w:t>
      </w:r>
    </w:p>
    <w:p w14:paraId="514B7906" w14:textId="40BC0399" w:rsidR="00CC33D3" w:rsidRPr="00C07CC6" w:rsidRDefault="00CC33D3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2、关于</w:t>
      </w:r>
      <w:r w:rsidR="00015B19"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公司</w:t>
      </w: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20</w:t>
      </w:r>
      <w:r w:rsidR="00CC7EF3" w:rsidRPr="00C07CC6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="000B5DF5" w:rsidRPr="00C07CC6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年度募集资金存放与</w:t>
      </w:r>
      <w:r w:rsidR="000D3031">
        <w:rPr>
          <w:rFonts w:asciiTheme="minorEastAsia" w:eastAsiaTheme="minorEastAsia" w:hAnsiTheme="minorEastAsia" w:hint="eastAsia"/>
          <w:b/>
          <w:bCs/>
          <w:sz w:val="24"/>
          <w:szCs w:val="24"/>
        </w:rPr>
        <w:t>实际</w:t>
      </w: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使用情况的独立意见</w:t>
      </w:r>
    </w:p>
    <w:p w14:paraId="4E4E450A" w14:textId="0A6466FA" w:rsidR="00CC33D3" w:rsidRPr="000556B3" w:rsidRDefault="00CC33D3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/>
          <w:b/>
          <w:bCs/>
          <w:sz w:val="24"/>
          <w:szCs w:val="24"/>
        </w:rPr>
        <w:t>经核查，我们认为</w:t>
      </w:r>
      <w:r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bookmarkStart w:id="0" w:name="_Hlk100924808"/>
      <w:r w:rsidRPr="000556B3">
        <w:rPr>
          <w:rFonts w:asciiTheme="minorEastAsia" w:eastAsiaTheme="minorEastAsia" w:hAnsiTheme="minorEastAsia"/>
          <w:sz w:val="24"/>
          <w:szCs w:val="24"/>
        </w:rPr>
        <w:t>公司</w:t>
      </w:r>
      <w:bookmarkEnd w:id="0"/>
      <w:r w:rsidR="00C07CC6">
        <w:rPr>
          <w:rFonts w:asciiTheme="minorEastAsia" w:eastAsiaTheme="minorEastAsia" w:hAnsiTheme="minorEastAsia" w:hint="eastAsia"/>
          <w:sz w:val="24"/>
          <w:szCs w:val="24"/>
        </w:rPr>
        <w:t>董事会</w:t>
      </w:r>
      <w:r w:rsidR="005772D1">
        <w:rPr>
          <w:rFonts w:asciiTheme="minorEastAsia" w:eastAsiaTheme="minorEastAsia" w:hAnsiTheme="minorEastAsia" w:hint="eastAsia"/>
          <w:sz w:val="24"/>
          <w:szCs w:val="24"/>
        </w:rPr>
        <w:t>出具</w:t>
      </w:r>
      <w:r w:rsidR="00C07CC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0556B3">
        <w:rPr>
          <w:rFonts w:asciiTheme="minorEastAsia" w:eastAsiaTheme="minorEastAsia" w:hAnsiTheme="minorEastAsia"/>
          <w:sz w:val="24"/>
          <w:szCs w:val="24"/>
        </w:rPr>
        <w:t>《</w:t>
      </w:r>
      <w:r w:rsidR="006A4C8C" w:rsidRPr="008137B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安徽省交通建设股份有限公司</w:t>
      </w:r>
      <w:r w:rsidR="007C1B93" w:rsidRPr="00CC33D3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CC7EF3">
        <w:rPr>
          <w:rFonts w:asciiTheme="minorEastAsia" w:eastAsiaTheme="minorEastAsia" w:hAnsiTheme="minorEastAsia"/>
          <w:sz w:val="24"/>
          <w:szCs w:val="24"/>
        </w:rPr>
        <w:t>2</w:t>
      </w:r>
      <w:r w:rsidR="000B5DF5">
        <w:rPr>
          <w:rFonts w:asciiTheme="minorEastAsia" w:eastAsiaTheme="minorEastAsia" w:hAnsiTheme="minorEastAsia"/>
          <w:sz w:val="24"/>
          <w:szCs w:val="24"/>
        </w:rPr>
        <w:t>1</w:t>
      </w:r>
      <w:r w:rsidR="007C1B93" w:rsidRPr="00CC33D3">
        <w:rPr>
          <w:rFonts w:asciiTheme="minorEastAsia" w:eastAsiaTheme="minorEastAsia" w:hAnsiTheme="minorEastAsia" w:hint="eastAsia"/>
          <w:sz w:val="24"/>
          <w:szCs w:val="24"/>
        </w:rPr>
        <w:t>年度募集资</w:t>
      </w:r>
      <w:r w:rsidR="007C1B93" w:rsidRPr="000D3031">
        <w:rPr>
          <w:rFonts w:asciiTheme="minorEastAsia" w:eastAsiaTheme="minorEastAsia" w:hAnsiTheme="minorEastAsia" w:hint="eastAsia"/>
          <w:sz w:val="24"/>
          <w:szCs w:val="24"/>
        </w:rPr>
        <w:t>金存放与</w:t>
      </w:r>
      <w:r w:rsidR="000D3031" w:rsidRPr="000D3031">
        <w:rPr>
          <w:rFonts w:asciiTheme="minorEastAsia" w:eastAsiaTheme="minorEastAsia" w:hAnsiTheme="minorEastAsia" w:hint="eastAsia"/>
          <w:sz w:val="24"/>
          <w:szCs w:val="24"/>
        </w:rPr>
        <w:t>实际</w:t>
      </w:r>
      <w:r w:rsidR="007C1B93" w:rsidRPr="00CC33D3">
        <w:rPr>
          <w:rFonts w:asciiTheme="minorEastAsia" w:eastAsiaTheme="minorEastAsia" w:hAnsiTheme="minorEastAsia" w:hint="eastAsia"/>
          <w:sz w:val="24"/>
          <w:szCs w:val="24"/>
        </w:rPr>
        <w:t>使用情况专项报告</w:t>
      </w:r>
      <w:r w:rsidRPr="000556B3">
        <w:rPr>
          <w:rFonts w:asciiTheme="minorEastAsia" w:eastAsiaTheme="minorEastAsia" w:hAnsiTheme="minorEastAsia"/>
          <w:sz w:val="24"/>
          <w:szCs w:val="24"/>
        </w:rPr>
        <w:t>》真实、准确、完整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0556B3">
        <w:rPr>
          <w:rFonts w:asciiTheme="minorEastAsia" w:eastAsiaTheme="minorEastAsia" w:hAnsiTheme="minorEastAsia"/>
          <w:sz w:val="24"/>
          <w:szCs w:val="24"/>
        </w:rPr>
        <w:t>反映公司募集资金存放、使用、管理情况，募集资金使用符合</w:t>
      </w:r>
      <w:r w:rsidR="005772D1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0556B3">
        <w:rPr>
          <w:rFonts w:asciiTheme="minorEastAsia" w:eastAsiaTheme="minorEastAsia" w:hAnsiTheme="minorEastAsia"/>
          <w:sz w:val="24"/>
          <w:szCs w:val="24"/>
        </w:rPr>
        <w:t>规定程序，不存在变相改变募集资金用途的情形，不存在违规存放与使用募集资金的情形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BBB636E" w14:textId="577BF9A5" w:rsidR="00CC33D3" w:rsidRPr="000556B3" w:rsidRDefault="00CC33D3" w:rsidP="00180CA3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sz w:val="24"/>
          <w:szCs w:val="24"/>
        </w:rPr>
        <w:t>因此，我们同意《</w:t>
      </w:r>
      <w:r w:rsidRPr="00CC33D3">
        <w:rPr>
          <w:rFonts w:asciiTheme="minorEastAsia" w:eastAsiaTheme="minorEastAsia" w:hAnsiTheme="minorEastAsia" w:hint="eastAsia"/>
          <w:sz w:val="24"/>
          <w:szCs w:val="24"/>
        </w:rPr>
        <w:t>关于公司20</w:t>
      </w:r>
      <w:r w:rsidR="00CC7EF3">
        <w:rPr>
          <w:rFonts w:asciiTheme="minorEastAsia" w:eastAsiaTheme="minorEastAsia" w:hAnsiTheme="minorEastAsia"/>
          <w:sz w:val="24"/>
          <w:szCs w:val="24"/>
        </w:rPr>
        <w:t>2</w:t>
      </w:r>
      <w:r w:rsidR="000B5DF5">
        <w:rPr>
          <w:rFonts w:asciiTheme="minorEastAsia" w:eastAsiaTheme="minorEastAsia" w:hAnsiTheme="minorEastAsia"/>
          <w:sz w:val="24"/>
          <w:szCs w:val="24"/>
        </w:rPr>
        <w:t>1</w:t>
      </w:r>
      <w:r w:rsidRPr="00CC33D3">
        <w:rPr>
          <w:rFonts w:asciiTheme="minorEastAsia" w:eastAsiaTheme="minorEastAsia" w:hAnsiTheme="minorEastAsia" w:hint="eastAsia"/>
          <w:sz w:val="24"/>
          <w:szCs w:val="24"/>
        </w:rPr>
        <w:t>年度募集资金存放与</w:t>
      </w:r>
      <w:r w:rsidR="000D3031" w:rsidRPr="000D3031">
        <w:rPr>
          <w:rFonts w:asciiTheme="minorEastAsia" w:eastAsiaTheme="minorEastAsia" w:hAnsiTheme="minorEastAsia" w:hint="eastAsia"/>
          <w:sz w:val="24"/>
          <w:szCs w:val="24"/>
        </w:rPr>
        <w:t>实际</w:t>
      </w:r>
      <w:r w:rsidRPr="00CC33D3">
        <w:rPr>
          <w:rFonts w:asciiTheme="minorEastAsia" w:eastAsiaTheme="minorEastAsia" w:hAnsiTheme="minorEastAsia" w:hint="eastAsia"/>
          <w:sz w:val="24"/>
          <w:szCs w:val="24"/>
        </w:rPr>
        <w:t>使用情况专项报告的议案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14:paraId="59029927" w14:textId="696ECBF3" w:rsidR="00CC33D3" w:rsidRPr="00C07CC6" w:rsidRDefault="00CC33D3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3、关于2</w:t>
      </w:r>
      <w:r w:rsidRPr="00C07CC6">
        <w:rPr>
          <w:rFonts w:asciiTheme="minorEastAsia" w:eastAsiaTheme="minorEastAsia" w:hAnsiTheme="minorEastAsia"/>
          <w:b/>
          <w:bCs/>
          <w:sz w:val="24"/>
          <w:szCs w:val="24"/>
        </w:rPr>
        <w:t>0</w:t>
      </w:r>
      <w:r w:rsidR="00CC7EF3" w:rsidRPr="00C07CC6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="000B5DF5" w:rsidRPr="00C07CC6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Pr="00C07CC6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年度内部控制评价报告的独立意见</w:t>
      </w:r>
    </w:p>
    <w:p w14:paraId="53BA64E7" w14:textId="3657D27F" w:rsidR="00CC33D3" w:rsidRPr="000556B3" w:rsidRDefault="00CC33D3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经核查，我们认为：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报告期内，公司不断健全</w:t>
      </w:r>
      <w:r w:rsidRPr="000556B3">
        <w:rPr>
          <w:rFonts w:asciiTheme="minorEastAsia" w:eastAsiaTheme="minorEastAsia" w:hAnsiTheme="minorEastAsia"/>
          <w:sz w:val="24"/>
          <w:szCs w:val="24"/>
        </w:rPr>
        <w:t>内部控制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制度，</w:t>
      </w:r>
      <w:r w:rsidR="00C07CC6" w:rsidRPr="00C07CC6">
        <w:rPr>
          <w:rFonts w:asciiTheme="minorEastAsia" w:eastAsiaTheme="minorEastAsia" w:hAnsiTheme="minorEastAsia" w:hint="eastAsia"/>
          <w:sz w:val="24"/>
          <w:szCs w:val="24"/>
        </w:rPr>
        <w:t>内部控制制度</w:t>
      </w:r>
      <w:r w:rsidR="00C07CC6">
        <w:rPr>
          <w:rFonts w:asciiTheme="minorEastAsia" w:eastAsiaTheme="minorEastAsia" w:hAnsiTheme="minorEastAsia" w:hint="eastAsia"/>
          <w:sz w:val="24"/>
          <w:szCs w:val="24"/>
        </w:rPr>
        <w:t>的建立和执行</w:t>
      </w:r>
      <w:r w:rsidR="00C07CC6" w:rsidRPr="00C07CC6">
        <w:rPr>
          <w:rFonts w:asciiTheme="minorEastAsia" w:eastAsiaTheme="minorEastAsia" w:hAnsiTheme="minorEastAsia" w:hint="eastAsia"/>
          <w:sz w:val="24"/>
          <w:szCs w:val="24"/>
        </w:rPr>
        <w:t>，符合国家有关法律、行政法规和部门规章的要求。公司根据基本规范、评价指引及其他相关法律法规的要求，对纳入评价范围的业务和事项，均已建立了内部控制，并得以有效执行，达到了公司内部控制的目标，不存在重大</w:t>
      </w:r>
      <w:r w:rsidR="00C07CC6" w:rsidRPr="00C07CC6">
        <w:rPr>
          <w:rFonts w:asciiTheme="minorEastAsia" w:eastAsiaTheme="minorEastAsia" w:hAnsiTheme="minorEastAsia" w:hint="eastAsia"/>
          <w:sz w:val="24"/>
          <w:szCs w:val="24"/>
        </w:rPr>
        <w:lastRenderedPageBreak/>
        <w:t>缺陷。</w:t>
      </w:r>
    </w:p>
    <w:p w14:paraId="30BDD5CC" w14:textId="5A931001" w:rsidR="00CC33D3" w:rsidRPr="000556B3" w:rsidRDefault="00CC33D3" w:rsidP="00180CA3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bookmarkStart w:id="1" w:name="_Hlk100924845"/>
      <w:r w:rsidRPr="000556B3">
        <w:rPr>
          <w:rFonts w:asciiTheme="minorEastAsia" w:eastAsiaTheme="minorEastAsia" w:hAnsiTheme="minorEastAsia" w:hint="eastAsia"/>
          <w:sz w:val="24"/>
          <w:szCs w:val="24"/>
        </w:rPr>
        <w:t>公司编制的《</w:t>
      </w:r>
      <w:r w:rsidR="006A4C8C" w:rsidRPr="008137B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安徽省交通建设股份有限公司2</w:t>
      </w:r>
      <w:r w:rsidR="006A4C8C" w:rsidRPr="008137BC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0</w:t>
      </w:r>
      <w:r w:rsidR="00CC7EF3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2</w:t>
      </w:r>
      <w:r w:rsidR="000B5DF5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1</w:t>
      </w:r>
      <w:r w:rsidR="006A4C8C" w:rsidRPr="008137B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年度内部控制评价报告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》全面、真实、准确地反映了2</w:t>
      </w:r>
      <w:r w:rsidRPr="000556B3">
        <w:rPr>
          <w:rFonts w:asciiTheme="minorEastAsia" w:eastAsiaTheme="minorEastAsia" w:hAnsiTheme="minorEastAsia"/>
          <w:sz w:val="24"/>
          <w:szCs w:val="24"/>
        </w:rPr>
        <w:t>0</w:t>
      </w:r>
      <w:r w:rsidR="00CC7EF3">
        <w:rPr>
          <w:rFonts w:asciiTheme="minorEastAsia" w:eastAsiaTheme="minorEastAsia" w:hAnsiTheme="minorEastAsia"/>
          <w:sz w:val="24"/>
          <w:szCs w:val="24"/>
        </w:rPr>
        <w:t>2</w:t>
      </w:r>
      <w:r w:rsidR="000B5DF5">
        <w:rPr>
          <w:rFonts w:asciiTheme="minorEastAsia" w:eastAsiaTheme="minorEastAsia" w:hAnsiTheme="minorEastAsia"/>
          <w:sz w:val="24"/>
          <w:szCs w:val="24"/>
        </w:rPr>
        <w:t>1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年度公司在内部控制建设及运行方面的实际情况，</w:t>
      </w:r>
      <w:r w:rsidR="006A4C8C">
        <w:rPr>
          <w:rFonts w:asciiTheme="minorEastAsia" w:eastAsiaTheme="minorEastAsia" w:hAnsiTheme="minorEastAsia" w:hint="eastAsia"/>
          <w:sz w:val="24"/>
          <w:szCs w:val="24"/>
        </w:rPr>
        <w:t>不存在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虚假记载、误导性陈述或者重大遗漏，</w:t>
      </w:r>
      <w:r w:rsidRPr="000556B3">
        <w:rPr>
          <w:rFonts w:asciiTheme="minorEastAsia" w:eastAsiaTheme="minorEastAsia" w:hAnsiTheme="minorEastAsia"/>
          <w:sz w:val="24"/>
          <w:szCs w:val="24"/>
        </w:rPr>
        <w:t>不存在损害公司及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股东尤其是</w:t>
      </w:r>
      <w:r w:rsidRPr="000556B3">
        <w:rPr>
          <w:rFonts w:asciiTheme="minorEastAsia" w:eastAsiaTheme="minorEastAsia" w:hAnsiTheme="minorEastAsia"/>
          <w:sz w:val="24"/>
          <w:szCs w:val="24"/>
        </w:rPr>
        <w:t>中小股东的权益的情形。</w:t>
      </w:r>
    </w:p>
    <w:bookmarkEnd w:id="1"/>
    <w:p w14:paraId="7DBFD1D1" w14:textId="56D9D153" w:rsidR="00CC33D3" w:rsidRDefault="00CC33D3" w:rsidP="00180CA3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sz w:val="24"/>
          <w:szCs w:val="24"/>
        </w:rPr>
        <w:t>因此，我们同意</w:t>
      </w:r>
      <w:r>
        <w:rPr>
          <w:rFonts w:asciiTheme="minorEastAsia" w:eastAsiaTheme="minorEastAsia" w:hAnsiTheme="minorEastAsia" w:hint="eastAsia"/>
          <w:sz w:val="24"/>
          <w:szCs w:val="24"/>
        </w:rPr>
        <w:t>《关于公司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0556B3">
        <w:rPr>
          <w:rFonts w:asciiTheme="minorEastAsia" w:eastAsiaTheme="minorEastAsia" w:hAnsiTheme="minorEastAsia"/>
          <w:sz w:val="24"/>
          <w:szCs w:val="24"/>
        </w:rPr>
        <w:t>0</w:t>
      </w:r>
      <w:r w:rsidR="00015B19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0B5DF5">
        <w:rPr>
          <w:rFonts w:asciiTheme="minorEastAsia" w:eastAsiaTheme="minorEastAsia" w:hAnsiTheme="minorEastAsia"/>
          <w:sz w:val="24"/>
          <w:szCs w:val="24"/>
        </w:rPr>
        <w:t>1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年度内部控制评价报告的议案</w:t>
      </w:r>
      <w:r>
        <w:rPr>
          <w:rFonts w:asciiTheme="minorEastAsia" w:eastAsiaTheme="minorEastAsia" w:hAnsiTheme="minorEastAsia" w:hint="eastAsia"/>
          <w:sz w:val="24"/>
          <w:szCs w:val="24"/>
        </w:rPr>
        <w:t>》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C054726" w14:textId="635B20CC" w:rsidR="00CC33D3" w:rsidRPr="000556B3" w:rsidRDefault="0006780F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4</w:t>
      </w:r>
      <w:r w:rsid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、关</w:t>
      </w:r>
      <w:r w:rsidR="00CC33D3" w:rsidRP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于20</w:t>
      </w:r>
      <w:r w:rsidR="00CC7EF3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="000B5DF5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="00CC33D3" w:rsidRP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年日常关联交易执行情况及202</w:t>
      </w:r>
      <w:r w:rsidR="000B5DF5">
        <w:rPr>
          <w:rFonts w:asciiTheme="minorEastAsia" w:eastAsiaTheme="minorEastAsia" w:hAnsiTheme="minorEastAsia"/>
          <w:b/>
          <w:bCs/>
          <w:sz w:val="24"/>
          <w:szCs w:val="24"/>
        </w:rPr>
        <w:t>2</w:t>
      </w:r>
      <w:r w:rsid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年日常关联交易预计</w:t>
      </w:r>
      <w:r w:rsidR="006A4C8C"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的独立意见</w:t>
      </w:r>
    </w:p>
    <w:p w14:paraId="0BE87D15" w14:textId="0F424EDA" w:rsidR="007D46ED" w:rsidRPr="007D46ED" w:rsidRDefault="00CC33D3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经核查，我们认为：</w:t>
      </w:r>
      <w:r w:rsidR="008C1A94" w:rsidRPr="0049416E">
        <w:rPr>
          <w:rFonts w:ascii="宋体" w:hAnsi="宋体"/>
          <w:sz w:val="24"/>
        </w:rPr>
        <w:t>公司</w:t>
      </w:r>
      <w:r w:rsidR="008C1A94" w:rsidRPr="0049416E">
        <w:rPr>
          <w:rFonts w:ascii="宋体" w:hAnsi="宋体" w:hint="eastAsia"/>
          <w:sz w:val="24"/>
        </w:rPr>
        <w:t>20</w:t>
      </w:r>
      <w:r w:rsidR="008C1A94" w:rsidRPr="0049416E">
        <w:rPr>
          <w:rFonts w:ascii="宋体" w:hAnsi="宋体"/>
          <w:sz w:val="24"/>
        </w:rPr>
        <w:t>2</w:t>
      </w:r>
      <w:r w:rsidR="008C1A94">
        <w:rPr>
          <w:rFonts w:ascii="宋体" w:hAnsi="宋体"/>
          <w:sz w:val="24"/>
        </w:rPr>
        <w:t>1</w:t>
      </w:r>
      <w:r w:rsidR="008C1A94" w:rsidRPr="0049416E">
        <w:rPr>
          <w:rFonts w:ascii="宋体" w:hAnsi="宋体" w:hint="eastAsia"/>
          <w:sz w:val="24"/>
        </w:rPr>
        <w:t>年日常关联交易执行情况及</w:t>
      </w:r>
      <w:r w:rsidR="008C1A94" w:rsidRPr="0049416E">
        <w:rPr>
          <w:rFonts w:ascii="宋体" w:hAnsi="宋体"/>
          <w:sz w:val="24"/>
        </w:rPr>
        <w:t>202</w:t>
      </w:r>
      <w:r w:rsidR="008C1A94">
        <w:rPr>
          <w:rFonts w:ascii="宋体" w:hAnsi="宋体"/>
          <w:sz w:val="24"/>
        </w:rPr>
        <w:t>2</w:t>
      </w:r>
      <w:r w:rsidR="008C1A94" w:rsidRPr="0049416E">
        <w:rPr>
          <w:rFonts w:ascii="宋体" w:hAnsi="宋体"/>
          <w:sz w:val="24"/>
        </w:rPr>
        <w:t>年度日常关联交易预计</w:t>
      </w:r>
      <w:r w:rsidR="008C1A94">
        <w:rPr>
          <w:rFonts w:ascii="宋体" w:hAnsi="宋体" w:hint="eastAsia"/>
          <w:sz w:val="24"/>
        </w:rPr>
        <w:t>系</w:t>
      </w:r>
      <w:r w:rsidR="008C1A94" w:rsidRPr="006A18B0">
        <w:rPr>
          <w:rFonts w:ascii="宋体" w:hAnsi="宋体" w:hint="eastAsia"/>
          <w:sz w:val="24"/>
          <w:szCs w:val="24"/>
        </w:rPr>
        <w:t>公司正常经营业务需要，有利于公司日常经营和业务稳定持续发展；关联交易价格采用市场公允价格，交易方式符合市场规则，不会对公司独立性产生影响。</w:t>
      </w:r>
      <w:r w:rsidR="008C1A94" w:rsidRPr="0049416E">
        <w:rPr>
          <w:rFonts w:ascii="宋体" w:hAnsi="宋体"/>
          <w:sz w:val="24"/>
        </w:rPr>
        <w:t>该事项决策程序符合</w:t>
      </w:r>
      <w:r w:rsidR="008C1A94" w:rsidRPr="006A18B0">
        <w:rPr>
          <w:rFonts w:ascii="宋体" w:hAnsi="宋体" w:hint="eastAsia"/>
          <w:sz w:val="24"/>
          <w:szCs w:val="24"/>
        </w:rPr>
        <w:t>《公司章程》和上海证券交易所的有关规定；不存在损害公司全体股东权益，特别是中小股东权益的情形。</w:t>
      </w:r>
      <w:r w:rsidR="008C1A94" w:rsidRPr="0049416E">
        <w:rPr>
          <w:rFonts w:ascii="宋体" w:hAnsi="宋体" w:hint="eastAsia"/>
          <w:sz w:val="24"/>
        </w:rPr>
        <w:t>因此，我们同意《关于20</w:t>
      </w:r>
      <w:r w:rsidR="008C1A94" w:rsidRPr="0049416E">
        <w:rPr>
          <w:rFonts w:ascii="宋体" w:hAnsi="宋体"/>
          <w:sz w:val="24"/>
        </w:rPr>
        <w:t>2</w:t>
      </w:r>
      <w:r w:rsidR="008C1A94">
        <w:rPr>
          <w:rFonts w:ascii="宋体" w:hAnsi="宋体"/>
          <w:sz w:val="24"/>
        </w:rPr>
        <w:t>1</w:t>
      </w:r>
      <w:r w:rsidR="008C1A94" w:rsidRPr="0049416E">
        <w:rPr>
          <w:rFonts w:ascii="宋体" w:hAnsi="宋体" w:hint="eastAsia"/>
          <w:sz w:val="24"/>
        </w:rPr>
        <w:t>年日常关联交易执行情况及202</w:t>
      </w:r>
      <w:r w:rsidR="008C1A94">
        <w:rPr>
          <w:rFonts w:ascii="宋体" w:hAnsi="宋体"/>
          <w:sz w:val="24"/>
        </w:rPr>
        <w:t>2</w:t>
      </w:r>
      <w:r w:rsidR="008C1A94" w:rsidRPr="0049416E">
        <w:rPr>
          <w:rFonts w:ascii="宋体" w:hAnsi="宋体" w:hint="eastAsia"/>
          <w:sz w:val="24"/>
        </w:rPr>
        <w:t>年日常关联交易预计的议案》</w:t>
      </w:r>
      <w:bookmarkStart w:id="2" w:name="_Hlk101113142"/>
      <w:r w:rsidR="00A706CD" w:rsidRPr="005E590B">
        <w:rPr>
          <w:rFonts w:ascii="宋体" w:hAnsi="宋体" w:hint="eastAsia"/>
          <w:sz w:val="24"/>
        </w:rPr>
        <w:t>，并将</w:t>
      </w:r>
      <w:r w:rsidR="00A706CD">
        <w:rPr>
          <w:rFonts w:ascii="宋体" w:hAnsi="宋体" w:hint="eastAsia"/>
          <w:sz w:val="24"/>
        </w:rPr>
        <w:t>该</w:t>
      </w:r>
      <w:r w:rsidR="00A706CD" w:rsidRPr="005E590B">
        <w:rPr>
          <w:rFonts w:ascii="宋体" w:hAnsi="宋体" w:hint="eastAsia"/>
          <w:sz w:val="24"/>
        </w:rPr>
        <w:t>议案提交</w:t>
      </w:r>
      <w:r w:rsidR="00A706CD">
        <w:rPr>
          <w:rFonts w:ascii="宋体" w:hAnsi="宋体" w:hint="eastAsia"/>
          <w:sz w:val="24"/>
        </w:rPr>
        <w:t>公司</w:t>
      </w:r>
      <w:r w:rsidR="00A706CD" w:rsidRPr="00CF0EC7">
        <w:rPr>
          <w:rFonts w:ascii="宋体" w:hAnsi="宋体" w:hint="eastAsia"/>
          <w:sz w:val="24"/>
        </w:rPr>
        <w:t>2</w:t>
      </w:r>
      <w:r w:rsidR="00A706CD" w:rsidRPr="00CF0EC7">
        <w:rPr>
          <w:rFonts w:ascii="宋体" w:hAnsi="宋体"/>
          <w:sz w:val="24"/>
        </w:rPr>
        <w:t>021</w:t>
      </w:r>
      <w:r w:rsidR="00A706CD" w:rsidRPr="00CF0EC7">
        <w:rPr>
          <w:rFonts w:ascii="宋体" w:hAnsi="宋体" w:hint="eastAsia"/>
          <w:sz w:val="24"/>
        </w:rPr>
        <w:t>年度股东大会审议</w:t>
      </w:r>
      <w:r w:rsidR="00A706CD" w:rsidRPr="0049416E">
        <w:rPr>
          <w:rFonts w:ascii="宋体" w:hAnsi="宋体" w:hint="eastAsia"/>
          <w:sz w:val="24"/>
        </w:rPr>
        <w:t>。</w:t>
      </w:r>
      <w:bookmarkEnd w:id="2"/>
    </w:p>
    <w:p w14:paraId="711355E2" w14:textId="28E214E2" w:rsidR="007D46ED" w:rsidRPr="007D46ED" w:rsidRDefault="0006780F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5</w:t>
      </w:r>
      <w:r w:rsidR="006A4C8C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7D46ED" w:rsidRPr="007D46ED">
        <w:rPr>
          <w:rFonts w:asciiTheme="minorEastAsia" w:eastAsiaTheme="minorEastAsia" w:hAnsiTheme="minorEastAsia" w:hint="eastAsia"/>
          <w:b/>
          <w:sz w:val="24"/>
          <w:szCs w:val="24"/>
        </w:rPr>
        <w:t>关于公司202</w:t>
      </w:r>
      <w:r w:rsidR="00E84A96">
        <w:rPr>
          <w:rFonts w:asciiTheme="minorEastAsia" w:eastAsiaTheme="minorEastAsia" w:hAnsiTheme="minorEastAsia"/>
          <w:b/>
          <w:sz w:val="24"/>
          <w:szCs w:val="24"/>
        </w:rPr>
        <w:t>2</w:t>
      </w:r>
      <w:r w:rsidR="007D46ED" w:rsidRPr="007D46ED">
        <w:rPr>
          <w:rFonts w:asciiTheme="minorEastAsia" w:eastAsiaTheme="minorEastAsia" w:hAnsiTheme="minorEastAsia" w:hint="eastAsia"/>
          <w:b/>
          <w:sz w:val="24"/>
          <w:szCs w:val="24"/>
        </w:rPr>
        <w:t>年度综合授信额度</w:t>
      </w:r>
      <w:r w:rsidR="006A4C8C"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的独立意见</w:t>
      </w:r>
    </w:p>
    <w:p w14:paraId="7D443A15" w14:textId="77777777" w:rsidR="0047239C" w:rsidRDefault="007D46ED" w:rsidP="0047239C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/>
          <w:b/>
          <w:bCs/>
          <w:sz w:val="24"/>
          <w:szCs w:val="24"/>
        </w:rPr>
        <w:t>经核查，我们认为</w:t>
      </w:r>
      <w:r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 w:rsidR="0047239C" w:rsidRPr="007D46ED">
        <w:rPr>
          <w:rFonts w:asciiTheme="minorEastAsia" w:eastAsiaTheme="minorEastAsia" w:hAnsiTheme="minorEastAsia" w:hint="eastAsia"/>
          <w:sz w:val="24"/>
          <w:szCs w:val="24"/>
        </w:rPr>
        <w:t>该议案是根据公司实际经营情况，并结合公司银行借款额度制定，符合公司的经营需要，</w:t>
      </w:r>
      <w:r w:rsidR="0047239C">
        <w:rPr>
          <w:rFonts w:asciiTheme="minorEastAsia" w:eastAsiaTheme="minorEastAsia" w:hAnsiTheme="minorEastAsia" w:hint="eastAsia"/>
          <w:sz w:val="24"/>
          <w:szCs w:val="24"/>
        </w:rPr>
        <w:t>不存在损害公司及</w:t>
      </w:r>
      <w:r w:rsidR="0047239C" w:rsidRPr="007D46ED">
        <w:rPr>
          <w:rFonts w:asciiTheme="minorEastAsia" w:eastAsiaTheme="minorEastAsia" w:hAnsiTheme="minorEastAsia" w:hint="eastAsia"/>
          <w:sz w:val="24"/>
          <w:szCs w:val="24"/>
        </w:rPr>
        <w:t>股东，尤其是中小股东利益的情形。</w:t>
      </w:r>
    </w:p>
    <w:p w14:paraId="3E2C1366" w14:textId="18B53464" w:rsidR="00CC33D3" w:rsidRPr="007D46ED" w:rsidRDefault="0047239C" w:rsidP="0047239C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sz w:val="24"/>
          <w:szCs w:val="24"/>
        </w:rPr>
        <w:t>因此，</w:t>
      </w:r>
      <w:r w:rsidRPr="000556B3">
        <w:rPr>
          <w:rFonts w:asciiTheme="minorEastAsia" w:eastAsiaTheme="minorEastAsia" w:hAnsiTheme="minorEastAsia"/>
          <w:sz w:val="24"/>
          <w:szCs w:val="24"/>
        </w:rPr>
        <w:t>我们同意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7D46ED">
        <w:rPr>
          <w:rFonts w:asciiTheme="minorEastAsia" w:eastAsiaTheme="minorEastAsia" w:hAnsiTheme="minorEastAsia" w:hint="eastAsia"/>
          <w:sz w:val="24"/>
          <w:szCs w:val="24"/>
        </w:rPr>
        <w:t>关于公司202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Pr="007D46ED">
        <w:rPr>
          <w:rFonts w:asciiTheme="minorEastAsia" w:eastAsiaTheme="minorEastAsia" w:hAnsiTheme="minorEastAsia" w:hint="eastAsia"/>
          <w:sz w:val="24"/>
          <w:szCs w:val="24"/>
        </w:rPr>
        <w:t>年度综合授信额度的议案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A706CD" w:rsidRPr="005E590B">
        <w:rPr>
          <w:rFonts w:ascii="宋体" w:hAnsi="宋体" w:hint="eastAsia"/>
          <w:sz w:val="24"/>
        </w:rPr>
        <w:t>，并将</w:t>
      </w:r>
      <w:r w:rsidR="00A706CD">
        <w:rPr>
          <w:rFonts w:ascii="宋体" w:hAnsi="宋体" w:hint="eastAsia"/>
          <w:sz w:val="24"/>
        </w:rPr>
        <w:t>该</w:t>
      </w:r>
      <w:r w:rsidR="00A706CD" w:rsidRPr="005E590B">
        <w:rPr>
          <w:rFonts w:ascii="宋体" w:hAnsi="宋体" w:hint="eastAsia"/>
          <w:sz w:val="24"/>
        </w:rPr>
        <w:t>议案提交</w:t>
      </w:r>
      <w:r w:rsidR="00A706CD">
        <w:rPr>
          <w:rFonts w:ascii="宋体" w:hAnsi="宋体" w:hint="eastAsia"/>
          <w:sz w:val="24"/>
        </w:rPr>
        <w:t>公司</w:t>
      </w:r>
      <w:r w:rsidR="00A706CD" w:rsidRPr="00CF0EC7">
        <w:rPr>
          <w:rFonts w:ascii="宋体" w:hAnsi="宋体" w:hint="eastAsia"/>
          <w:sz w:val="24"/>
        </w:rPr>
        <w:t>2</w:t>
      </w:r>
      <w:r w:rsidR="00A706CD" w:rsidRPr="00CF0EC7">
        <w:rPr>
          <w:rFonts w:ascii="宋体" w:hAnsi="宋体"/>
          <w:sz w:val="24"/>
        </w:rPr>
        <w:t>021</w:t>
      </w:r>
      <w:r w:rsidR="00A706CD" w:rsidRPr="00CF0EC7">
        <w:rPr>
          <w:rFonts w:ascii="宋体" w:hAnsi="宋体" w:hint="eastAsia"/>
          <w:sz w:val="24"/>
        </w:rPr>
        <w:t>年度股东大会审议</w:t>
      </w:r>
      <w:r w:rsidR="00A706CD" w:rsidRPr="0049416E">
        <w:rPr>
          <w:rFonts w:ascii="宋体" w:hAnsi="宋体" w:hint="eastAsia"/>
          <w:sz w:val="24"/>
        </w:rPr>
        <w:t>。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BF110F0" w14:textId="4FA116A9" w:rsidR="00BD0C1D" w:rsidRPr="000556B3" w:rsidRDefault="0006780F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6</w:t>
      </w:r>
      <w:r w:rsid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、关</w:t>
      </w:r>
      <w:r w:rsidR="00CC33D3" w:rsidRPr="00CC33D3">
        <w:rPr>
          <w:rFonts w:asciiTheme="minorEastAsia" w:eastAsiaTheme="minorEastAsia" w:hAnsiTheme="minorEastAsia" w:hint="eastAsia"/>
          <w:b/>
          <w:bCs/>
          <w:sz w:val="24"/>
          <w:szCs w:val="24"/>
        </w:rPr>
        <w:t>于公司续聘会计师事务所的</w:t>
      </w:r>
      <w:r w:rsidR="00015B19">
        <w:rPr>
          <w:rFonts w:asciiTheme="minorEastAsia" w:eastAsiaTheme="minorEastAsia" w:hAnsiTheme="minorEastAsia" w:hint="eastAsia"/>
          <w:b/>
          <w:bCs/>
          <w:sz w:val="24"/>
          <w:szCs w:val="24"/>
        </w:rPr>
        <w:t>独立意见</w:t>
      </w:r>
    </w:p>
    <w:p w14:paraId="2A239BB5" w14:textId="55451D34" w:rsidR="00756736" w:rsidRDefault="00756736" w:rsidP="00180CA3">
      <w:pPr>
        <w:adjustRightInd w:val="0"/>
        <w:snapToGrid w:val="0"/>
        <w:spacing w:line="360" w:lineRule="auto"/>
        <w:ind w:firstLineChars="180" w:firstLine="434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/>
          <w:b/>
          <w:bCs/>
          <w:sz w:val="24"/>
          <w:szCs w:val="24"/>
        </w:rPr>
        <w:t>经核查，我们认为</w:t>
      </w:r>
      <w:r w:rsidR="00994983" w:rsidRPr="000556B3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 w:rsidR="00CF0EC7" w:rsidRPr="00265AB3">
        <w:rPr>
          <w:rFonts w:ascii="宋体" w:hAnsi="宋体" w:hint="eastAsia"/>
          <w:sz w:val="24"/>
        </w:rPr>
        <w:t>容诚会计师事务所（特殊普通合伙）</w:t>
      </w:r>
      <w:r w:rsidR="00CF0EC7" w:rsidRPr="00265AB3">
        <w:rPr>
          <w:rFonts w:ascii="宋体" w:hAnsi="宋体"/>
          <w:sz w:val="24"/>
        </w:rPr>
        <w:t>具备从事证券、期货相关业务</w:t>
      </w:r>
      <w:r w:rsidR="00CF0EC7" w:rsidRPr="00265AB3">
        <w:rPr>
          <w:rFonts w:ascii="宋体" w:hAnsi="宋体" w:hint="eastAsia"/>
          <w:sz w:val="24"/>
        </w:rPr>
        <w:t>的</w:t>
      </w:r>
      <w:r w:rsidR="00CF0EC7" w:rsidRPr="00265AB3">
        <w:rPr>
          <w:rFonts w:ascii="宋体" w:hAnsi="宋体"/>
          <w:sz w:val="24"/>
        </w:rPr>
        <w:t>资格，具有丰富的上市公司审计工作经验，</w:t>
      </w:r>
      <w:r w:rsidR="00CF0EC7" w:rsidRPr="00A0284C">
        <w:rPr>
          <w:rFonts w:ascii="宋体" w:hAnsi="宋体" w:hint="eastAsia"/>
          <w:sz w:val="24"/>
        </w:rPr>
        <w:t>能够满足公司</w:t>
      </w:r>
      <w:r w:rsidR="00CF0EC7">
        <w:rPr>
          <w:rFonts w:ascii="宋体" w:hAnsi="宋体"/>
          <w:sz w:val="24"/>
        </w:rPr>
        <w:t>2022</w:t>
      </w:r>
      <w:r w:rsidR="00CF0EC7" w:rsidRPr="00A0284C">
        <w:rPr>
          <w:rFonts w:ascii="宋体" w:hAnsi="宋体" w:hint="eastAsia"/>
          <w:sz w:val="24"/>
        </w:rPr>
        <w:t>年度审计工作的要求</w:t>
      </w:r>
      <w:r w:rsidR="00CF0EC7">
        <w:rPr>
          <w:rFonts w:ascii="宋体" w:hAnsi="宋体" w:hint="eastAsia"/>
          <w:sz w:val="24"/>
        </w:rPr>
        <w:t>。</w:t>
      </w:r>
      <w:r w:rsidR="00CF0EC7" w:rsidRPr="00265AB3">
        <w:rPr>
          <w:rFonts w:ascii="宋体" w:hAnsi="宋体"/>
          <w:sz w:val="24"/>
        </w:rPr>
        <w:t>公司本次</w:t>
      </w:r>
      <w:r w:rsidR="00CF0EC7" w:rsidRPr="00265AB3">
        <w:rPr>
          <w:rFonts w:ascii="宋体" w:hAnsi="宋体" w:hint="eastAsia"/>
          <w:sz w:val="24"/>
        </w:rPr>
        <w:t>聘任容诚所为公司2</w:t>
      </w:r>
      <w:r w:rsidR="00CF0EC7" w:rsidRPr="00265AB3">
        <w:rPr>
          <w:rFonts w:ascii="宋体" w:hAnsi="宋体"/>
          <w:sz w:val="24"/>
        </w:rPr>
        <w:t>02</w:t>
      </w:r>
      <w:r w:rsidR="00CF0EC7">
        <w:rPr>
          <w:rFonts w:ascii="宋体" w:hAnsi="宋体"/>
          <w:sz w:val="24"/>
        </w:rPr>
        <w:t>2</w:t>
      </w:r>
      <w:r w:rsidR="00CF0EC7" w:rsidRPr="00265AB3">
        <w:rPr>
          <w:rFonts w:ascii="宋体" w:hAnsi="宋体" w:hint="eastAsia"/>
          <w:sz w:val="24"/>
        </w:rPr>
        <w:t>年度审计机构</w:t>
      </w:r>
      <w:r w:rsidR="00CF0EC7">
        <w:rPr>
          <w:rFonts w:ascii="宋体" w:hAnsi="宋体" w:hint="eastAsia"/>
          <w:sz w:val="24"/>
        </w:rPr>
        <w:t>的决策</w:t>
      </w:r>
      <w:r w:rsidR="00CF0EC7" w:rsidRPr="00265AB3">
        <w:rPr>
          <w:rFonts w:ascii="宋体" w:hAnsi="宋体"/>
          <w:sz w:val="24"/>
        </w:rPr>
        <w:t>程序符合法律、法规和《公司章程》的有关规定，不存在损害公司及全体股东，</w:t>
      </w:r>
      <w:r w:rsidR="00CF0EC7" w:rsidRPr="00265AB3">
        <w:rPr>
          <w:rFonts w:ascii="宋体" w:hAnsi="宋体" w:hint="eastAsia"/>
          <w:sz w:val="24"/>
        </w:rPr>
        <w:t>尤其</w:t>
      </w:r>
      <w:r w:rsidR="00CF0EC7" w:rsidRPr="00265AB3">
        <w:rPr>
          <w:rFonts w:ascii="宋体" w:hAnsi="宋体"/>
          <w:sz w:val="24"/>
        </w:rPr>
        <w:t>是中小股东利益的情形</w:t>
      </w:r>
      <w:r w:rsidR="00CF0EC7" w:rsidRPr="00265AB3">
        <w:rPr>
          <w:rFonts w:ascii="宋体" w:hAnsi="宋体" w:hint="eastAsia"/>
          <w:sz w:val="24"/>
        </w:rPr>
        <w:t>。</w:t>
      </w:r>
      <w:bookmarkStart w:id="3" w:name="_Hlk100944235"/>
      <w:r w:rsidR="00CF0EC7">
        <w:rPr>
          <w:rFonts w:ascii="宋体" w:hAnsi="宋体" w:hint="eastAsia"/>
          <w:sz w:val="24"/>
        </w:rPr>
        <w:t>我们</w:t>
      </w:r>
      <w:r w:rsidR="00CF0EC7" w:rsidRPr="00CF0EC7">
        <w:rPr>
          <w:rFonts w:ascii="宋体" w:hAnsi="宋体" w:hint="eastAsia"/>
          <w:sz w:val="24"/>
        </w:rPr>
        <w:t>同意《</w:t>
      </w:r>
      <w:r w:rsidR="00CF0EC7" w:rsidRPr="00CF0EC7">
        <w:rPr>
          <w:rFonts w:ascii="宋体" w:hAnsi="宋体"/>
          <w:sz w:val="24"/>
        </w:rPr>
        <w:t>关于公司续聘会计师事务所的议案</w:t>
      </w:r>
      <w:r w:rsidR="00CF0EC7" w:rsidRPr="00CF0EC7">
        <w:rPr>
          <w:rFonts w:ascii="宋体" w:hAnsi="宋体" w:hint="eastAsia"/>
          <w:sz w:val="24"/>
        </w:rPr>
        <w:t>》</w:t>
      </w:r>
      <w:r w:rsidR="00CF0EC7" w:rsidRPr="005E590B">
        <w:rPr>
          <w:rFonts w:ascii="宋体" w:hAnsi="宋体" w:hint="eastAsia"/>
          <w:sz w:val="24"/>
        </w:rPr>
        <w:t>，并将</w:t>
      </w:r>
      <w:r w:rsidR="00CF0EC7">
        <w:rPr>
          <w:rFonts w:ascii="宋体" w:hAnsi="宋体" w:hint="eastAsia"/>
          <w:sz w:val="24"/>
        </w:rPr>
        <w:t>该</w:t>
      </w:r>
      <w:r w:rsidR="00CF0EC7" w:rsidRPr="005E590B">
        <w:rPr>
          <w:rFonts w:ascii="宋体" w:hAnsi="宋体" w:hint="eastAsia"/>
          <w:sz w:val="24"/>
        </w:rPr>
        <w:t>议案提交</w:t>
      </w:r>
      <w:r w:rsidR="00CF0EC7">
        <w:rPr>
          <w:rFonts w:ascii="宋体" w:hAnsi="宋体" w:hint="eastAsia"/>
          <w:sz w:val="24"/>
        </w:rPr>
        <w:t>公司</w:t>
      </w:r>
      <w:r w:rsidR="00CF0EC7" w:rsidRPr="00CF0EC7">
        <w:rPr>
          <w:rFonts w:ascii="宋体" w:hAnsi="宋体" w:hint="eastAsia"/>
          <w:sz w:val="24"/>
        </w:rPr>
        <w:t>2</w:t>
      </w:r>
      <w:r w:rsidR="00CF0EC7" w:rsidRPr="00CF0EC7">
        <w:rPr>
          <w:rFonts w:ascii="宋体" w:hAnsi="宋体"/>
          <w:sz w:val="24"/>
        </w:rPr>
        <w:t>021</w:t>
      </w:r>
      <w:r w:rsidR="00CF0EC7" w:rsidRPr="00CF0EC7">
        <w:rPr>
          <w:rFonts w:ascii="宋体" w:hAnsi="宋体" w:hint="eastAsia"/>
          <w:sz w:val="24"/>
        </w:rPr>
        <w:t>年度股东大会审议。</w:t>
      </w:r>
      <w:bookmarkEnd w:id="3"/>
    </w:p>
    <w:p w14:paraId="2200E6A5" w14:textId="23BA6EE4" w:rsidR="0006780F" w:rsidRDefault="008F0745" w:rsidP="00180CA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sz w:val="24"/>
          <w:szCs w:val="24"/>
        </w:rPr>
        <w:t>（以下无正文）</w:t>
      </w:r>
    </w:p>
    <w:p w14:paraId="423CD8E0" w14:textId="77777777" w:rsidR="0006780F" w:rsidRDefault="0006780F" w:rsidP="00180CA3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23D3B2D" w14:textId="1C90FF55" w:rsidR="008F0745" w:rsidRPr="000556B3" w:rsidRDefault="008F0745" w:rsidP="00180CA3">
      <w:pPr>
        <w:adjustRightInd w:val="0"/>
        <w:snapToGrid w:val="0"/>
        <w:spacing w:line="360" w:lineRule="auto"/>
        <w:ind w:firstLineChars="180" w:firstLine="432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/>
          <w:sz w:val="24"/>
          <w:szCs w:val="24"/>
        </w:rPr>
        <w:lastRenderedPageBreak/>
        <w:t>(</w:t>
      </w:r>
      <w:r w:rsidR="00041D9F" w:rsidRPr="000556B3">
        <w:rPr>
          <w:rFonts w:asciiTheme="minorEastAsia" w:eastAsiaTheme="minorEastAsia" w:hAnsiTheme="minorEastAsia" w:hint="eastAsia"/>
          <w:sz w:val="24"/>
          <w:szCs w:val="24"/>
        </w:rPr>
        <w:t>本页</w:t>
      </w:r>
      <w:r w:rsidR="00AE1E58" w:rsidRPr="000556B3">
        <w:rPr>
          <w:rFonts w:asciiTheme="minorEastAsia" w:eastAsiaTheme="minorEastAsia" w:hAnsiTheme="minorEastAsia" w:hint="eastAsia"/>
          <w:sz w:val="24"/>
          <w:szCs w:val="24"/>
        </w:rPr>
        <w:t>无正文，为《</w:t>
      </w:r>
      <w:r w:rsidR="00CC33D3">
        <w:rPr>
          <w:rFonts w:asciiTheme="minorEastAsia" w:eastAsiaTheme="minorEastAsia" w:hAnsiTheme="minorEastAsia" w:hint="eastAsia"/>
          <w:sz w:val="24"/>
          <w:szCs w:val="24"/>
        </w:rPr>
        <w:t>安徽省交通建设</w:t>
      </w:r>
      <w:r w:rsidR="00041D9F" w:rsidRPr="000556B3">
        <w:rPr>
          <w:rFonts w:asciiTheme="minorEastAsia" w:eastAsiaTheme="minorEastAsia" w:hAnsiTheme="minorEastAsia" w:hint="eastAsia"/>
          <w:sz w:val="24"/>
          <w:szCs w:val="24"/>
        </w:rPr>
        <w:t>股份有限公司独立董事关于第</w:t>
      </w:r>
      <w:r w:rsidR="00CC33D3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041D9F" w:rsidRPr="000556B3">
        <w:rPr>
          <w:rFonts w:asciiTheme="minorEastAsia" w:eastAsiaTheme="minorEastAsia" w:hAnsiTheme="minorEastAsia" w:hint="eastAsia"/>
          <w:sz w:val="24"/>
          <w:szCs w:val="24"/>
        </w:rPr>
        <w:t>届董事会第</w:t>
      </w:r>
      <w:r w:rsidR="009747E1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CC56C2">
        <w:rPr>
          <w:rFonts w:asciiTheme="minorEastAsia" w:eastAsiaTheme="minorEastAsia" w:hAnsiTheme="minorEastAsia" w:hint="eastAsia"/>
          <w:sz w:val="24"/>
          <w:szCs w:val="24"/>
        </w:rPr>
        <w:t>十三</w:t>
      </w:r>
      <w:r w:rsidR="00041D9F" w:rsidRPr="000556B3">
        <w:rPr>
          <w:rFonts w:asciiTheme="minorEastAsia" w:eastAsiaTheme="minorEastAsia" w:hAnsiTheme="minorEastAsia" w:hint="eastAsia"/>
          <w:sz w:val="24"/>
          <w:szCs w:val="24"/>
        </w:rPr>
        <w:t>次会议相关事项的独立意见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》之</w:t>
      </w:r>
      <w:r w:rsidR="00CC56C2">
        <w:rPr>
          <w:rFonts w:asciiTheme="minorEastAsia" w:eastAsiaTheme="minorEastAsia" w:hAnsiTheme="minorEastAsia" w:hint="eastAsia"/>
          <w:sz w:val="24"/>
          <w:szCs w:val="24"/>
        </w:rPr>
        <w:t>签字</w:t>
      </w:r>
      <w:r w:rsidRPr="000556B3">
        <w:rPr>
          <w:rFonts w:asciiTheme="minorEastAsia" w:eastAsiaTheme="minorEastAsia" w:hAnsiTheme="minorEastAsia" w:hint="eastAsia"/>
          <w:sz w:val="24"/>
          <w:szCs w:val="24"/>
        </w:rPr>
        <w:t>页</w:t>
      </w:r>
      <w:r w:rsidRPr="000556B3">
        <w:rPr>
          <w:rFonts w:asciiTheme="minorEastAsia" w:eastAsiaTheme="minorEastAsia" w:hAnsiTheme="minorEastAsia"/>
          <w:sz w:val="24"/>
          <w:szCs w:val="24"/>
        </w:rPr>
        <w:t>)</w:t>
      </w:r>
    </w:p>
    <w:p w14:paraId="321427DC" w14:textId="77777777" w:rsidR="008F0745" w:rsidRPr="000556B3" w:rsidRDefault="008F0745" w:rsidP="00180CA3">
      <w:pPr>
        <w:spacing w:line="360" w:lineRule="auto"/>
        <w:outlineLvl w:val="0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  <w:szCs w:val="24"/>
          <w:lang w:val="zh-CN"/>
        </w:rPr>
      </w:pPr>
    </w:p>
    <w:p w14:paraId="4A49E42F" w14:textId="77777777" w:rsidR="008F0745" w:rsidRPr="000556B3" w:rsidRDefault="008F0745" w:rsidP="00180CA3">
      <w:pPr>
        <w:spacing w:line="360" w:lineRule="auto"/>
        <w:outlineLvl w:val="0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 w:rsidRPr="000556B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  <w:lang w:val="zh-CN"/>
        </w:rPr>
        <w:t>独立董事签名：</w:t>
      </w:r>
    </w:p>
    <w:p w14:paraId="0FC3C0EF" w14:textId="77777777" w:rsidR="008F0745" w:rsidRPr="000556B3" w:rsidRDefault="008F0745" w:rsidP="00180CA3">
      <w:pPr>
        <w:spacing w:line="360" w:lineRule="auto"/>
        <w:outlineLvl w:val="0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4F3A2DDE" w14:textId="77777777" w:rsidR="00A4465E" w:rsidRDefault="00A4465E" w:rsidP="00180CA3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周亚娜</w:t>
      </w:r>
    </w:p>
    <w:p w14:paraId="05FE7039" w14:textId="77777777" w:rsidR="00A4465E" w:rsidRDefault="00A4465E" w:rsidP="00180CA3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99BD55F" w14:textId="77777777" w:rsidR="00A4465E" w:rsidRDefault="00A4465E" w:rsidP="00180CA3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0F2DC935" w14:textId="6A8CB8A3" w:rsidR="00406552" w:rsidRDefault="00406552" w:rsidP="00406552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 xml:space="preserve">王 </w:t>
      </w:r>
      <w:r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 xml:space="preserve"> 雷</w:t>
      </w:r>
    </w:p>
    <w:p w14:paraId="04FC9134" w14:textId="4964B5C1" w:rsidR="00406552" w:rsidRDefault="00406552" w:rsidP="00180CA3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379D8125" w14:textId="30704A4D" w:rsidR="003A3AC2" w:rsidRDefault="003A3AC2" w:rsidP="00180CA3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EDF27FD" w14:textId="3DA428A7" w:rsidR="003A3AC2" w:rsidRDefault="003A3AC2" w:rsidP="003A3AC2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 xml:space="preserve">李 </w:t>
      </w:r>
      <w:r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强</w:t>
      </w:r>
    </w:p>
    <w:p w14:paraId="0FD67479" w14:textId="77777777" w:rsidR="00A4465E" w:rsidRDefault="00A4465E" w:rsidP="00180CA3">
      <w:pPr>
        <w:spacing w:line="360" w:lineRule="auto"/>
        <w:jc w:val="right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313F081F" w14:textId="77777777" w:rsidR="00A4465E" w:rsidRDefault="00A4465E" w:rsidP="00180CA3">
      <w:pPr>
        <w:spacing w:line="360" w:lineRule="auto"/>
        <w:jc w:val="right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A274FA6" w14:textId="77777777" w:rsidR="00A4465E" w:rsidRDefault="00A4465E" w:rsidP="00180CA3">
      <w:pPr>
        <w:spacing w:line="360" w:lineRule="auto"/>
        <w:jc w:val="right"/>
        <w:rPr>
          <w:rFonts w:asciiTheme="minorEastAsia" w:eastAsia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31276A99" w14:textId="77777777" w:rsidR="00A4465E" w:rsidRDefault="00A4465E" w:rsidP="00180CA3">
      <w:pPr>
        <w:spacing w:line="360" w:lineRule="auto"/>
        <w:jc w:val="right"/>
        <w:rPr>
          <w:rFonts w:asciiTheme="minorEastAsia" w:eastAsiaTheme="minorEastAsia" w:hAnsiTheme="minorEastAsia"/>
          <w:color w:val="FF0000"/>
          <w:kern w:val="0"/>
          <w:sz w:val="24"/>
          <w:szCs w:val="24"/>
          <w:lang w:val="zh-CN"/>
        </w:rPr>
      </w:pPr>
    </w:p>
    <w:p w14:paraId="50313A82" w14:textId="77777777" w:rsidR="00894383" w:rsidRPr="000556B3" w:rsidRDefault="00894383" w:rsidP="00180CA3">
      <w:pPr>
        <w:spacing w:line="360" w:lineRule="auto"/>
        <w:jc w:val="right"/>
        <w:rPr>
          <w:rFonts w:asciiTheme="minorEastAsia" w:eastAsiaTheme="minorEastAsia" w:hAnsiTheme="minorEastAsia"/>
          <w:color w:val="FF0000"/>
          <w:kern w:val="0"/>
          <w:sz w:val="24"/>
          <w:szCs w:val="24"/>
          <w:lang w:val="zh-CN"/>
        </w:rPr>
      </w:pPr>
    </w:p>
    <w:p w14:paraId="0B9E7FA5" w14:textId="76A1252B" w:rsidR="008F0745" w:rsidRPr="000556B3" w:rsidRDefault="00A4465E" w:rsidP="00180CA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202</w:t>
      </w:r>
      <w:r w:rsidR="009747E1">
        <w:rPr>
          <w:rFonts w:asciiTheme="minorEastAsia" w:eastAsiaTheme="minorEastAsia" w:hAnsiTheme="minorEastAsia" w:cs="宋体"/>
          <w:kern w:val="0"/>
          <w:sz w:val="24"/>
          <w:szCs w:val="24"/>
          <w:lang w:val="zh-CN"/>
        </w:rPr>
        <w:t>2</w:t>
      </w:r>
      <w:r w:rsidR="008F0745" w:rsidRPr="000556B3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4</w:t>
      </w:r>
      <w:r w:rsidR="008F0745" w:rsidRPr="000556B3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月</w:t>
      </w:r>
      <w:r w:rsidR="00406552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1</w:t>
      </w:r>
      <w:r w:rsidR="009747E1">
        <w:rPr>
          <w:rFonts w:asciiTheme="minorEastAsia" w:eastAsiaTheme="minorEastAsia" w:hAnsiTheme="minorEastAsia" w:cs="宋体"/>
          <w:kern w:val="0"/>
          <w:sz w:val="24"/>
          <w:szCs w:val="24"/>
          <w:lang w:val="zh-CN"/>
        </w:rPr>
        <w:t>8</w:t>
      </w:r>
      <w:r w:rsidR="008F0745" w:rsidRPr="000556B3">
        <w:rPr>
          <w:rFonts w:asciiTheme="minorEastAsia" w:eastAsiaTheme="minorEastAsia" w:hAnsiTheme="minorEastAsia" w:cs="宋体" w:hint="eastAsia"/>
          <w:kern w:val="0"/>
          <w:sz w:val="24"/>
          <w:szCs w:val="24"/>
          <w:lang w:val="zh-CN"/>
        </w:rPr>
        <w:t>日</w:t>
      </w:r>
    </w:p>
    <w:p w14:paraId="5A939E6D" w14:textId="77777777" w:rsidR="008F0745" w:rsidRPr="000556B3" w:rsidRDefault="008F0745" w:rsidP="00180CA3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</w:p>
    <w:p w14:paraId="6C31B25B" w14:textId="77777777" w:rsidR="006938BE" w:rsidRDefault="006938BE" w:rsidP="00180C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9944970" w14:textId="77777777" w:rsidR="00A4465E" w:rsidRDefault="00A4465E" w:rsidP="00180C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A4465E" w:rsidSect="001F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B57B" w14:textId="77777777" w:rsidR="007060B5" w:rsidRDefault="007060B5" w:rsidP="00303EF8">
      <w:r>
        <w:separator/>
      </w:r>
    </w:p>
  </w:endnote>
  <w:endnote w:type="continuationSeparator" w:id="0">
    <w:p w14:paraId="2F783FFD" w14:textId="77777777" w:rsidR="007060B5" w:rsidRDefault="007060B5" w:rsidP="003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8414" w14:textId="77777777" w:rsidR="007060B5" w:rsidRDefault="007060B5" w:rsidP="00303EF8">
      <w:r>
        <w:separator/>
      </w:r>
    </w:p>
  </w:footnote>
  <w:footnote w:type="continuationSeparator" w:id="0">
    <w:p w14:paraId="2529D4E0" w14:textId="77777777" w:rsidR="007060B5" w:rsidRDefault="007060B5" w:rsidP="0030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45"/>
    <w:rsid w:val="00002E3E"/>
    <w:rsid w:val="00015B19"/>
    <w:rsid w:val="000237ED"/>
    <w:rsid w:val="000253B9"/>
    <w:rsid w:val="00041D9F"/>
    <w:rsid w:val="000556B3"/>
    <w:rsid w:val="0006780F"/>
    <w:rsid w:val="0007727B"/>
    <w:rsid w:val="00082716"/>
    <w:rsid w:val="0009100D"/>
    <w:rsid w:val="000A2AD8"/>
    <w:rsid w:val="000B5DF5"/>
    <w:rsid w:val="000C5F77"/>
    <w:rsid w:val="000D3031"/>
    <w:rsid w:val="00114869"/>
    <w:rsid w:val="00151E44"/>
    <w:rsid w:val="00180CA3"/>
    <w:rsid w:val="001D4605"/>
    <w:rsid w:val="001E755C"/>
    <w:rsid w:val="001F2D55"/>
    <w:rsid w:val="00200051"/>
    <w:rsid w:val="002145FE"/>
    <w:rsid w:val="0023538B"/>
    <w:rsid w:val="00284C93"/>
    <w:rsid w:val="002A37DD"/>
    <w:rsid w:val="002A40D4"/>
    <w:rsid w:val="002B15EA"/>
    <w:rsid w:val="002E6723"/>
    <w:rsid w:val="002F4674"/>
    <w:rsid w:val="00303EF8"/>
    <w:rsid w:val="0032725D"/>
    <w:rsid w:val="003330F2"/>
    <w:rsid w:val="00351AF8"/>
    <w:rsid w:val="003935C4"/>
    <w:rsid w:val="003A3AC2"/>
    <w:rsid w:val="003F1436"/>
    <w:rsid w:val="003F38A6"/>
    <w:rsid w:val="00406552"/>
    <w:rsid w:val="00420418"/>
    <w:rsid w:val="00460359"/>
    <w:rsid w:val="00470B1F"/>
    <w:rsid w:val="0047239C"/>
    <w:rsid w:val="004A0BD0"/>
    <w:rsid w:val="00523C81"/>
    <w:rsid w:val="005772D1"/>
    <w:rsid w:val="005C6F36"/>
    <w:rsid w:val="005F0D63"/>
    <w:rsid w:val="00622339"/>
    <w:rsid w:val="00650A8F"/>
    <w:rsid w:val="00682A70"/>
    <w:rsid w:val="00684084"/>
    <w:rsid w:val="006938BE"/>
    <w:rsid w:val="006A4C8C"/>
    <w:rsid w:val="006B461A"/>
    <w:rsid w:val="006C4468"/>
    <w:rsid w:val="006F4F60"/>
    <w:rsid w:val="007060B5"/>
    <w:rsid w:val="00732C94"/>
    <w:rsid w:val="007330C9"/>
    <w:rsid w:val="00753553"/>
    <w:rsid w:val="00756736"/>
    <w:rsid w:val="00761F43"/>
    <w:rsid w:val="0077269C"/>
    <w:rsid w:val="00797F4E"/>
    <w:rsid w:val="007B5090"/>
    <w:rsid w:val="007C1B93"/>
    <w:rsid w:val="007C5EEB"/>
    <w:rsid w:val="007D1ABF"/>
    <w:rsid w:val="007D46ED"/>
    <w:rsid w:val="00894383"/>
    <w:rsid w:val="008C1A94"/>
    <w:rsid w:val="008F0745"/>
    <w:rsid w:val="008F7099"/>
    <w:rsid w:val="009747E1"/>
    <w:rsid w:val="00982AEC"/>
    <w:rsid w:val="00994983"/>
    <w:rsid w:val="009E09D8"/>
    <w:rsid w:val="00A12A0E"/>
    <w:rsid w:val="00A206F9"/>
    <w:rsid w:val="00A32E28"/>
    <w:rsid w:val="00A4465E"/>
    <w:rsid w:val="00A635BA"/>
    <w:rsid w:val="00A706CD"/>
    <w:rsid w:val="00A845AC"/>
    <w:rsid w:val="00AD22CA"/>
    <w:rsid w:val="00AE1E58"/>
    <w:rsid w:val="00B10168"/>
    <w:rsid w:val="00B41EEC"/>
    <w:rsid w:val="00B7073B"/>
    <w:rsid w:val="00B73048"/>
    <w:rsid w:val="00B762E1"/>
    <w:rsid w:val="00B8089A"/>
    <w:rsid w:val="00BC5FA2"/>
    <w:rsid w:val="00BD0C1D"/>
    <w:rsid w:val="00C07CC6"/>
    <w:rsid w:val="00C20ABE"/>
    <w:rsid w:val="00C77E02"/>
    <w:rsid w:val="00C962BA"/>
    <w:rsid w:val="00CC33D3"/>
    <w:rsid w:val="00CC56C2"/>
    <w:rsid w:val="00CC7EF3"/>
    <w:rsid w:val="00CF0EC7"/>
    <w:rsid w:val="00D337D4"/>
    <w:rsid w:val="00D54DDF"/>
    <w:rsid w:val="00D67ECC"/>
    <w:rsid w:val="00E10152"/>
    <w:rsid w:val="00E7764C"/>
    <w:rsid w:val="00E84A96"/>
    <w:rsid w:val="00ED16E9"/>
    <w:rsid w:val="00EE47BD"/>
    <w:rsid w:val="00EF11ED"/>
    <w:rsid w:val="00EF5E66"/>
    <w:rsid w:val="00F42761"/>
    <w:rsid w:val="00F529B2"/>
    <w:rsid w:val="00F80E93"/>
    <w:rsid w:val="00FC3562"/>
    <w:rsid w:val="00FD64A4"/>
    <w:rsid w:val="00FF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ECA89"/>
  <w15:docId w15:val="{1D1BE668-0938-406C-942D-604EFB1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0745"/>
    <w:pPr>
      <w:spacing w:beforeLines="50" w:afterLines="50" w:line="360" w:lineRule="auto"/>
      <w:ind w:firstLineChars="200" w:firstLine="420"/>
    </w:pPr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8F07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461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B461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B461A"/>
    <w:rPr>
      <w:rFonts w:ascii="Times New Roman" w:eastAsia="宋体" w:hAnsi="Times New Roman" w:cs="Times New Roman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461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B461A"/>
    <w:rPr>
      <w:rFonts w:ascii="Times New Roman" w:eastAsia="宋体" w:hAnsi="Times New Roman" w:cs="Times New Roman"/>
      <w:b/>
      <w:bCs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B461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B461A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CC33D3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CC33D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04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4285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孙 大伟</cp:lastModifiedBy>
  <cp:revision>36</cp:revision>
  <dcterms:created xsi:type="dcterms:W3CDTF">2020-04-24T08:52:00Z</dcterms:created>
  <dcterms:modified xsi:type="dcterms:W3CDTF">2022-04-17T10:39:00Z</dcterms:modified>
</cp:coreProperties>
</file>