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A071E" w14:textId="77777777" w:rsidR="0060115B" w:rsidRDefault="00FC769E">
      <w:pPr>
        <w:widowControl/>
        <w:jc w:val="center"/>
        <w:rPr>
          <w:rFonts w:ascii="黑体" w:eastAsia="黑体" w:hAnsi="黑体"/>
          <w:kern w:val="0"/>
          <w:sz w:val="36"/>
          <w:szCs w:val="36"/>
        </w:rPr>
      </w:pPr>
      <w:r>
        <w:rPr>
          <w:rFonts w:ascii="黑体" w:eastAsia="黑体" w:hAnsi="黑体" w:hint="eastAsia"/>
          <w:kern w:val="0"/>
          <w:sz w:val="36"/>
          <w:szCs w:val="36"/>
        </w:rPr>
        <w:t>华安证券股份有限公司</w:t>
      </w:r>
    </w:p>
    <w:p w14:paraId="0C2FE2C4" w14:textId="77777777" w:rsidR="0060115B" w:rsidRDefault="00FC769E">
      <w:pPr>
        <w:widowControl/>
        <w:jc w:val="center"/>
        <w:rPr>
          <w:rFonts w:ascii="黑体" w:eastAsia="黑体" w:hAnsi="黑体"/>
          <w:kern w:val="0"/>
          <w:sz w:val="36"/>
          <w:szCs w:val="36"/>
        </w:rPr>
      </w:pPr>
      <w:r>
        <w:rPr>
          <w:rFonts w:ascii="黑体" w:eastAsia="黑体" w:hAnsi="黑体" w:hint="eastAsia"/>
          <w:kern w:val="0"/>
          <w:sz w:val="36"/>
          <w:szCs w:val="36"/>
        </w:rPr>
        <w:t>关于安徽省交通建设股份有限公司</w:t>
      </w:r>
    </w:p>
    <w:p w14:paraId="440084B1" w14:textId="04ED43FB" w:rsidR="0060115B" w:rsidRDefault="0022756B">
      <w:pPr>
        <w:widowControl/>
        <w:jc w:val="center"/>
        <w:rPr>
          <w:rFonts w:ascii="黑体" w:eastAsia="黑体" w:hAnsi="黑体"/>
          <w:kern w:val="0"/>
          <w:sz w:val="36"/>
          <w:szCs w:val="36"/>
        </w:rPr>
      </w:pPr>
      <w:r w:rsidRPr="0022756B">
        <w:rPr>
          <w:rFonts w:ascii="黑体" w:eastAsia="黑体" w:hAnsi="黑体" w:hint="eastAsia"/>
          <w:kern w:val="0"/>
          <w:sz w:val="36"/>
          <w:szCs w:val="36"/>
        </w:rPr>
        <w:t>2021年度持续督导工作现场检查报告</w:t>
      </w:r>
    </w:p>
    <w:p w14:paraId="1D559514" w14:textId="77777777" w:rsidR="008F7638" w:rsidRDefault="008F7638">
      <w:pPr>
        <w:widowControl/>
        <w:jc w:val="center"/>
        <w:rPr>
          <w:rFonts w:ascii="黑体" w:eastAsia="黑体" w:hAnsi="黑体"/>
          <w:kern w:val="0"/>
          <w:sz w:val="36"/>
          <w:szCs w:val="36"/>
        </w:rPr>
      </w:pPr>
    </w:p>
    <w:p w14:paraId="62EF43A7" w14:textId="77777777" w:rsidR="0060115B" w:rsidRDefault="00FC769E">
      <w:pPr>
        <w:widowControl/>
        <w:spacing w:line="360" w:lineRule="auto"/>
        <w:ind w:firstLineChars="200" w:firstLine="480"/>
        <w:rPr>
          <w:kern w:val="0"/>
          <w:sz w:val="24"/>
        </w:rPr>
      </w:pPr>
      <w:r>
        <w:rPr>
          <w:rFonts w:hint="eastAsia"/>
          <w:kern w:val="0"/>
          <w:sz w:val="24"/>
        </w:rPr>
        <w:t>根据中国证监会《证券发行上市保荐业务管理办法》和《上海证券交易所上市公司自律监管指引第</w:t>
      </w:r>
      <w:r>
        <w:rPr>
          <w:rFonts w:hint="eastAsia"/>
          <w:kern w:val="0"/>
          <w:sz w:val="24"/>
        </w:rPr>
        <w:t>11</w:t>
      </w:r>
      <w:r>
        <w:rPr>
          <w:rFonts w:hint="eastAsia"/>
          <w:kern w:val="0"/>
          <w:sz w:val="24"/>
        </w:rPr>
        <w:t>号——持续督导》等有关法律法规的要求，华安证券股份有限公司（以下简称“华安证券”、“保荐机构”）作为正在履行安徽省交通建设股份有限公司（以下简称“交建股份”、“上市公司”、“公司”）非公开发行股票持续督导工作的保荐机构，对上市公司</w:t>
      </w:r>
      <w:r>
        <w:rPr>
          <w:rFonts w:hint="eastAsia"/>
          <w:kern w:val="0"/>
          <w:sz w:val="24"/>
        </w:rPr>
        <w:t>2021</w:t>
      </w:r>
      <w:r>
        <w:rPr>
          <w:rFonts w:hint="eastAsia"/>
          <w:kern w:val="0"/>
          <w:sz w:val="24"/>
        </w:rPr>
        <w:t>年持续督导期内的规范运行情况进行了现场检查，报告如下：</w:t>
      </w:r>
    </w:p>
    <w:p w14:paraId="10035734" w14:textId="77777777" w:rsidR="0060115B" w:rsidRDefault="00FC769E">
      <w:pPr>
        <w:widowControl/>
        <w:spacing w:beforeLines="50" w:before="156" w:afterLines="50" w:after="156" w:line="360" w:lineRule="auto"/>
        <w:ind w:firstLineChars="200" w:firstLine="562"/>
        <w:outlineLvl w:val="0"/>
        <w:rPr>
          <w:b/>
          <w:bCs/>
          <w:kern w:val="0"/>
          <w:sz w:val="28"/>
          <w:szCs w:val="28"/>
        </w:rPr>
      </w:pPr>
      <w:r>
        <w:rPr>
          <w:rFonts w:hint="eastAsia"/>
          <w:b/>
          <w:bCs/>
          <w:kern w:val="0"/>
          <w:sz w:val="28"/>
          <w:szCs w:val="28"/>
        </w:rPr>
        <w:t>一、本次现场检查的基本情况</w:t>
      </w:r>
    </w:p>
    <w:p w14:paraId="6B353131" w14:textId="77777777" w:rsidR="0060115B" w:rsidRDefault="00FC769E">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（一）保荐机构</w:t>
      </w:r>
    </w:p>
    <w:p w14:paraId="72AD13B1" w14:textId="65E4EDBE" w:rsidR="0060115B" w:rsidRDefault="00FC769E">
      <w:pPr>
        <w:widowControl/>
        <w:adjustRightInd w:val="0"/>
        <w:snapToGrid w:val="0"/>
        <w:spacing w:line="360" w:lineRule="auto"/>
        <w:ind w:firstLineChars="200" w:firstLine="480"/>
        <w:rPr>
          <w:kern w:val="0"/>
          <w:sz w:val="24"/>
        </w:rPr>
      </w:pPr>
      <w:r>
        <w:rPr>
          <w:rFonts w:hint="eastAsia"/>
          <w:kern w:val="0"/>
          <w:sz w:val="24"/>
        </w:rPr>
        <w:t>华安证券</w:t>
      </w:r>
    </w:p>
    <w:p w14:paraId="74D966E8" w14:textId="77777777" w:rsidR="0060115B" w:rsidRDefault="00FC769E">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（二）保荐代表人</w:t>
      </w:r>
    </w:p>
    <w:p w14:paraId="534DCAFD" w14:textId="1A818F15" w:rsidR="0060115B" w:rsidRDefault="00FC769E">
      <w:pPr>
        <w:widowControl/>
        <w:adjustRightInd w:val="0"/>
        <w:snapToGrid w:val="0"/>
        <w:spacing w:line="360" w:lineRule="auto"/>
        <w:ind w:firstLineChars="200" w:firstLine="480"/>
        <w:rPr>
          <w:kern w:val="0"/>
          <w:sz w:val="24"/>
        </w:rPr>
      </w:pPr>
      <w:r>
        <w:rPr>
          <w:rFonts w:hint="eastAsia"/>
          <w:kern w:val="0"/>
          <w:sz w:val="24"/>
        </w:rPr>
        <w:t>林斗志、李骘</w:t>
      </w:r>
    </w:p>
    <w:p w14:paraId="6A713DB9" w14:textId="77777777" w:rsidR="0060115B" w:rsidRDefault="00FC769E">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（三）现场检查时间</w:t>
      </w:r>
    </w:p>
    <w:p w14:paraId="1559DF0A" w14:textId="775AD22C" w:rsidR="0060115B" w:rsidRDefault="00FC769E">
      <w:pPr>
        <w:widowControl/>
        <w:adjustRightInd w:val="0"/>
        <w:snapToGrid w:val="0"/>
        <w:spacing w:line="360" w:lineRule="auto"/>
        <w:ind w:firstLineChars="200" w:firstLine="480"/>
        <w:rPr>
          <w:kern w:val="0"/>
          <w:sz w:val="24"/>
        </w:rPr>
      </w:pPr>
      <w:r>
        <w:rPr>
          <w:rFonts w:hint="eastAsia"/>
          <w:kern w:val="0"/>
          <w:sz w:val="24"/>
        </w:rPr>
        <w:t>202</w:t>
      </w:r>
      <w:r>
        <w:rPr>
          <w:kern w:val="0"/>
          <w:sz w:val="24"/>
        </w:rPr>
        <w:t>2</w:t>
      </w:r>
      <w:r>
        <w:rPr>
          <w:rFonts w:hint="eastAsia"/>
          <w:kern w:val="0"/>
          <w:sz w:val="24"/>
        </w:rPr>
        <w:t>年</w:t>
      </w:r>
      <w:r>
        <w:rPr>
          <w:rFonts w:hint="eastAsia"/>
          <w:kern w:val="0"/>
          <w:sz w:val="24"/>
        </w:rPr>
        <w:t>1</w:t>
      </w:r>
      <w:r>
        <w:rPr>
          <w:rFonts w:hint="eastAsia"/>
          <w:kern w:val="0"/>
          <w:sz w:val="24"/>
        </w:rPr>
        <w:t>月</w:t>
      </w:r>
      <w:r>
        <w:rPr>
          <w:kern w:val="0"/>
          <w:sz w:val="24"/>
        </w:rPr>
        <w:t>17</w:t>
      </w:r>
      <w:r>
        <w:rPr>
          <w:rFonts w:hint="eastAsia"/>
          <w:kern w:val="0"/>
          <w:sz w:val="24"/>
        </w:rPr>
        <w:t>日</w:t>
      </w:r>
      <w:r>
        <w:rPr>
          <w:rFonts w:hint="eastAsia"/>
          <w:kern w:val="0"/>
          <w:sz w:val="24"/>
        </w:rPr>
        <w:t>-202</w:t>
      </w:r>
      <w:r>
        <w:rPr>
          <w:kern w:val="0"/>
          <w:sz w:val="24"/>
        </w:rPr>
        <w:t>2</w:t>
      </w:r>
      <w:r>
        <w:rPr>
          <w:rFonts w:hint="eastAsia"/>
          <w:kern w:val="0"/>
          <w:sz w:val="24"/>
        </w:rPr>
        <w:t>年</w:t>
      </w:r>
      <w:r>
        <w:rPr>
          <w:rFonts w:hint="eastAsia"/>
          <w:kern w:val="0"/>
          <w:sz w:val="24"/>
        </w:rPr>
        <w:t>1</w:t>
      </w:r>
      <w:r>
        <w:rPr>
          <w:rFonts w:hint="eastAsia"/>
          <w:kern w:val="0"/>
          <w:sz w:val="24"/>
        </w:rPr>
        <w:t>月</w:t>
      </w:r>
      <w:r>
        <w:rPr>
          <w:kern w:val="0"/>
          <w:sz w:val="24"/>
        </w:rPr>
        <w:t>19</w:t>
      </w:r>
      <w:r>
        <w:rPr>
          <w:rFonts w:hint="eastAsia"/>
          <w:kern w:val="0"/>
          <w:sz w:val="24"/>
        </w:rPr>
        <w:t>日</w:t>
      </w:r>
    </w:p>
    <w:p w14:paraId="33CE4DA3" w14:textId="77777777" w:rsidR="0060115B" w:rsidRDefault="00FC769E">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（四）现场检查人员</w:t>
      </w:r>
    </w:p>
    <w:p w14:paraId="0C85393D" w14:textId="723DCF01" w:rsidR="0060115B" w:rsidRDefault="00FC769E">
      <w:pPr>
        <w:widowControl/>
        <w:adjustRightInd w:val="0"/>
        <w:snapToGrid w:val="0"/>
        <w:spacing w:line="360" w:lineRule="auto"/>
        <w:ind w:firstLineChars="200" w:firstLine="480"/>
        <w:rPr>
          <w:kern w:val="0"/>
          <w:sz w:val="24"/>
        </w:rPr>
      </w:pPr>
      <w:r>
        <w:rPr>
          <w:rFonts w:hint="eastAsia"/>
          <w:kern w:val="0"/>
          <w:sz w:val="24"/>
        </w:rPr>
        <w:t>林斗志、李骘、薛明伟</w:t>
      </w:r>
    </w:p>
    <w:p w14:paraId="6DF19686" w14:textId="77777777" w:rsidR="0060115B" w:rsidRDefault="00FC769E">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（五）现场检查手段</w:t>
      </w:r>
    </w:p>
    <w:p w14:paraId="682889D0" w14:textId="77777777" w:rsidR="0060115B" w:rsidRDefault="00FC769E">
      <w:pPr>
        <w:widowControl/>
        <w:adjustRightInd w:val="0"/>
        <w:snapToGrid w:val="0"/>
        <w:spacing w:line="360" w:lineRule="auto"/>
        <w:ind w:firstLineChars="200" w:firstLine="480"/>
        <w:rPr>
          <w:kern w:val="0"/>
          <w:sz w:val="24"/>
        </w:rPr>
      </w:pPr>
      <w:r>
        <w:rPr>
          <w:rFonts w:hint="eastAsia"/>
          <w:kern w:val="0"/>
          <w:sz w:val="24"/>
        </w:rPr>
        <w:t>1</w:t>
      </w:r>
      <w:r>
        <w:rPr>
          <w:rFonts w:hint="eastAsia"/>
          <w:kern w:val="0"/>
          <w:sz w:val="24"/>
        </w:rPr>
        <w:t>、与上市公司董事、监事、高级管理人员及有关人员访谈；</w:t>
      </w:r>
    </w:p>
    <w:p w14:paraId="763BE992" w14:textId="77777777" w:rsidR="0060115B" w:rsidRDefault="00FC769E">
      <w:pPr>
        <w:widowControl/>
        <w:adjustRightInd w:val="0"/>
        <w:snapToGrid w:val="0"/>
        <w:spacing w:line="360" w:lineRule="auto"/>
        <w:ind w:firstLineChars="200" w:firstLine="480"/>
        <w:rPr>
          <w:kern w:val="0"/>
          <w:sz w:val="24"/>
        </w:rPr>
      </w:pPr>
      <w:r>
        <w:rPr>
          <w:rFonts w:hint="eastAsia"/>
          <w:kern w:val="0"/>
          <w:sz w:val="24"/>
        </w:rPr>
        <w:t>2</w:t>
      </w:r>
      <w:r>
        <w:rPr>
          <w:rFonts w:hint="eastAsia"/>
          <w:kern w:val="0"/>
          <w:sz w:val="24"/>
        </w:rPr>
        <w:t>、查看上市公司主要生产经营场所；</w:t>
      </w:r>
    </w:p>
    <w:p w14:paraId="737C6D4A" w14:textId="77777777" w:rsidR="0060115B" w:rsidRDefault="00FC769E">
      <w:pPr>
        <w:widowControl/>
        <w:adjustRightInd w:val="0"/>
        <w:snapToGrid w:val="0"/>
        <w:spacing w:line="360" w:lineRule="auto"/>
        <w:ind w:firstLineChars="200" w:firstLine="480"/>
        <w:rPr>
          <w:kern w:val="0"/>
          <w:sz w:val="24"/>
        </w:rPr>
      </w:pPr>
      <w:r>
        <w:rPr>
          <w:rFonts w:hint="eastAsia"/>
          <w:kern w:val="0"/>
          <w:sz w:val="24"/>
        </w:rPr>
        <w:t>3</w:t>
      </w:r>
      <w:r>
        <w:rPr>
          <w:rFonts w:hint="eastAsia"/>
          <w:kern w:val="0"/>
          <w:sz w:val="24"/>
        </w:rPr>
        <w:t>、查看公司持续督导期内召开的三会文件，以及有关内部控制制度文件；</w:t>
      </w:r>
    </w:p>
    <w:p w14:paraId="0779956A" w14:textId="77777777" w:rsidR="0060115B" w:rsidRDefault="00FC769E">
      <w:pPr>
        <w:widowControl/>
        <w:adjustRightInd w:val="0"/>
        <w:snapToGrid w:val="0"/>
        <w:spacing w:line="360" w:lineRule="auto"/>
        <w:ind w:firstLineChars="200" w:firstLine="480"/>
        <w:rPr>
          <w:kern w:val="0"/>
          <w:sz w:val="24"/>
        </w:rPr>
      </w:pPr>
      <w:r>
        <w:rPr>
          <w:rFonts w:hint="eastAsia"/>
          <w:kern w:val="0"/>
          <w:sz w:val="24"/>
        </w:rPr>
        <w:t>4</w:t>
      </w:r>
      <w:r>
        <w:rPr>
          <w:rFonts w:hint="eastAsia"/>
          <w:kern w:val="0"/>
          <w:sz w:val="24"/>
        </w:rPr>
        <w:t>、查阅和复印上市公司募集资金使用凭证、募集资金账户明细等资料；</w:t>
      </w:r>
    </w:p>
    <w:p w14:paraId="5E65BBC7" w14:textId="77777777" w:rsidR="0060115B" w:rsidRDefault="00FC769E">
      <w:pPr>
        <w:widowControl/>
        <w:adjustRightInd w:val="0"/>
        <w:snapToGrid w:val="0"/>
        <w:spacing w:line="360" w:lineRule="auto"/>
        <w:ind w:firstLineChars="200" w:firstLine="480"/>
        <w:rPr>
          <w:kern w:val="0"/>
          <w:sz w:val="24"/>
        </w:rPr>
      </w:pPr>
      <w:r>
        <w:rPr>
          <w:rFonts w:hint="eastAsia"/>
          <w:kern w:val="0"/>
          <w:sz w:val="24"/>
        </w:rPr>
        <w:lastRenderedPageBreak/>
        <w:t>5</w:t>
      </w:r>
      <w:r>
        <w:rPr>
          <w:rFonts w:hint="eastAsia"/>
          <w:kern w:val="0"/>
          <w:sz w:val="24"/>
        </w:rPr>
        <w:t>、核查公司持续督导期内发生的关联交易、对外投资、对外担保等资料。</w:t>
      </w:r>
    </w:p>
    <w:p w14:paraId="7FE1AAF0" w14:textId="77777777" w:rsidR="0060115B" w:rsidRDefault="00FC769E">
      <w:pPr>
        <w:widowControl/>
        <w:spacing w:beforeLines="50" w:before="156" w:afterLines="50" w:after="156" w:line="360" w:lineRule="auto"/>
        <w:ind w:firstLineChars="200" w:firstLine="562"/>
        <w:outlineLvl w:val="0"/>
        <w:rPr>
          <w:b/>
          <w:bCs/>
          <w:kern w:val="0"/>
          <w:sz w:val="28"/>
          <w:szCs w:val="28"/>
        </w:rPr>
      </w:pPr>
      <w:r>
        <w:rPr>
          <w:rFonts w:hint="eastAsia"/>
          <w:b/>
          <w:bCs/>
          <w:kern w:val="0"/>
          <w:sz w:val="28"/>
          <w:szCs w:val="28"/>
        </w:rPr>
        <w:t>二、本次现场检查主要事项及意见</w:t>
      </w:r>
    </w:p>
    <w:p w14:paraId="0F67BDBD" w14:textId="77777777" w:rsidR="0060115B" w:rsidRDefault="00FC769E">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（一）公司治理和内部控制情况</w:t>
      </w:r>
    </w:p>
    <w:p w14:paraId="19E6BB94" w14:textId="77777777" w:rsidR="0060115B" w:rsidRDefault="00FC769E">
      <w:pPr>
        <w:widowControl/>
        <w:adjustRightInd w:val="0"/>
        <w:snapToGrid w:val="0"/>
        <w:spacing w:line="360" w:lineRule="auto"/>
        <w:ind w:firstLineChars="200" w:firstLine="480"/>
        <w:rPr>
          <w:kern w:val="0"/>
          <w:sz w:val="24"/>
        </w:rPr>
      </w:pPr>
      <w:r w:rsidRPr="00294DE5">
        <w:rPr>
          <w:rFonts w:hint="eastAsia"/>
          <w:kern w:val="0"/>
          <w:sz w:val="24"/>
        </w:rPr>
        <w:t>保荐机构</w:t>
      </w:r>
      <w:r>
        <w:rPr>
          <w:rFonts w:hint="eastAsia"/>
          <w:kern w:val="0"/>
          <w:sz w:val="24"/>
        </w:rPr>
        <w:t>现场检查人员（以下简称“现场检查人员”）</w:t>
      </w:r>
      <w:r w:rsidRPr="00294DE5">
        <w:rPr>
          <w:rFonts w:hint="eastAsia"/>
          <w:kern w:val="0"/>
          <w:sz w:val="24"/>
        </w:rPr>
        <w:t>查阅了公司的公司章程、董事会、监事会、股东大会的议事规则及其他内部控制制度，持续督导期内股东大会、董事会、监事会及专门委员会的会议文件等资料，并与公司相关董事、监事、高级管理人员及有关人员访谈沟通。</w:t>
      </w:r>
    </w:p>
    <w:p w14:paraId="43B6CDEB" w14:textId="77777777" w:rsidR="0060115B" w:rsidRDefault="00FC769E">
      <w:pPr>
        <w:widowControl/>
        <w:adjustRightInd w:val="0"/>
        <w:snapToGrid w:val="0"/>
        <w:spacing w:line="360" w:lineRule="auto"/>
        <w:ind w:firstLineChars="200" w:firstLine="480"/>
        <w:rPr>
          <w:kern w:val="0"/>
          <w:sz w:val="24"/>
        </w:rPr>
      </w:pPr>
      <w:r>
        <w:rPr>
          <w:rFonts w:hint="eastAsia"/>
          <w:kern w:val="0"/>
          <w:sz w:val="24"/>
        </w:rPr>
        <w:t>经现场检查，保荐机构认为：截至现场检查之日，交建股份建立了较为完善的法人治理结构，股东大会、董事会和监事会的议事规则得到贯彻执行。公司董事、监事和高级管理人员按照有关法律、法规和上海证券交易所相关业务规则的要求履行职责，公司治理机制有效地发挥了作用；公司内部机构设置和权责分配科学合理，对部门或岗位业务的权限范围、审批程序和相应责任等规定明确合规，风险评估和控制措施得到有效执行。</w:t>
      </w:r>
    </w:p>
    <w:p w14:paraId="57069034" w14:textId="77777777" w:rsidR="0060115B" w:rsidRDefault="00FC769E">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（二）信息披露情况</w:t>
      </w:r>
    </w:p>
    <w:p w14:paraId="31D700F2" w14:textId="483B3E4B" w:rsidR="0060115B" w:rsidRDefault="00FC769E">
      <w:pPr>
        <w:widowControl/>
        <w:spacing w:line="360" w:lineRule="auto"/>
        <w:ind w:firstLineChars="200" w:firstLine="480"/>
        <w:rPr>
          <w:kern w:val="0"/>
          <w:sz w:val="24"/>
        </w:rPr>
      </w:pPr>
      <w:r>
        <w:rPr>
          <w:rFonts w:hint="eastAsia"/>
          <w:kern w:val="0"/>
          <w:sz w:val="24"/>
        </w:rPr>
        <w:t>根据对公司三会文件、会议记录的检查，并通过与指定网络披露的相关信息进行对比和分析，保荐机构认为：截至现场检查之日，交建股份真实、准确、完整地履行了信息披露义务，信息披露不存在虚假记载、误导性陈述或重大遗漏，符合上市公司信息披露的相关规定。</w:t>
      </w:r>
    </w:p>
    <w:p w14:paraId="204C0687" w14:textId="77777777" w:rsidR="0060115B" w:rsidRDefault="00FC769E">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（三）公司的独立性以及与控股股东、实际控制人及其他关联方资金往来情况</w:t>
      </w:r>
    </w:p>
    <w:p w14:paraId="1FA32EE1" w14:textId="23D19080" w:rsidR="0060115B" w:rsidRDefault="00FC769E">
      <w:pPr>
        <w:widowControl/>
        <w:spacing w:line="360" w:lineRule="auto"/>
        <w:ind w:firstLineChars="200" w:firstLine="480"/>
        <w:rPr>
          <w:kern w:val="0"/>
          <w:sz w:val="24"/>
        </w:rPr>
      </w:pPr>
      <w:r>
        <w:rPr>
          <w:rFonts w:hint="eastAsia"/>
          <w:kern w:val="0"/>
          <w:sz w:val="24"/>
        </w:rPr>
        <w:t>经核查公司与控股股东、实际控制人及其他关联方的交易及资金往来情况，</w:t>
      </w:r>
      <w:r>
        <w:rPr>
          <w:kern w:val="0"/>
          <w:sz w:val="24"/>
        </w:rPr>
        <w:cr/>
      </w:r>
      <w:r>
        <w:rPr>
          <w:rFonts w:hint="eastAsia"/>
          <w:kern w:val="0"/>
          <w:sz w:val="24"/>
        </w:rPr>
        <w:t>保荐机构认为：截至现场检查之日，交建股份资产完整，人员、机构、业务、财务保持独立，不存在关联方违规占有上市公司资金的情形。</w:t>
      </w:r>
    </w:p>
    <w:p w14:paraId="524A2C4D" w14:textId="77777777" w:rsidR="0060115B" w:rsidRDefault="00FC769E">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（四）募集资金使用情况</w:t>
      </w:r>
    </w:p>
    <w:p w14:paraId="02927984" w14:textId="77777777" w:rsidR="0060115B" w:rsidRDefault="00FC769E">
      <w:pPr>
        <w:widowControl/>
        <w:spacing w:line="360" w:lineRule="auto"/>
        <w:ind w:firstLineChars="200" w:firstLine="480"/>
        <w:rPr>
          <w:kern w:val="0"/>
          <w:sz w:val="24"/>
        </w:rPr>
      </w:pPr>
      <w:r>
        <w:rPr>
          <w:rFonts w:hint="eastAsia"/>
          <w:kern w:val="0"/>
          <w:sz w:val="24"/>
        </w:rPr>
        <w:t>现场检查人员查阅了公司募集资金账户情况、募集资金使用相关的原始凭证和银行对账单、与募集资金使用相关的会议记录及公告等资料，同时查阅了公司</w:t>
      </w:r>
      <w:r>
        <w:rPr>
          <w:rFonts w:hint="eastAsia"/>
          <w:kern w:val="0"/>
          <w:sz w:val="24"/>
        </w:rPr>
        <w:lastRenderedPageBreak/>
        <w:t>关于募集资金的相关内部控制制度以及关于募集资金支出和使用的决策程序文件。</w:t>
      </w:r>
    </w:p>
    <w:p w14:paraId="380637B0" w14:textId="77777777" w:rsidR="0060115B" w:rsidRDefault="00FC769E">
      <w:pPr>
        <w:widowControl/>
        <w:spacing w:line="360" w:lineRule="auto"/>
        <w:ind w:firstLineChars="200" w:firstLine="480"/>
        <w:rPr>
          <w:kern w:val="0"/>
          <w:sz w:val="24"/>
        </w:rPr>
      </w:pPr>
      <w:r>
        <w:rPr>
          <w:rFonts w:hint="eastAsia"/>
          <w:kern w:val="0"/>
          <w:sz w:val="24"/>
        </w:rPr>
        <w:t>经核查，保荐机构认为：交建股份募集资金的存放和使用符合相关规定的要求，募集资金使用与已披露情况一致，交建股份对募集资金的管理、使用履行了必要的决策程序及信息披露义务，不存在违法违规情形，符合《上市公司监管指引第</w:t>
      </w:r>
      <w:r>
        <w:rPr>
          <w:rFonts w:hint="eastAsia"/>
          <w:kern w:val="0"/>
          <w:sz w:val="24"/>
        </w:rPr>
        <w:t>2</w:t>
      </w:r>
      <w:r>
        <w:rPr>
          <w:rFonts w:hint="eastAsia"/>
          <w:kern w:val="0"/>
          <w:sz w:val="24"/>
        </w:rPr>
        <w:t>号——上市公司募集资金管理和使用的监管要求》等法律法规关于上市公司募集资金存放和使用的有关规定。</w:t>
      </w:r>
    </w:p>
    <w:p w14:paraId="61932736" w14:textId="39A13C64" w:rsidR="0060115B" w:rsidRDefault="00FC769E">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（五）关联交易、对外担保、重大对外投资情况</w:t>
      </w:r>
    </w:p>
    <w:p w14:paraId="65543F5F" w14:textId="18DC11AC" w:rsidR="0060115B" w:rsidRDefault="00FC769E">
      <w:pPr>
        <w:widowControl/>
        <w:spacing w:line="360" w:lineRule="auto"/>
        <w:ind w:firstLineChars="200" w:firstLine="480"/>
        <w:rPr>
          <w:kern w:val="0"/>
          <w:sz w:val="24"/>
        </w:rPr>
      </w:pPr>
      <w:r>
        <w:rPr>
          <w:rFonts w:hint="eastAsia"/>
          <w:kern w:val="0"/>
          <w:sz w:val="24"/>
        </w:rPr>
        <w:t>现场检查人员查阅了公司章程等内部相关制度、董事会、股东大会决议和信息披露文件及访谈了相关人员。</w:t>
      </w:r>
    </w:p>
    <w:p w14:paraId="6C1009E8" w14:textId="77777777" w:rsidR="0060115B" w:rsidRDefault="00FC769E">
      <w:pPr>
        <w:widowControl/>
        <w:spacing w:line="360" w:lineRule="auto"/>
        <w:ind w:firstLineChars="200" w:firstLine="480"/>
        <w:rPr>
          <w:kern w:val="0"/>
          <w:sz w:val="24"/>
        </w:rPr>
      </w:pPr>
      <w:r>
        <w:rPr>
          <w:rFonts w:hint="eastAsia"/>
          <w:kern w:val="0"/>
          <w:sz w:val="24"/>
        </w:rPr>
        <w:t>经核查，保荐机构认为：交建股份已对关联交易、对外担保和对外投资的决策权限和决策机制进行了规范，相关的关联交易、对外担保和对外投资不存在重大违法违规和损害中小股东利益的情况。</w:t>
      </w:r>
    </w:p>
    <w:p w14:paraId="3E5906C9" w14:textId="77777777" w:rsidR="0060115B" w:rsidRDefault="00FC769E">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（六）经营状况</w:t>
      </w:r>
    </w:p>
    <w:p w14:paraId="78663072" w14:textId="77777777" w:rsidR="0060115B" w:rsidRDefault="00FC769E">
      <w:pPr>
        <w:widowControl/>
        <w:spacing w:line="360" w:lineRule="auto"/>
        <w:ind w:firstLineChars="200" w:firstLine="480"/>
        <w:rPr>
          <w:kern w:val="0"/>
          <w:sz w:val="24"/>
        </w:rPr>
      </w:pPr>
      <w:r>
        <w:rPr>
          <w:rFonts w:hint="eastAsia"/>
          <w:kern w:val="0"/>
          <w:sz w:val="24"/>
        </w:rPr>
        <w:t>现场检查人员查阅了相关行业及市场信息、公司的经营业绩情况，与公司相关人员进行访谈，现场检查人员查阅了相关行业及市场信息、公司的经营业绩情况。</w:t>
      </w:r>
    </w:p>
    <w:p w14:paraId="035D870B" w14:textId="77777777" w:rsidR="0060115B" w:rsidRDefault="00FC769E">
      <w:pPr>
        <w:widowControl/>
        <w:spacing w:line="360" w:lineRule="auto"/>
        <w:ind w:firstLineChars="200" w:firstLine="480"/>
        <w:rPr>
          <w:kern w:val="0"/>
          <w:sz w:val="24"/>
        </w:rPr>
      </w:pPr>
      <w:r>
        <w:rPr>
          <w:rFonts w:hint="eastAsia"/>
          <w:kern w:val="0"/>
          <w:sz w:val="24"/>
        </w:rPr>
        <w:t>经核查，保荐机构认为：公司经营状况良好，业务运转正常，主要业务的经营模式未发生变化。</w:t>
      </w:r>
    </w:p>
    <w:p w14:paraId="36126DC4" w14:textId="77777777" w:rsidR="0060115B" w:rsidRDefault="00FC769E">
      <w:pPr>
        <w:widowControl/>
        <w:adjustRightInd w:val="0"/>
        <w:snapToGrid w:val="0"/>
        <w:spacing w:beforeLines="50" w:before="156" w:afterLines="50" w:after="156" w:line="360" w:lineRule="auto"/>
        <w:ind w:firstLineChars="200" w:firstLine="482"/>
        <w:outlineLvl w:val="1"/>
        <w:rPr>
          <w:b/>
          <w:bCs/>
          <w:kern w:val="0"/>
          <w:sz w:val="24"/>
        </w:rPr>
      </w:pPr>
      <w:r>
        <w:rPr>
          <w:rFonts w:hint="eastAsia"/>
          <w:b/>
          <w:bCs/>
          <w:kern w:val="0"/>
          <w:sz w:val="24"/>
        </w:rPr>
        <w:t>（七）保荐机构认为应予以现场检查的其他事项</w:t>
      </w:r>
    </w:p>
    <w:p w14:paraId="7C09B797" w14:textId="77777777" w:rsidR="0060115B" w:rsidRDefault="00FC769E">
      <w:pPr>
        <w:widowControl/>
        <w:spacing w:line="360" w:lineRule="auto"/>
        <w:ind w:firstLineChars="200" w:firstLine="480"/>
        <w:rPr>
          <w:kern w:val="0"/>
          <w:sz w:val="24"/>
        </w:rPr>
      </w:pPr>
      <w:r>
        <w:rPr>
          <w:rFonts w:hint="eastAsia"/>
          <w:kern w:val="0"/>
          <w:sz w:val="24"/>
        </w:rPr>
        <w:t>无。</w:t>
      </w:r>
    </w:p>
    <w:p w14:paraId="1BD50F53" w14:textId="77777777" w:rsidR="0060115B" w:rsidRDefault="00FC769E">
      <w:pPr>
        <w:widowControl/>
        <w:spacing w:beforeLines="50" w:before="156" w:afterLines="50" w:after="156" w:line="360" w:lineRule="auto"/>
        <w:ind w:firstLineChars="200" w:firstLine="562"/>
        <w:outlineLvl w:val="0"/>
        <w:rPr>
          <w:b/>
          <w:bCs/>
          <w:kern w:val="0"/>
          <w:sz w:val="28"/>
          <w:szCs w:val="28"/>
        </w:rPr>
      </w:pPr>
      <w:r>
        <w:rPr>
          <w:rFonts w:hint="eastAsia"/>
          <w:b/>
          <w:bCs/>
          <w:kern w:val="0"/>
          <w:sz w:val="28"/>
          <w:szCs w:val="28"/>
        </w:rPr>
        <w:t>三、提请上市公司注意的事项及建议</w:t>
      </w:r>
    </w:p>
    <w:p w14:paraId="57B9932E" w14:textId="77777777" w:rsidR="0060115B" w:rsidRDefault="00FC769E">
      <w:pPr>
        <w:widowControl/>
        <w:spacing w:line="360" w:lineRule="auto"/>
        <w:ind w:firstLineChars="200" w:firstLine="480"/>
        <w:rPr>
          <w:kern w:val="0"/>
          <w:sz w:val="24"/>
        </w:rPr>
      </w:pPr>
      <w:r>
        <w:rPr>
          <w:rFonts w:hint="eastAsia"/>
          <w:kern w:val="0"/>
          <w:sz w:val="24"/>
        </w:rPr>
        <w:t>经本次现场检查后，保荐机构建议公司继续严格按照《公司法》、《证券法》、《上海证券交易所股票上市规则》等法律法规的要求，不断完善上市公司治理结构，及时履行信息披露义务。持续、合理安排募集资金使用，有序推进募投项目的建设及实施，确保募投项目完成并实现预期收益。</w:t>
      </w:r>
    </w:p>
    <w:p w14:paraId="0550361D" w14:textId="4D9EA217" w:rsidR="0060115B" w:rsidRDefault="00FC769E">
      <w:pPr>
        <w:widowControl/>
        <w:spacing w:beforeLines="50" w:before="156" w:afterLines="50" w:after="156" w:line="360" w:lineRule="auto"/>
        <w:ind w:firstLineChars="200" w:firstLine="562"/>
        <w:outlineLvl w:val="0"/>
        <w:rPr>
          <w:b/>
          <w:bCs/>
          <w:kern w:val="0"/>
          <w:sz w:val="28"/>
          <w:szCs w:val="28"/>
        </w:rPr>
      </w:pPr>
      <w:r>
        <w:rPr>
          <w:rFonts w:hint="eastAsia"/>
          <w:b/>
          <w:bCs/>
          <w:kern w:val="0"/>
          <w:sz w:val="28"/>
          <w:szCs w:val="28"/>
        </w:rPr>
        <w:lastRenderedPageBreak/>
        <w:t>四、是否存在《证券发行上市保荐业务管理办法》及交易所规定应当向中国证监会和交易所报告的事项</w:t>
      </w:r>
    </w:p>
    <w:p w14:paraId="25778B6B" w14:textId="77777777" w:rsidR="0060115B" w:rsidRDefault="00FC769E">
      <w:pPr>
        <w:widowControl/>
        <w:spacing w:line="360" w:lineRule="auto"/>
        <w:ind w:firstLineChars="200" w:firstLine="480"/>
        <w:rPr>
          <w:kern w:val="0"/>
          <w:sz w:val="24"/>
        </w:rPr>
      </w:pPr>
      <w:r>
        <w:rPr>
          <w:rFonts w:hint="eastAsia"/>
          <w:kern w:val="0"/>
          <w:sz w:val="24"/>
        </w:rPr>
        <w:t>本次现场检查中，未发现存在《证券发行上市保荐业务管理办法》及上海证券交易所相关规则规定的应向中国证监会或上海证券交易所报告的事项。</w:t>
      </w:r>
    </w:p>
    <w:p w14:paraId="762C5C50" w14:textId="59BD2572" w:rsidR="0060115B" w:rsidRDefault="00FC769E">
      <w:pPr>
        <w:widowControl/>
        <w:spacing w:beforeLines="50" w:before="156" w:afterLines="50" w:after="156" w:line="360" w:lineRule="auto"/>
        <w:ind w:firstLineChars="200" w:firstLine="562"/>
        <w:outlineLvl w:val="0"/>
        <w:rPr>
          <w:b/>
          <w:bCs/>
          <w:kern w:val="0"/>
          <w:sz w:val="28"/>
          <w:szCs w:val="28"/>
        </w:rPr>
      </w:pPr>
      <w:r>
        <w:rPr>
          <w:rFonts w:hint="eastAsia"/>
          <w:b/>
          <w:bCs/>
          <w:kern w:val="0"/>
          <w:sz w:val="28"/>
          <w:szCs w:val="28"/>
        </w:rPr>
        <w:t>五、上市公司及其他中介机构的配合情况</w:t>
      </w:r>
    </w:p>
    <w:p w14:paraId="1EDE5E1A" w14:textId="0EF0E88D" w:rsidR="0060115B" w:rsidRDefault="00FC769E" w:rsidP="00294DE5">
      <w:pPr>
        <w:widowControl/>
        <w:spacing w:line="360" w:lineRule="auto"/>
        <w:ind w:firstLineChars="200" w:firstLine="480"/>
        <w:rPr>
          <w:kern w:val="0"/>
          <w:sz w:val="24"/>
        </w:rPr>
      </w:pPr>
      <w:r>
        <w:rPr>
          <w:rFonts w:hint="eastAsia"/>
          <w:kern w:val="0"/>
          <w:sz w:val="24"/>
        </w:rPr>
        <w:t>保荐机构对上市公司</w:t>
      </w:r>
      <w:r>
        <w:rPr>
          <w:rFonts w:hint="eastAsia"/>
          <w:kern w:val="0"/>
          <w:sz w:val="24"/>
        </w:rPr>
        <w:t xml:space="preserve"> 2021</w:t>
      </w:r>
      <w:r>
        <w:rPr>
          <w:rFonts w:hint="eastAsia"/>
          <w:kern w:val="0"/>
          <w:sz w:val="24"/>
        </w:rPr>
        <w:t>年持续督导期内的规范运作情况现场检查工作过程当中，公司及其他中介机构给予了积极的配合，</w:t>
      </w:r>
      <w:r w:rsidRPr="00294DE5">
        <w:rPr>
          <w:rFonts w:hint="eastAsia"/>
          <w:kern w:val="0"/>
          <w:sz w:val="24"/>
        </w:rPr>
        <w:t>为本次现场检查提供了必要的支持。</w:t>
      </w:r>
    </w:p>
    <w:p w14:paraId="53CCDACB" w14:textId="77777777" w:rsidR="0060115B" w:rsidRDefault="00FC769E">
      <w:pPr>
        <w:widowControl/>
        <w:spacing w:beforeLines="50" w:before="156" w:afterLines="50" w:after="156" w:line="360" w:lineRule="auto"/>
        <w:ind w:firstLineChars="200" w:firstLine="562"/>
        <w:outlineLvl w:val="0"/>
        <w:rPr>
          <w:b/>
          <w:bCs/>
          <w:kern w:val="0"/>
          <w:sz w:val="28"/>
          <w:szCs w:val="28"/>
        </w:rPr>
      </w:pPr>
      <w:r>
        <w:rPr>
          <w:rFonts w:hint="eastAsia"/>
          <w:b/>
          <w:bCs/>
          <w:kern w:val="0"/>
          <w:sz w:val="28"/>
          <w:szCs w:val="28"/>
        </w:rPr>
        <w:t>六、本次现场检查的结论</w:t>
      </w:r>
    </w:p>
    <w:p w14:paraId="74F2854B" w14:textId="4B1631D4" w:rsidR="0060115B" w:rsidRDefault="00FC769E">
      <w:pPr>
        <w:widowControl/>
        <w:spacing w:line="360" w:lineRule="auto"/>
        <w:ind w:firstLineChars="200" w:firstLine="480"/>
        <w:rPr>
          <w:kern w:val="0"/>
          <w:sz w:val="24"/>
        </w:rPr>
      </w:pPr>
      <w:r>
        <w:rPr>
          <w:rFonts w:hint="eastAsia"/>
          <w:kern w:val="0"/>
          <w:sz w:val="24"/>
        </w:rPr>
        <w:t>经本次现场检查后，保荐机构认为：</w:t>
      </w:r>
      <w:r w:rsidRPr="00294DE5">
        <w:rPr>
          <w:rFonts w:hint="eastAsia"/>
          <w:kern w:val="0"/>
          <w:sz w:val="24"/>
        </w:rPr>
        <w:t>本持续督导期内，</w:t>
      </w:r>
      <w:r>
        <w:rPr>
          <w:rFonts w:hint="eastAsia"/>
          <w:kern w:val="0"/>
          <w:sz w:val="24"/>
        </w:rPr>
        <w:t>公司治理规范，建立了较为完善的内控制度且得到有效执行；信息披露执行情况良好；在资产、人员、财务、机构、业务等方面都保持了独立性，不存在关联方违规占用公司资金的情形；严格遵守募集资金管理使用制度，不存在违规使用募集资金的情形；不存在违规关联交易、对外担保及重大对外投资等情形；截至现场检查之日，公司经营模式、业务结构未发生重大不利变化，经营状况良好。</w:t>
      </w:r>
    </w:p>
    <w:p w14:paraId="16F08F80" w14:textId="77777777" w:rsidR="0060115B" w:rsidRDefault="0060115B">
      <w:pPr>
        <w:widowControl/>
        <w:spacing w:line="360" w:lineRule="auto"/>
        <w:ind w:firstLineChars="200" w:firstLine="480"/>
        <w:rPr>
          <w:kern w:val="0"/>
          <w:sz w:val="24"/>
        </w:rPr>
      </w:pPr>
    </w:p>
    <w:p w14:paraId="25BDE1B7" w14:textId="77777777" w:rsidR="0060115B" w:rsidRDefault="00FC769E">
      <w:pPr>
        <w:widowControl/>
        <w:rPr>
          <w:kern w:val="0"/>
          <w:sz w:val="24"/>
        </w:rPr>
      </w:pPr>
      <w:r>
        <w:rPr>
          <w:kern w:val="0"/>
          <w:sz w:val="24"/>
        </w:rPr>
        <w:br w:type="page"/>
      </w:r>
    </w:p>
    <w:p w14:paraId="2165A894" w14:textId="6E45F98D" w:rsidR="0060115B" w:rsidRDefault="00FC769E">
      <w:pPr>
        <w:spacing w:beforeLines="50" w:before="156" w:afterLines="50" w:after="156" w:line="360" w:lineRule="auto"/>
        <w:ind w:firstLineChars="200" w:firstLine="480"/>
        <w:rPr>
          <w:kern w:val="0"/>
          <w:sz w:val="24"/>
        </w:rPr>
      </w:pPr>
      <w:r>
        <w:rPr>
          <w:rFonts w:hint="eastAsia"/>
          <w:kern w:val="0"/>
          <w:sz w:val="24"/>
        </w:rPr>
        <w:lastRenderedPageBreak/>
        <w:t>（此页无正文，为</w:t>
      </w:r>
      <w:r>
        <w:rPr>
          <w:kern w:val="0"/>
          <w:sz w:val="24"/>
        </w:rPr>
        <w:t>《</w:t>
      </w:r>
      <w:r>
        <w:rPr>
          <w:rFonts w:hint="eastAsia"/>
          <w:kern w:val="0"/>
          <w:sz w:val="24"/>
        </w:rPr>
        <w:t>华安证券股份有限公司关于安徽省交通建设股份有限公司</w:t>
      </w:r>
      <w:r w:rsidR="0022756B" w:rsidRPr="0022756B">
        <w:rPr>
          <w:rFonts w:hint="eastAsia"/>
          <w:kern w:val="0"/>
          <w:sz w:val="24"/>
        </w:rPr>
        <w:t>2021</w:t>
      </w:r>
      <w:r w:rsidR="0022756B" w:rsidRPr="0022756B">
        <w:rPr>
          <w:rFonts w:hint="eastAsia"/>
          <w:kern w:val="0"/>
          <w:sz w:val="24"/>
        </w:rPr>
        <w:t>年度持续督导工作现场检查报告</w:t>
      </w:r>
      <w:r>
        <w:rPr>
          <w:kern w:val="0"/>
          <w:sz w:val="24"/>
        </w:rPr>
        <w:t>》</w:t>
      </w:r>
      <w:r>
        <w:rPr>
          <w:rFonts w:hint="eastAsia"/>
          <w:kern w:val="0"/>
          <w:sz w:val="24"/>
        </w:rPr>
        <w:t>之签章页）</w:t>
      </w:r>
    </w:p>
    <w:p w14:paraId="5400F6F4" w14:textId="77777777" w:rsidR="0060115B" w:rsidRDefault="0060115B">
      <w:pPr>
        <w:spacing w:beforeLines="50" w:before="156" w:afterLines="50" w:after="156" w:line="360" w:lineRule="auto"/>
        <w:ind w:firstLineChars="200" w:firstLine="480"/>
        <w:rPr>
          <w:kern w:val="0"/>
          <w:sz w:val="24"/>
        </w:rPr>
      </w:pPr>
    </w:p>
    <w:p w14:paraId="440ED508" w14:textId="77777777" w:rsidR="0060115B" w:rsidRDefault="0060115B">
      <w:pPr>
        <w:spacing w:beforeLines="50" w:before="156" w:afterLines="50" w:after="156" w:line="360" w:lineRule="auto"/>
        <w:rPr>
          <w:kern w:val="0"/>
          <w:sz w:val="24"/>
        </w:rPr>
      </w:pPr>
    </w:p>
    <w:p w14:paraId="080F62BC" w14:textId="77777777" w:rsidR="0060115B" w:rsidRDefault="0060115B">
      <w:pPr>
        <w:spacing w:beforeLines="50" w:before="156" w:line="360" w:lineRule="auto"/>
        <w:rPr>
          <w:kern w:val="0"/>
          <w:sz w:val="24"/>
        </w:rPr>
      </w:pPr>
    </w:p>
    <w:tbl>
      <w:tblPr>
        <w:tblW w:w="0" w:type="auto"/>
        <w:tblInd w:w="534" w:type="dxa"/>
        <w:tblLook w:val="04A0" w:firstRow="1" w:lastRow="0" w:firstColumn="1" w:lastColumn="0" w:noHBand="0" w:noVBand="1"/>
      </w:tblPr>
      <w:tblGrid>
        <w:gridCol w:w="2409"/>
        <w:gridCol w:w="1985"/>
        <w:gridCol w:w="454"/>
        <w:gridCol w:w="1985"/>
      </w:tblGrid>
      <w:tr w:rsidR="0060115B" w14:paraId="2C566795" w14:textId="77777777">
        <w:trPr>
          <w:trHeight w:val="397"/>
        </w:trPr>
        <w:tc>
          <w:tcPr>
            <w:tcW w:w="2409" w:type="dxa"/>
            <w:shd w:val="clear" w:color="auto" w:fill="auto"/>
            <w:vAlign w:val="center"/>
          </w:tcPr>
          <w:p w14:paraId="514B7D12" w14:textId="77777777" w:rsidR="0060115B" w:rsidRDefault="00FC769E">
            <w:pPr>
              <w:jc w:val="left"/>
              <w:rPr>
                <w:rFonts w:ascii="宋体" w:hAnsi="宋体" w:cs="宋体"/>
                <w:kern w:val="0"/>
                <w:sz w:val="24"/>
              </w:rPr>
            </w:pPr>
            <w:r>
              <w:rPr>
                <w:rFonts w:ascii="宋体" w:hAnsi="宋体" w:cs="宋体"/>
                <w:kern w:val="0"/>
                <w:sz w:val="24"/>
              </w:rPr>
              <w:t>保荐</w:t>
            </w:r>
            <w:r>
              <w:rPr>
                <w:rFonts w:ascii="宋体" w:hAnsi="宋体" w:cs="宋体" w:hint="eastAsia"/>
                <w:kern w:val="0"/>
                <w:sz w:val="24"/>
              </w:rPr>
              <w:t>代表人</w:t>
            </w:r>
            <w:r>
              <w:rPr>
                <w:rFonts w:ascii="宋体" w:hAnsi="宋体" w:cs="宋体"/>
                <w:kern w:val="0"/>
                <w:sz w:val="24"/>
              </w:rPr>
              <w:t>：</w:t>
            </w:r>
          </w:p>
        </w:tc>
        <w:tc>
          <w:tcPr>
            <w:tcW w:w="1985" w:type="dxa"/>
            <w:tcBorders>
              <w:bottom w:val="single" w:sz="4" w:space="0" w:color="auto"/>
            </w:tcBorders>
            <w:shd w:val="clear" w:color="auto" w:fill="auto"/>
            <w:vAlign w:val="bottom"/>
          </w:tcPr>
          <w:p w14:paraId="5809ECE9" w14:textId="77777777" w:rsidR="0060115B" w:rsidRDefault="0060115B">
            <w:pPr>
              <w:jc w:val="center"/>
              <w:rPr>
                <w:rFonts w:ascii="宋体" w:hAnsi="宋体" w:cs="宋体"/>
                <w:kern w:val="0"/>
                <w:sz w:val="24"/>
              </w:rPr>
            </w:pPr>
          </w:p>
        </w:tc>
        <w:tc>
          <w:tcPr>
            <w:tcW w:w="454" w:type="dxa"/>
          </w:tcPr>
          <w:p w14:paraId="0FD28A87" w14:textId="77777777" w:rsidR="0060115B" w:rsidRDefault="0060115B">
            <w:pPr>
              <w:jc w:val="center"/>
              <w:rPr>
                <w:rFonts w:ascii="宋体" w:hAnsi="宋体" w:cs="宋体"/>
                <w:kern w:val="0"/>
                <w:sz w:val="24"/>
              </w:rPr>
            </w:pPr>
          </w:p>
        </w:tc>
        <w:tc>
          <w:tcPr>
            <w:tcW w:w="1985" w:type="dxa"/>
            <w:tcBorders>
              <w:bottom w:val="single" w:sz="4" w:space="0" w:color="auto"/>
            </w:tcBorders>
          </w:tcPr>
          <w:p w14:paraId="1B191564" w14:textId="77777777" w:rsidR="0060115B" w:rsidRDefault="0060115B">
            <w:pPr>
              <w:jc w:val="center"/>
              <w:rPr>
                <w:rFonts w:ascii="宋体" w:hAnsi="宋体" w:cs="宋体"/>
                <w:kern w:val="0"/>
                <w:sz w:val="24"/>
              </w:rPr>
            </w:pPr>
          </w:p>
        </w:tc>
      </w:tr>
      <w:tr w:rsidR="0060115B" w14:paraId="000F7F47" w14:textId="77777777">
        <w:trPr>
          <w:trHeight w:val="397"/>
        </w:trPr>
        <w:tc>
          <w:tcPr>
            <w:tcW w:w="2409" w:type="dxa"/>
            <w:shd w:val="clear" w:color="auto" w:fill="auto"/>
            <w:vAlign w:val="center"/>
          </w:tcPr>
          <w:p w14:paraId="09D09932" w14:textId="77777777" w:rsidR="0060115B" w:rsidRDefault="0060115B">
            <w:pPr>
              <w:spacing w:beforeLines="50" w:before="156" w:line="360" w:lineRule="auto"/>
              <w:jc w:val="left"/>
              <w:rPr>
                <w:rFonts w:ascii="宋体" w:hAnsi="宋体" w:cs="宋体"/>
                <w:kern w:val="0"/>
                <w:sz w:val="24"/>
              </w:rPr>
            </w:pPr>
          </w:p>
        </w:tc>
        <w:tc>
          <w:tcPr>
            <w:tcW w:w="1985" w:type="dxa"/>
            <w:tcBorders>
              <w:top w:val="single" w:sz="4" w:space="0" w:color="auto"/>
            </w:tcBorders>
            <w:shd w:val="clear" w:color="auto" w:fill="auto"/>
            <w:vAlign w:val="center"/>
          </w:tcPr>
          <w:p w14:paraId="2291D361" w14:textId="77777777" w:rsidR="0060115B" w:rsidRDefault="00FC769E">
            <w:pPr>
              <w:spacing w:beforeLines="50" w:before="156" w:line="360" w:lineRule="auto"/>
              <w:jc w:val="center"/>
              <w:rPr>
                <w:rFonts w:ascii="宋体" w:hAnsi="宋体" w:cs="宋体"/>
                <w:kern w:val="0"/>
                <w:sz w:val="24"/>
              </w:rPr>
            </w:pPr>
            <w:r>
              <w:rPr>
                <w:rFonts w:ascii="宋体" w:hAnsi="宋体" w:cs="宋体" w:hint="eastAsia"/>
                <w:kern w:val="0"/>
                <w:sz w:val="24"/>
              </w:rPr>
              <w:t>林斗志</w:t>
            </w:r>
          </w:p>
        </w:tc>
        <w:tc>
          <w:tcPr>
            <w:tcW w:w="454" w:type="dxa"/>
          </w:tcPr>
          <w:p w14:paraId="4F66FD44" w14:textId="77777777" w:rsidR="0060115B" w:rsidRDefault="0060115B">
            <w:pPr>
              <w:spacing w:beforeLines="50" w:before="156" w:line="360" w:lineRule="auto"/>
              <w:jc w:val="left"/>
              <w:rPr>
                <w:rFonts w:ascii="宋体" w:hAnsi="宋体" w:cs="宋体"/>
                <w:kern w:val="0"/>
                <w:sz w:val="24"/>
              </w:rPr>
            </w:pPr>
          </w:p>
        </w:tc>
        <w:tc>
          <w:tcPr>
            <w:tcW w:w="1985" w:type="dxa"/>
            <w:tcBorders>
              <w:top w:val="single" w:sz="4" w:space="0" w:color="auto"/>
            </w:tcBorders>
            <w:vAlign w:val="center"/>
          </w:tcPr>
          <w:p w14:paraId="3D0EE90D" w14:textId="77777777" w:rsidR="0060115B" w:rsidRDefault="00FC769E">
            <w:pPr>
              <w:spacing w:beforeLines="50" w:before="156" w:line="360" w:lineRule="auto"/>
              <w:jc w:val="center"/>
              <w:rPr>
                <w:rFonts w:ascii="宋体" w:hAnsi="宋体" w:cs="宋体"/>
                <w:kern w:val="0"/>
                <w:sz w:val="24"/>
              </w:rPr>
            </w:pPr>
            <w:r>
              <w:rPr>
                <w:rFonts w:ascii="宋体" w:hAnsi="宋体" w:cs="宋体" w:hint="eastAsia"/>
                <w:kern w:val="0"/>
                <w:sz w:val="24"/>
              </w:rPr>
              <w:t>李 骘</w:t>
            </w:r>
          </w:p>
        </w:tc>
      </w:tr>
    </w:tbl>
    <w:p w14:paraId="6D927B51" w14:textId="77777777" w:rsidR="0060115B" w:rsidRDefault="0060115B">
      <w:pPr>
        <w:widowControl/>
        <w:spacing w:line="360" w:lineRule="auto"/>
        <w:ind w:firstLineChars="200" w:firstLine="480"/>
        <w:jc w:val="left"/>
        <w:rPr>
          <w:rFonts w:ascii="宋体" w:hAnsi="宋体" w:cs="宋体"/>
          <w:kern w:val="0"/>
          <w:sz w:val="24"/>
        </w:rPr>
      </w:pPr>
    </w:p>
    <w:p w14:paraId="2791B8EE" w14:textId="77777777" w:rsidR="0060115B" w:rsidRDefault="0060115B">
      <w:pPr>
        <w:widowControl/>
        <w:spacing w:line="360" w:lineRule="auto"/>
        <w:ind w:firstLineChars="200" w:firstLine="480"/>
        <w:jc w:val="left"/>
        <w:rPr>
          <w:rFonts w:ascii="宋体" w:hAnsi="宋体" w:cs="宋体"/>
          <w:kern w:val="0"/>
          <w:sz w:val="24"/>
        </w:rPr>
      </w:pPr>
    </w:p>
    <w:p w14:paraId="1C70564F" w14:textId="77777777" w:rsidR="0060115B" w:rsidRDefault="006011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1" w:after="100" w:afterAutospacing="1"/>
        <w:ind w:right="-58" w:firstLine="480"/>
        <w:jc w:val="right"/>
        <w:rPr>
          <w:rFonts w:ascii="宋体" w:hAnsi="宋体" w:cs="宋体"/>
          <w:sz w:val="24"/>
        </w:rPr>
      </w:pPr>
    </w:p>
    <w:p w14:paraId="1CABD1FE" w14:textId="77777777" w:rsidR="0060115B" w:rsidRDefault="00FC769E" w:rsidP="00CE5D4E">
      <w:pPr>
        <w:spacing w:before="120"/>
        <w:ind w:right="480" w:firstLineChars="750" w:firstLine="1800"/>
        <w:jc w:val="right"/>
        <w:rPr>
          <w:rFonts w:ascii="宋体" w:hAnsi="宋体" w:cs="宋体"/>
          <w:sz w:val="24"/>
        </w:rPr>
      </w:pPr>
      <w:r>
        <w:rPr>
          <w:rFonts w:ascii="宋体" w:hAnsi="宋体" w:cs="宋体" w:hint="eastAsia"/>
          <w:sz w:val="24"/>
        </w:rPr>
        <w:t>华安证券股份有限公司</w:t>
      </w:r>
    </w:p>
    <w:p w14:paraId="541920E2" w14:textId="2E7E01D4" w:rsidR="0060115B" w:rsidRDefault="00CE5A4F" w:rsidP="00CE5D4E">
      <w:pPr>
        <w:spacing w:beforeLines="50" w:before="156" w:afterLines="50" w:after="156" w:line="360" w:lineRule="auto"/>
        <w:ind w:rightChars="310" w:right="651" w:firstLineChars="200" w:firstLine="480"/>
        <w:jc w:val="right"/>
      </w:pPr>
      <w:r>
        <w:rPr>
          <w:rFonts w:ascii="宋体" w:hAnsi="宋体"/>
          <w:sz w:val="24"/>
        </w:rPr>
        <w:t>2022</w:t>
      </w:r>
      <w:r w:rsidR="00FC769E">
        <w:rPr>
          <w:rFonts w:ascii="宋体" w:hAnsi="宋体"/>
          <w:sz w:val="24"/>
        </w:rPr>
        <w:t xml:space="preserve">年 </w:t>
      </w:r>
      <w:r>
        <w:rPr>
          <w:rFonts w:ascii="宋体" w:hAnsi="宋体"/>
          <w:sz w:val="24"/>
        </w:rPr>
        <w:t>1</w:t>
      </w:r>
      <w:r w:rsidR="00FC769E">
        <w:rPr>
          <w:rFonts w:ascii="宋体" w:hAnsi="宋体"/>
          <w:sz w:val="24"/>
        </w:rPr>
        <w:t xml:space="preserve"> 月 </w:t>
      </w:r>
      <w:r>
        <w:rPr>
          <w:rFonts w:ascii="宋体" w:hAnsi="宋体"/>
          <w:sz w:val="24"/>
        </w:rPr>
        <w:t>26</w:t>
      </w:r>
      <w:r w:rsidR="00FC769E">
        <w:rPr>
          <w:rFonts w:ascii="宋体" w:hAnsi="宋体"/>
          <w:sz w:val="24"/>
        </w:rPr>
        <w:t xml:space="preserve"> 日</w:t>
      </w:r>
    </w:p>
    <w:sectPr w:rsidR="006011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EA23" w14:textId="77777777" w:rsidR="00FB55A2" w:rsidRDefault="00FB55A2" w:rsidP="00294DE5">
      <w:r>
        <w:separator/>
      </w:r>
    </w:p>
  </w:endnote>
  <w:endnote w:type="continuationSeparator" w:id="0">
    <w:p w14:paraId="395B80F8" w14:textId="77777777" w:rsidR="00FB55A2" w:rsidRDefault="00FB55A2" w:rsidP="0029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A90B1" w14:textId="77777777" w:rsidR="00FB55A2" w:rsidRDefault="00FB55A2" w:rsidP="00294DE5">
      <w:r>
        <w:separator/>
      </w:r>
    </w:p>
  </w:footnote>
  <w:footnote w:type="continuationSeparator" w:id="0">
    <w:p w14:paraId="3E513149" w14:textId="77777777" w:rsidR="00FB55A2" w:rsidRDefault="00FB55A2" w:rsidP="0029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5CDC7F"/>
    <w:multiLevelType w:val="singleLevel"/>
    <w:tmpl w:val="BD5CDC7F"/>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C3"/>
    <w:rsid w:val="000B2912"/>
    <w:rsid w:val="000E762F"/>
    <w:rsid w:val="001253A8"/>
    <w:rsid w:val="001C2380"/>
    <w:rsid w:val="001C6C49"/>
    <w:rsid w:val="001F695A"/>
    <w:rsid w:val="0022756B"/>
    <w:rsid w:val="00294DE5"/>
    <w:rsid w:val="00295F82"/>
    <w:rsid w:val="002C2024"/>
    <w:rsid w:val="002D1EA0"/>
    <w:rsid w:val="00317D5D"/>
    <w:rsid w:val="00356B46"/>
    <w:rsid w:val="00363990"/>
    <w:rsid w:val="00370BC6"/>
    <w:rsid w:val="003738BF"/>
    <w:rsid w:val="003D0217"/>
    <w:rsid w:val="003D533B"/>
    <w:rsid w:val="003E18DD"/>
    <w:rsid w:val="00480BD0"/>
    <w:rsid w:val="0048305C"/>
    <w:rsid w:val="004B1F1F"/>
    <w:rsid w:val="004B4A37"/>
    <w:rsid w:val="004F6AEA"/>
    <w:rsid w:val="005443CF"/>
    <w:rsid w:val="00571462"/>
    <w:rsid w:val="00600597"/>
    <w:rsid w:val="0060115B"/>
    <w:rsid w:val="006016A5"/>
    <w:rsid w:val="00624447"/>
    <w:rsid w:val="0067617F"/>
    <w:rsid w:val="00686FA2"/>
    <w:rsid w:val="006D7209"/>
    <w:rsid w:val="006F7E22"/>
    <w:rsid w:val="008B1370"/>
    <w:rsid w:val="008E033E"/>
    <w:rsid w:val="008F3604"/>
    <w:rsid w:val="008F707D"/>
    <w:rsid w:val="008F7638"/>
    <w:rsid w:val="00910C33"/>
    <w:rsid w:val="009B4B9D"/>
    <w:rsid w:val="009C04A2"/>
    <w:rsid w:val="00A12026"/>
    <w:rsid w:val="00A65F3F"/>
    <w:rsid w:val="00AA15C9"/>
    <w:rsid w:val="00B4717B"/>
    <w:rsid w:val="00B55472"/>
    <w:rsid w:val="00B77CFE"/>
    <w:rsid w:val="00BD0611"/>
    <w:rsid w:val="00BF0568"/>
    <w:rsid w:val="00C35269"/>
    <w:rsid w:val="00C674AF"/>
    <w:rsid w:val="00C808E3"/>
    <w:rsid w:val="00CE5A4F"/>
    <w:rsid w:val="00CE5D4E"/>
    <w:rsid w:val="00D13BBF"/>
    <w:rsid w:val="00D61511"/>
    <w:rsid w:val="00D675DA"/>
    <w:rsid w:val="00DE1E68"/>
    <w:rsid w:val="00E60128"/>
    <w:rsid w:val="00E97EC3"/>
    <w:rsid w:val="00EC4DBF"/>
    <w:rsid w:val="00EE475C"/>
    <w:rsid w:val="00EF4D3A"/>
    <w:rsid w:val="00FB55A2"/>
    <w:rsid w:val="00FC769E"/>
    <w:rsid w:val="00FD04B8"/>
    <w:rsid w:val="0DE62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ED3E8"/>
  <w15:docId w15:val="{03FB62B0-1D5A-4523-8198-AC3C29DE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line="360" w:lineRule="auto"/>
      <w:ind w:firstLineChars="200" w:firstLine="200"/>
      <w:outlineLvl w:val="0"/>
    </w:pPr>
    <w:rPr>
      <w:rFonts w:asciiTheme="minorHAnsi" w:eastAsia="黑体" w:hAnsiTheme="minorHAnsi" w:cstheme="minorBidi"/>
      <w:b/>
      <w:bCs/>
      <w:color w:val="000000" w:themeColor="text1"/>
      <w:kern w:val="44"/>
      <w:sz w:val="44"/>
      <w:szCs w:val="44"/>
    </w:rPr>
  </w:style>
  <w:style w:type="paragraph" w:styleId="2">
    <w:name w:val="heading 2"/>
    <w:basedOn w:val="a"/>
    <w:next w:val="a"/>
    <w:link w:val="20"/>
    <w:uiPriority w:val="9"/>
    <w:semiHidden/>
    <w:unhideWhenUsed/>
    <w:qFormat/>
    <w:pPr>
      <w:keepNext/>
      <w:keepLines/>
      <w:spacing w:before="260" w:after="260" w:line="416" w:lineRule="auto"/>
      <w:ind w:firstLineChars="200" w:firstLine="200"/>
      <w:outlineLvl w:val="1"/>
    </w:pPr>
    <w:rPr>
      <w:rFonts w:asciiTheme="majorHAnsi" w:eastAsia="黑体" w:hAnsiTheme="majorHAnsi" w:cstheme="majorBidi"/>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Pr>
      <w:sz w:val="24"/>
    </w:rPr>
  </w:style>
  <w:style w:type="character" w:customStyle="1" w:styleId="10">
    <w:name w:val="标题 1 字符"/>
    <w:basedOn w:val="a0"/>
    <w:link w:val="1"/>
    <w:uiPriority w:val="9"/>
    <w:qFormat/>
    <w:rPr>
      <w:rFonts w:eastAsia="黑体"/>
      <w:b/>
      <w:bCs/>
      <w:color w:val="000000" w:themeColor="text1"/>
      <w:kern w:val="44"/>
      <w:sz w:val="44"/>
      <w:szCs w:val="44"/>
    </w:rPr>
  </w:style>
  <w:style w:type="character" w:customStyle="1" w:styleId="20">
    <w:name w:val="标题 2 字符"/>
    <w:basedOn w:val="a0"/>
    <w:link w:val="2"/>
    <w:uiPriority w:val="9"/>
    <w:semiHidden/>
    <w:rPr>
      <w:rFonts w:asciiTheme="majorHAnsi" w:eastAsia="黑体" w:hAnsiTheme="majorHAnsi" w:cstheme="majorBidi"/>
      <w:bCs/>
      <w:sz w:val="36"/>
      <w:szCs w:val="32"/>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styleId="a8">
    <w:name w:val="Revision"/>
    <w:hidden/>
    <w:uiPriority w:val="99"/>
    <w:semiHidden/>
    <w:rsid w:val="00294DE5"/>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明伟 薛</dc:creator>
  <cp:lastModifiedBy>林 玲</cp:lastModifiedBy>
  <cp:revision>69</cp:revision>
  <dcterms:created xsi:type="dcterms:W3CDTF">2022-01-19T08:01:00Z</dcterms:created>
  <dcterms:modified xsi:type="dcterms:W3CDTF">2022-01-26T07:50:00Z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BDC247F32AE84B3EAE179226AE1D63F4</vt:lpwstr>
  </property>
</Properties>
</file>