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C4EB" w14:textId="4E9C4D68" w:rsidR="00342A1A" w:rsidRDefault="00FF6AAB">
      <w:pPr>
        <w:pStyle w:val="a3"/>
        <w:tabs>
          <w:tab w:val="left" w:pos="3045"/>
          <w:tab w:val="left" w:pos="6120"/>
        </w:tabs>
        <w:spacing w:before="82"/>
        <w:ind w:left="220"/>
        <w:rPr>
          <w:rFonts w:ascii="Times New Roman" w:hAnsi="Times New Roman" w:cs="Times New Roman"/>
        </w:rPr>
      </w:pPr>
      <w:r>
        <w:rPr>
          <w:rFonts w:ascii="Times New Roman" w:hAnsi="Times New Roman" w:cs="Times New Roman"/>
        </w:rPr>
        <w:t>证券代码</w:t>
      </w:r>
      <w:r>
        <w:rPr>
          <w:rFonts w:ascii="Times New Roman" w:hAnsi="Times New Roman" w:cs="Times New Roman"/>
          <w:spacing w:val="-8"/>
        </w:rPr>
        <w:t>：</w:t>
      </w:r>
      <w:r>
        <w:rPr>
          <w:rFonts w:ascii="Times New Roman" w:hAnsi="Times New Roman" w:cs="Times New Roman"/>
          <w:spacing w:val="-8"/>
        </w:rPr>
        <w:t>603</w:t>
      </w:r>
      <w:r>
        <w:rPr>
          <w:rFonts w:ascii="Times New Roman" w:hAnsi="Times New Roman" w:cs="Times New Roman" w:hint="eastAsia"/>
          <w:spacing w:val="-8"/>
        </w:rPr>
        <w:t>8</w:t>
      </w:r>
      <w:r>
        <w:rPr>
          <w:rFonts w:ascii="Times New Roman" w:hAnsi="Times New Roman" w:cs="Times New Roman"/>
          <w:spacing w:val="-8"/>
        </w:rPr>
        <w:t>15</w:t>
      </w:r>
      <w:r>
        <w:rPr>
          <w:rFonts w:ascii="Times New Roman" w:hAnsi="Times New Roman" w:cs="Times New Roman"/>
          <w:spacing w:val="-8"/>
        </w:rPr>
        <w:tab/>
      </w:r>
      <w:r>
        <w:rPr>
          <w:rFonts w:ascii="Times New Roman" w:hAnsi="Times New Roman" w:cs="Times New Roman"/>
        </w:rPr>
        <w:t>证券简称</w:t>
      </w:r>
      <w:r>
        <w:rPr>
          <w:rFonts w:ascii="Times New Roman" w:hAnsi="Times New Roman" w:cs="Times New Roman"/>
          <w:spacing w:val="-51"/>
        </w:rPr>
        <w:t>：</w:t>
      </w:r>
      <w:proofErr w:type="gramStart"/>
      <w:r>
        <w:rPr>
          <w:rFonts w:ascii="Times New Roman" w:hAnsi="Times New Roman" w:cs="Times New Roman" w:hint="eastAsia"/>
        </w:rPr>
        <w:t>交建</w:t>
      </w:r>
      <w:r>
        <w:rPr>
          <w:rFonts w:ascii="Times New Roman" w:hAnsi="Times New Roman" w:cs="Times New Roman"/>
        </w:rPr>
        <w:t>股份</w:t>
      </w:r>
      <w:proofErr w:type="gramEnd"/>
      <w:r>
        <w:rPr>
          <w:rFonts w:ascii="Times New Roman" w:hAnsi="Times New Roman" w:cs="Times New Roman"/>
        </w:rPr>
        <w:tab/>
      </w:r>
      <w:r>
        <w:rPr>
          <w:rFonts w:ascii="Times New Roman" w:hAnsi="Times New Roman" w:cs="Times New Roman"/>
        </w:rPr>
        <w:t>公告编号</w:t>
      </w:r>
      <w:r>
        <w:rPr>
          <w:rFonts w:ascii="Times New Roman" w:hAnsi="Times New Roman" w:cs="Times New Roman"/>
          <w:spacing w:val="-51"/>
        </w:rPr>
        <w:t>：</w:t>
      </w:r>
      <w:r>
        <w:rPr>
          <w:rFonts w:ascii="Times New Roman" w:hAnsi="Times New Roman" w:cs="Times New Roman"/>
        </w:rPr>
        <w:t>20</w:t>
      </w:r>
      <w:r>
        <w:rPr>
          <w:rFonts w:ascii="Times New Roman" w:hAnsi="Times New Roman" w:cs="Times New Roman" w:hint="eastAsia"/>
        </w:rPr>
        <w:t>2</w:t>
      </w:r>
      <w:r w:rsidR="00245BCA">
        <w:rPr>
          <w:rFonts w:ascii="Times New Roman" w:hAnsi="Times New Roman" w:cs="Times New Roman"/>
        </w:rPr>
        <w:t>2</w:t>
      </w:r>
      <w:r>
        <w:rPr>
          <w:rFonts w:ascii="Times New Roman" w:hAnsi="Times New Roman" w:cs="Times New Roman"/>
        </w:rPr>
        <w:t>-0</w:t>
      </w:r>
      <w:r w:rsidR="00245BCA">
        <w:rPr>
          <w:rFonts w:ascii="Times New Roman" w:hAnsi="Times New Roman" w:cs="Times New Roman"/>
        </w:rPr>
        <w:t>28</w:t>
      </w:r>
    </w:p>
    <w:p w14:paraId="6EB041D6" w14:textId="77777777" w:rsidR="00342A1A" w:rsidRDefault="00342A1A">
      <w:pPr>
        <w:jc w:val="center"/>
        <w:rPr>
          <w:rFonts w:ascii="黑体" w:eastAsia="黑体" w:hAnsi="黑体"/>
          <w:b/>
          <w:bCs/>
          <w:sz w:val="36"/>
          <w:szCs w:val="36"/>
        </w:rPr>
      </w:pPr>
    </w:p>
    <w:p w14:paraId="7ADAA01B" w14:textId="77777777" w:rsidR="00342A1A" w:rsidRDefault="00FF6AAB">
      <w:pPr>
        <w:jc w:val="center"/>
        <w:rPr>
          <w:rFonts w:ascii="黑体" w:eastAsia="黑体" w:hAnsi="黑体"/>
          <w:b/>
          <w:bCs/>
          <w:sz w:val="36"/>
          <w:szCs w:val="36"/>
        </w:rPr>
      </w:pPr>
      <w:r>
        <w:rPr>
          <w:rFonts w:ascii="黑体" w:eastAsia="黑体" w:hAnsi="黑体" w:hint="eastAsia"/>
          <w:b/>
          <w:bCs/>
          <w:sz w:val="36"/>
          <w:szCs w:val="36"/>
        </w:rPr>
        <w:t>安徽省交通建设股份有限公司</w:t>
      </w:r>
    </w:p>
    <w:p w14:paraId="303D2545" w14:textId="3CAFB701" w:rsidR="00342A1A" w:rsidRDefault="00FF6AAB">
      <w:pPr>
        <w:jc w:val="center"/>
        <w:rPr>
          <w:rFonts w:ascii="黑体" w:eastAsia="黑体" w:hAnsi="黑体"/>
          <w:b/>
          <w:bCs/>
          <w:sz w:val="36"/>
          <w:szCs w:val="36"/>
        </w:rPr>
      </w:pPr>
      <w:r>
        <w:rPr>
          <w:rFonts w:ascii="黑体" w:eastAsia="黑体" w:hAnsi="黑体"/>
          <w:b/>
          <w:bCs/>
          <w:noProof/>
          <w:sz w:val="36"/>
          <w:szCs w:val="36"/>
        </w:rPr>
        <mc:AlternateContent>
          <mc:Choice Requires="wps">
            <w:drawing>
              <wp:anchor distT="0" distB="0" distL="0" distR="0" simplePos="0" relativeHeight="251659264" behindDoc="1" locked="0" layoutInCell="1" allowOverlap="1" wp14:anchorId="1876E59E" wp14:editId="2453A4FC">
                <wp:simplePos x="0" y="0"/>
                <wp:positionH relativeFrom="page">
                  <wp:posOffset>1266825</wp:posOffset>
                </wp:positionH>
                <wp:positionV relativeFrom="paragraph">
                  <wp:posOffset>728980</wp:posOffset>
                </wp:positionV>
                <wp:extent cx="5419090" cy="882015"/>
                <wp:effectExtent l="0" t="0" r="10160" b="13335"/>
                <wp:wrapThrough wrapText="bothSides">
                  <wp:wrapPolygon edited="0">
                    <wp:start x="0" y="0"/>
                    <wp:lineTo x="0" y="21460"/>
                    <wp:lineTo x="21565" y="21460"/>
                    <wp:lineTo x="21565" y="0"/>
                    <wp:lineTo x="0" y="0"/>
                  </wp:wrapPolygon>
                </wp:wrapThrough>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882015"/>
                        </a:xfrm>
                        <a:prstGeom prst="rect">
                          <a:avLst/>
                        </a:prstGeom>
                        <a:noFill/>
                        <a:ln w="6096">
                          <a:solidFill>
                            <a:srgbClr val="000000"/>
                          </a:solidFill>
                          <a:miter lim="800000"/>
                        </a:ln>
                      </wps:spPr>
                      <wps:txbx>
                        <w:txbxContent>
                          <w:p w14:paraId="37ED0F12" w14:textId="77777777" w:rsidR="00342A1A" w:rsidRDefault="00FF6AAB">
                            <w:pPr>
                              <w:pStyle w:val="a3"/>
                              <w:spacing w:line="602" w:lineRule="exact"/>
                              <w:ind w:left="108" w:right="108" w:firstLine="476"/>
                            </w:pPr>
                            <w:r>
                              <w:rPr>
                                <w:spacing w:val="-5"/>
                              </w:rPr>
                              <w:t>本公司董事会及全体董事保证本公告内容不存在任何虚假记载、误导性陈述</w:t>
                            </w:r>
                            <w:r>
                              <w:t>或者重大遗漏，并对其内容的真实性、准确性和完整性承担个别及连带责任。</w:t>
                            </w:r>
                          </w:p>
                        </w:txbxContent>
                      </wps:txbx>
                      <wps:bodyPr rot="0" vert="horz" wrap="square" lIns="0" tIns="0" rIns="0" bIns="0" anchor="t" anchorCtr="0" upright="1">
                        <a:noAutofit/>
                      </wps:bodyPr>
                    </wps:wsp>
                  </a:graphicData>
                </a:graphic>
              </wp:anchor>
            </w:drawing>
          </mc:Choice>
          <mc:Fallback>
            <w:pict>
              <v:shapetype w14:anchorId="1876E59E" id="_x0000_t202" coordsize="21600,21600" o:spt="202" path="m,l,21600r21600,l21600,xe">
                <v:stroke joinstyle="miter"/>
                <v:path gradientshapeok="t" o:connecttype="rect"/>
              </v:shapetype>
              <v:shape id="文本框 1" o:spid="_x0000_s1026" type="#_x0000_t202" style="position:absolute;left:0;text-align:left;margin-left:99.75pt;margin-top:57.4pt;width:426.7pt;height:69.4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" filled="f" strokeweight=".48pt">
                <v:textbox inset="0,0,0,0">
                  <w:txbxContent>
                    <w:p w14:paraId="37ED0F12" w14:textId="77777777" w:rsidR="00342A1A" w:rsidRDefault="00FF6AAB">
                      <w:pPr>
                        <w:pStyle w:val="a3"/>
                        <w:spacing w:line="602" w:lineRule="exact"/>
                        <w:ind w:left="108" w:right="108" w:firstLine="476"/>
                      </w:pPr>
                      <w:r>
                        <w:rPr>
                          <w:spacing w:val="-5"/>
                        </w:rPr>
                        <w:t>本公司董事会及全体董事保证本公告内容不存在任何虚假记载、误导性陈述</w:t>
                      </w:r>
                      <w:r>
                        <w:t>或者重大遗漏，并对其内容的真实性、准确性和完整性承担个别及连带责任。</w:t>
                      </w:r>
                    </w:p>
                  </w:txbxContent>
                </v:textbox>
                <w10:wrap type="through" anchorx="page"/>
              </v:shape>
            </w:pict>
          </mc:Fallback>
        </mc:AlternateContent>
      </w:r>
      <w:r>
        <w:rPr>
          <w:rFonts w:ascii="黑体" w:eastAsia="黑体" w:hAnsi="黑体" w:hint="eastAsia"/>
          <w:b/>
          <w:bCs/>
          <w:sz w:val="36"/>
          <w:szCs w:val="36"/>
        </w:rPr>
        <w:t>关于2</w:t>
      </w:r>
      <w:r>
        <w:rPr>
          <w:rFonts w:ascii="黑体" w:eastAsia="黑体" w:hAnsi="黑体"/>
          <w:b/>
          <w:bCs/>
          <w:sz w:val="36"/>
          <w:szCs w:val="36"/>
        </w:rPr>
        <w:t>02</w:t>
      </w:r>
      <w:r w:rsidR="00245BCA">
        <w:rPr>
          <w:rFonts w:ascii="黑体" w:eastAsia="黑体" w:hAnsi="黑体"/>
          <w:b/>
          <w:bCs/>
          <w:sz w:val="36"/>
          <w:szCs w:val="36"/>
        </w:rPr>
        <w:t>1</w:t>
      </w:r>
      <w:r>
        <w:rPr>
          <w:rFonts w:ascii="黑体" w:eastAsia="黑体" w:hAnsi="黑体" w:hint="eastAsia"/>
          <w:b/>
          <w:bCs/>
          <w:sz w:val="36"/>
          <w:szCs w:val="36"/>
        </w:rPr>
        <w:t>年度网上业绩说明会召开情况的公告</w:t>
      </w:r>
    </w:p>
    <w:p w14:paraId="34CB8C7A" w14:textId="2819D3DC" w:rsidR="00342A1A" w:rsidRDefault="00342A1A">
      <w:pPr>
        <w:rPr>
          <w:rFonts w:ascii="宋体" w:eastAsia="宋体" w:hAnsi="宋体"/>
          <w:b/>
          <w:bCs/>
          <w:sz w:val="24"/>
          <w:szCs w:val="24"/>
        </w:rPr>
      </w:pPr>
    </w:p>
    <w:p w14:paraId="7FD8F7F0" w14:textId="50AD9138" w:rsidR="00342A1A" w:rsidRPr="00245BCA" w:rsidRDefault="00FF6AAB">
      <w:pPr>
        <w:spacing w:line="480" w:lineRule="exact"/>
        <w:ind w:firstLineChars="200" w:firstLine="480"/>
        <w:rPr>
          <w:rFonts w:ascii="宋体" w:eastAsia="宋体" w:hAnsi="宋体"/>
          <w:sz w:val="24"/>
          <w:szCs w:val="24"/>
        </w:rPr>
      </w:pPr>
      <w:r>
        <w:rPr>
          <w:rFonts w:ascii="宋体" w:eastAsia="宋体" w:hAnsi="宋体" w:hint="eastAsia"/>
          <w:sz w:val="24"/>
          <w:szCs w:val="24"/>
        </w:rPr>
        <w:t>安徽省交通建设股份有限公司（以下简称“公司”）于202</w:t>
      </w:r>
      <w:r w:rsidR="00245BCA">
        <w:rPr>
          <w:rFonts w:ascii="宋体" w:eastAsia="宋体" w:hAnsi="宋体"/>
          <w:sz w:val="24"/>
          <w:szCs w:val="24"/>
        </w:rPr>
        <w:t>2</w:t>
      </w:r>
      <w:r>
        <w:rPr>
          <w:rFonts w:ascii="宋体" w:eastAsia="宋体" w:hAnsi="宋体" w:hint="eastAsia"/>
          <w:sz w:val="24"/>
          <w:szCs w:val="24"/>
        </w:rPr>
        <w:t>年5月1</w:t>
      </w:r>
      <w:r w:rsidR="00245BCA">
        <w:rPr>
          <w:rFonts w:ascii="宋体" w:eastAsia="宋体" w:hAnsi="宋体"/>
          <w:sz w:val="24"/>
          <w:szCs w:val="24"/>
        </w:rPr>
        <w:t>2</w:t>
      </w:r>
      <w:r>
        <w:rPr>
          <w:rFonts w:ascii="宋体" w:eastAsia="宋体" w:hAnsi="宋体" w:hint="eastAsia"/>
          <w:sz w:val="24"/>
          <w:szCs w:val="24"/>
        </w:rPr>
        <w:t>日（星期</w:t>
      </w:r>
      <w:r w:rsidR="00EE540E">
        <w:rPr>
          <w:rFonts w:ascii="宋体" w:eastAsia="宋体" w:hAnsi="宋体" w:hint="eastAsia"/>
          <w:sz w:val="24"/>
          <w:szCs w:val="24"/>
        </w:rPr>
        <w:t>四</w:t>
      </w:r>
      <w:r>
        <w:rPr>
          <w:rFonts w:ascii="宋体" w:eastAsia="宋体" w:hAnsi="宋体" w:hint="eastAsia"/>
          <w:sz w:val="24"/>
          <w:szCs w:val="24"/>
        </w:rPr>
        <w:t>）15:</w:t>
      </w:r>
      <w:r>
        <w:rPr>
          <w:rFonts w:ascii="宋体" w:eastAsia="宋体" w:hAnsi="宋体"/>
          <w:sz w:val="24"/>
          <w:szCs w:val="24"/>
        </w:rPr>
        <w:t>0</w:t>
      </w:r>
      <w:r>
        <w:rPr>
          <w:rFonts w:ascii="宋体" w:eastAsia="宋体" w:hAnsi="宋体" w:hint="eastAsia"/>
          <w:sz w:val="24"/>
          <w:szCs w:val="24"/>
        </w:rPr>
        <w:t>0-16:</w:t>
      </w:r>
      <w:r w:rsidR="00245BCA">
        <w:rPr>
          <w:rFonts w:ascii="宋体" w:eastAsia="宋体" w:hAnsi="宋体"/>
          <w:sz w:val="24"/>
          <w:szCs w:val="24"/>
        </w:rPr>
        <w:t>3</w:t>
      </w:r>
      <w:r>
        <w:rPr>
          <w:rFonts w:ascii="宋体" w:eastAsia="宋体" w:hAnsi="宋体" w:hint="eastAsia"/>
          <w:sz w:val="24"/>
          <w:szCs w:val="24"/>
        </w:rPr>
        <w:t>0，通过上海证券交易所</w:t>
      </w:r>
      <w:r>
        <w:rPr>
          <w:rFonts w:ascii="宋体" w:eastAsia="宋体" w:hAnsi="宋体"/>
          <w:sz w:val="24"/>
          <w:szCs w:val="24"/>
        </w:rPr>
        <w:t>“上证e互动”网络平台（http://sns.sseinfo.com）</w:t>
      </w:r>
      <w:r>
        <w:rPr>
          <w:rFonts w:ascii="宋体" w:eastAsia="宋体" w:hAnsi="宋体" w:hint="eastAsia"/>
          <w:sz w:val="24"/>
          <w:szCs w:val="24"/>
        </w:rPr>
        <w:t>召开了2</w:t>
      </w:r>
      <w:r>
        <w:rPr>
          <w:rFonts w:ascii="宋体" w:eastAsia="宋体" w:hAnsi="宋体"/>
          <w:sz w:val="24"/>
          <w:szCs w:val="24"/>
        </w:rPr>
        <w:t>02</w:t>
      </w:r>
      <w:r w:rsidR="00245BCA">
        <w:rPr>
          <w:rFonts w:ascii="宋体" w:eastAsia="宋体" w:hAnsi="宋体"/>
          <w:sz w:val="24"/>
          <w:szCs w:val="24"/>
        </w:rPr>
        <w:t>1</w:t>
      </w:r>
      <w:r>
        <w:rPr>
          <w:rFonts w:ascii="宋体" w:eastAsia="宋体" w:hAnsi="宋体" w:hint="eastAsia"/>
          <w:sz w:val="24"/>
          <w:szCs w:val="24"/>
        </w:rPr>
        <w:t>年度网上业绩说明会，现将说明会情况公告如下：</w:t>
      </w:r>
    </w:p>
    <w:p w14:paraId="41ACA74D" w14:textId="77777777" w:rsidR="00342A1A" w:rsidRDefault="00FF6AAB">
      <w:pPr>
        <w:spacing w:line="480" w:lineRule="exact"/>
        <w:rPr>
          <w:rFonts w:ascii="宋体" w:eastAsia="宋体" w:hAnsi="宋体"/>
          <w:b/>
          <w:bCs/>
          <w:sz w:val="24"/>
          <w:szCs w:val="24"/>
        </w:rPr>
      </w:pPr>
      <w:r>
        <w:rPr>
          <w:rFonts w:ascii="宋体" w:eastAsia="宋体" w:hAnsi="宋体" w:hint="eastAsia"/>
          <w:b/>
          <w:bCs/>
          <w:sz w:val="24"/>
          <w:szCs w:val="24"/>
        </w:rPr>
        <w:t>一、本次说明会人员参加情况</w:t>
      </w:r>
    </w:p>
    <w:p w14:paraId="179B0B38" w14:textId="3C385475" w:rsidR="00342A1A" w:rsidRDefault="00FF6AAB">
      <w:pPr>
        <w:spacing w:line="480" w:lineRule="exact"/>
        <w:ind w:firstLineChars="200" w:firstLine="480"/>
        <w:rPr>
          <w:rFonts w:ascii="宋体" w:eastAsia="宋体" w:hAnsi="宋体"/>
          <w:sz w:val="24"/>
          <w:szCs w:val="24"/>
        </w:rPr>
      </w:pPr>
      <w:r>
        <w:rPr>
          <w:rFonts w:ascii="宋体" w:eastAsia="宋体" w:hAnsi="宋体" w:hint="eastAsia"/>
          <w:sz w:val="24"/>
          <w:szCs w:val="24"/>
        </w:rPr>
        <w:t>公司董事长胡先宽、董事会秘书曹振明、财务总监施秀莹</w:t>
      </w:r>
      <w:r w:rsidR="00245BCA">
        <w:rPr>
          <w:rFonts w:ascii="宋体" w:eastAsia="宋体" w:hAnsi="宋体" w:hint="eastAsia"/>
          <w:sz w:val="24"/>
          <w:szCs w:val="24"/>
        </w:rPr>
        <w:t>、独立董事王雷</w:t>
      </w:r>
      <w:r>
        <w:rPr>
          <w:rFonts w:ascii="宋体" w:eastAsia="宋体" w:hAnsi="宋体" w:hint="eastAsia"/>
          <w:sz w:val="24"/>
          <w:szCs w:val="24"/>
        </w:rPr>
        <w:t>参加了本次说明会，并对投资者提出的问题进行了回答。</w:t>
      </w:r>
    </w:p>
    <w:p w14:paraId="320A1971" w14:textId="41ED23EB" w:rsidR="00342A1A" w:rsidRDefault="00FF6AAB">
      <w:pPr>
        <w:spacing w:line="480" w:lineRule="exact"/>
        <w:rPr>
          <w:rFonts w:ascii="宋体" w:eastAsia="宋体" w:hAnsi="宋体"/>
          <w:b/>
          <w:bCs/>
          <w:sz w:val="24"/>
          <w:szCs w:val="24"/>
        </w:rPr>
      </w:pPr>
      <w:r>
        <w:rPr>
          <w:rFonts w:ascii="宋体" w:eastAsia="宋体" w:hAnsi="宋体" w:hint="eastAsia"/>
          <w:b/>
          <w:bCs/>
          <w:sz w:val="24"/>
          <w:szCs w:val="24"/>
        </w:rPr>
        <w:t>二、投资者提出的主要问题及公司回答情况</w:t>
      </w:r>
    </w:p>
    <w:p w14:paraId="4187C763" w14:textId="6D285CF8" w:rsidR="00FA623B" w:rsidRDefault="00650FC0" w:rsidP="00650FC0">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1、</w:t>
      </w:r>
      <w:r w:rsidRPr="00650FC0">
        <w:rPr>
          <w:rFonts w:ascii="宋体" w:eastAsia="宋体" w:hAnsi="宋体" w:hint="eastAsia"/>
          <w:b/>
          <w:bCs/>
          <w:sz w:val="24"/>
          <w:szCs w:val="24"/>
        </w:rPr>
        <w:t>公司</w:t>
      </w:r>
      <w:r w:rsidRPr="00650FC0">
        <w:rPr>
          <w:rFonts w:ascii="宋体" w:eastAsia="宋体" w:hAnsi="宋体"/>
          <w:b/>
          <w:bCs/>
          <w:sz w:val="24"/>
          <w:szCs w:val="24"/>
        </w:rPr>
        <w:t>2021年经营情况有什么亮点？</w:t>
      </w:r>
    </w:p>
    <w:p w14:paraId="578F681D" w14:textId="77777777" w:rsidR="00650FC0" w:rsidRPr="00650FC0" w:rsidRDefault="00650FC0" w:rsidP="00650FC0">
      <w:pPr>
        <w:spacing w:line="480" w:lineRule="exact"/>
        <w:ind w:firstLineChars="200" w:firstLine="480"/>
        <w:rPr>
          <w:rFonts w:ascii="宋体" w:eastAsia="宋体" w:hAnsi="宋体"/>
          <w:sz w:val="24"/>
          <w:szCs w:val="24"/>
        </w:rPr>
      </w:pPr>
      <w:r w:rsidRPr="00650FC0">
        <w:rPr>
          <w:rFonts w:ascii="宋体" w:eastAsia="宋体" w:hAnsi="宋体" w:hint="eastAsia"/>
          <w:sz w:val="24"/>
          <w:szCs w:val="24"/>
        </w:rPr>
        <w:t>答：您好，</w:t>
      </w:r>
      <w:r w:rsidRPr="00650FC0">
        <w:rPr>
          <w:rFonts w:ascii="宋体" w:eastAsia="宋体" w:hAnsi="宋体"/>
          <w:sz w:val="24"/>
          <w:szCs w:val="24"/>
        </w:rPr>
        <w:t>2021年公司各项经营指标均创历史新高：公司新承揽订单金额81.55亿元，较2020年度增长23.41%；实现营业收入51.27亿元，同比增长27.70%；实现归属于上市公司股东净利润为1.49亿元，同比增长16.54%；扣除非经常性损益的净利润1.05亿元，同比增长50.68%；截止2021年12月31日，公司总资产82.48亿元，较年初增长29.40%。</w:t>
      </w:r>
    </w:p>
    <w:p w14:paraId="40837C4C" w14:textId="457F050D" w:rsidR="00650FC0" w:rsidRDefault="00650FC0" w:rsidP="00650FC0">
      <w:pPr>
        <w:spacing w:line="480" w:lineRule="exact"/>
        <w:ind w:firstLineChars="200" w:firstLine="480"/>
        <w:rPr>
          <w:rFonts w:ascii="宋体" w:eastAsia="宋体" w:hAnsi="宋体"/>
          <w:sz w:val="24"/>
          <w:szCs w:val="24"/>
        </w:rPr>
      </w:pPr>
      <w:r w:rsidRPr="00650FC0">
        <w:rPr>
          <w:rFonts w:ascii="宋体" w:eastAsia="宋体" w:hAnsi="宋体" w:hint="eastAsia"/>
          <w:sz w:val="24"/>
          <w:szCs w:val="24"/>
        </w:rPr>
        <w:t>此外，</w:t>
      </w:r>
      <w:r w:rsidRPr="00650FC0">
        <w:rPr>
          <w:rFonts w:ascii="宋体" w:eastAsia="宋体" w:hAnsi="宋体"/>
          <w:sz w:val="24"/>
          <w:szCs w:val="24"/>
        </w:rPr>
        <w:t>2021年，公司技术创新方面获批省部级工法3项，专利21项，科技创新奖3项，进一步提升了品牌竞争力和美誉度。子公司路通检测获得“高新技术企业”认定，对公司降低税负有积极作用；浙</w:t>
      </w:r>
      <w:proofErr w:type="gramStart"/>
      <w:r w:rsidRPr="00650FC0">
        <w:rPr>
          <w:rFonts w:ascii="宋体" w:eastAsia="宋体" w:hAnsi="宋体"/>
          <w:sz w:val="24"/>
          <w:szCs w:val="24"/>
        </w:rPr>
        <w:t>勘</w:t>
      </w:r>
      <w:proofErr w:type="gramEnd"/>
      <w:r w:rsidRPr="00650FC0">
        <w:rPr>
          <w:rFonts w:ascii="宋体" w:eastAsia="宋体" w:hAnsi="宋体"/>
          <w:sz w:val="24"/>
          <w:szCs w:val="24"/>
        </w:rPr>
        <w:t>院安徽设计分院取得“工程设计-市政行业道路乙级”资质，将有效提升公司业务承揽能力。</w:t>
      </w:r>
    </w:p>
    <w:p w14:paraId="34F1A150" w14:textId="1FF02F4F" w:rsidR="00650FC0" w:rsidRPr="00115CA7" w:rsidRDefault="00650FC0" w:rsidP="00650FC0">
      <w:pPr>
        <w:spacing w:line="480" w:lineRule="exact"/>
        <w:ind w:firstLineChars="200" w:firstLine="482"/>
        <w:rPr>
          <w:rFonts w:ascii="宋体" w:eastAsia="宋体" w:hAnsi="宋体"/>
          <w:b/>
          <w:bCs/>
          <w:sz w:val="24"/>
          <w:szCs w:val="24"/>
        </w:rPr>
      </w:pPr>
      <w:r w:rsidRPr="00115CA7">
        <w:rPr>
          <w:rFonts w:ascii="宋体" w:eastAsia="宋体" w:hAnsi="宋体" w:hint="eastAsia"/>
          <w:b/>
          <w:bCs/>
          <w:sz w:val="24"/>
          <w:szCs w:val="24"/>
        </w:rPr>
        <w:t>2、</w:t>
      </w:r>
      <w:proofErr w:type="gramStart"/>
      <w:r w:rsidRPr="00115CA7">
        <w:rPr>
          <w:rFonts w:ascii="宋体" w:eastAsia="宋体" w:hAnsi="宋体" w:hint="eastAsia"/>
          <w:b/>
          <w:bCs/>
          <w:sz w:val="24"/>
          <w:szCs w:val="24"/>
        </w:rPr>
        <w:t>上周央办国办</w:t>
      </w:r>
      <w:proofErr w:type="gramEnd"/>
      <w:r w:rsidRPr="00115CA7">
        <w:rPr>
          <w:rFonts w:ascii="宋体" w:eastAsia="宋体" w:hAnsi="宋体" w:hint="eastAsia"/>
          <w:b/>
          <w:bCs/>
          <w:sz w:val="24"/>
          <w:szCs w:val="24"/>
        </w:rPr>
        <w:t>发布《关于推进以县城为重要载体的城镇化建设的意见》，</w:t>
      </w:r>
      <w:r w:rsidRPr="00115CA7">
        <w:rPr>
          <w:rFonts w:ascii="宋体" w:eastAsia="宋体" w:hAnsi="宋体" w:hint="eastAsia"/>
          <w:b/>
          <w:bCs/>
          <w:sz w:val="24"/>
          <w:szCs w:val="24"/>
        </w:rPr>
        <w:lastRenderedPageBreak/>
        <w:t>大力推动县域建设新路径，公司是否有参加县城的城镇化建设？</w:t>
      </w:r>
    </w:p>
    <w:p w14:paraId="2D4F61B3" w14:textId="791F27FF" w:rsidR="00650FC0" w:rsidRPr="00650FC0" w:rsidRDefault="00650FC0" w:rsidP="00650FC0">
      <w:pPr>
        <w:spacing w:line="480" w:lineRule="exact"/>
        <w:ind w:firstLineChars="200" w:firstLine="480"/>
        <w:rPr>
          <w:rFonts w:ascii="宋体" w:eastAsia="宋体" w:hAnsi="宋体"/>
          <w:sz w:val="24"/>
          <w:szCs w:val="24"/>
        </w:rPr>
      </w:pPr>
      <w:r>
        <w:rPr>
          <w:rFonts w:ascii="宋体" w:eastAsia="宋体" w:hAnsi="宋体" w:hint="eastAsia"/>
          <w:sz w:val="24"/>
          <w:szCs w:val="24"/>
        </w:rPr>
        <w:t>答：</w:t>
      </w:r>
      <w:r w:rsidRPr="00650FC0">
        <w:rPr>
          <w:rFonts w:ascii="宋体" w:eastAsia="宋体" w:hAnsi="宋体" w:hint="eastAsia"/>
          <w:sz w:val="24"/>
          <w:szCs w:val="24"/>
        </w:rPr>
        <w:t>您好，公司历来关注新型城镇化和乡村振兴的商业机会，近年来，公司先后承接了</w:t>
      </w:r>
      <w:r w:rsidRPr="00650FC0">
        <w:rPr>
          <w:rFonts w:ascii="宋体" w:eastAsia="宋体" w:hAnsi="宋体"/>
          <w:sz w:val="24"/>
          <w:szCs w:val="24"/>
        </w:rPr>
        <w:t>“界首市美丽乡村建设整市推进PPP项目”、“凤台县凤凰湖新区安置区八期（二期）工程投融建一体化建设项目”、“宿松县振兴大道南延伸工程PPP项目”等重大新型城镇化和乡村振兴项目，项目内容主要包括安置房、村居改善及配套设施提升、生态环保、垃圾治理等工程。</w:t>
      </w:r>
    </w:p>
    <w:p w14:paraId="68E7C572" w14:textId="77777777" w:rsidR="00650FC0" w:rsidRDefault="00650FC0" w:rsidP="00650FC0">
      <w:pPr>
        <w:spacing w:line="480" w:lineRule="exact"/>
        <w:ind w:firstLineChars="200" w:firstLine="480"/>
        <w:rPr>
          <w:rFonts w:ascii="宋体" w:eastAsia="宋体" w:hAnsi="宋体"/>
          <w:sz w:val="24"/>
          <w:szCs w:val="24"/>
        </w:rPr>
      </w:pPr>
      <w:r w:rsidRPr="00650FC0">
        <w:rPr>
          <w:rFonts w:ascii="宋体" w:eastAsia="宋体" w:hAnsi="宋体"/>
          <w:sz w:val="24"/>
          <w:szCs w:val="24"/>
        </w:rPr>
        <w:t>2021年，公司并购拥有建筑工程施工总承包壹级资质的</w:t>
      </w:r>
      <w:proofErr w:type="gramStart"/>
      <w:r w:rsidRPr="00650FC0">
        <w:rPr>
          <w:rFonts w:ascii="宋体" w:eastAsia="宋体" w:hAnsi="宋体"/>
          <w:sz w:val="24"/>
          <w:szCs w:val="24"/>
        </w:rPr>
        <w:t>祥源建设</w:t>
      </w:r>
      <w:proofErr w:type="gramEnd"/>
      <w:r w:rsidRPr="00650FC0">
        <w:rPr>
          <w:rFonts w:ascii="宋体" w:eastAsia="宋体" w:hAnsi="宋体"/>
          <w:sz w:val="24"/>
          <w:szCs w:val="24"/>
        </w:rPr>
        <w:t>有限责任公司，实</w:t>
      </w:r>
      <w:proofErr w:type="gramStart"/>
      <w:r w:rsidRPr="00650FC0">
        <w:rPr>
          <w:rFonts w:ascii="宋体" w:eastAsia="宋体" w:hAnsi="宋体"/>
          <w:sz w:val="24"/>
          <w:szCs w:val="24"/>
        </w:rPr>
        <w:t>现房建资质</w:t>
      </w:r>
      <w:proofErr w:type="gramEnd"/>
      <w:r w:rsidRPr="00650FC0">
        <w:rPr>
          <w:rFonts w:ascii="宋体" w:eastAsia="宋体" w:hAnsi="宋体"/>
          <w:sz w:val="24"/>
          <w:szCs w:val="24"/>
        </w:rPr>
        <w:t>的补充，公司将抓住新型城镇化建设带来的行业机遇，积极参与县域城镇的保障性住房建设、老旧小区改造、道路升级与改造项目，创造良好的经济效益和社会效益。</w:t>
      </w:r>
    </w:p>
    <w:p w14:paraId="66882FDE" w14:textId="77777777" w:rsidR="00650FC0" w:rsidRPr="00115CA7" w:rsidRDefault="00650FC0" w:rsidP="00650FC0">
      <w:pPr>
        <w:spacing w:line="480" w:lineRule="exact"/>
        <w:ind w:firstLineChars="200" w:firstLine="482"/>
        <w:rPr>
          <w:rFonts w:ascii="宋体" w:eastAsia="宋体" w:hAnsi="宋体"/>
          <w:b/>
          <w:bCs/>
          <w:sz w:val="24"/>
          <w:szCs w:val="24"/>
        </w:rPr>
      </w:pPr>
      <w:r w:rsidRPr="00115CA7">
        <w:rPr>
          <w:rFonts w:ascii="宋体" w:eastAsia="宋体" w:hAnsi="宋体"/>
          <w:b/>
          <w:bCs/>
          <w:sz w:val="24"/>
          <w:szCs w:val="24"/>
        </w:rPr>
        <w:t>3</w:t>
      </w:r>
      <w:r w:rsidRPr="00115CA7">
        <w:rPr>
          <w:rFonts w:ascii="宋体" w:eastAsia="宋体" w:hAnsi="宋体" w:hint="eastAsia"/>
          <w:b/>
          <w:bCs/>
          <w:sz w:val="24"/>
          <w:szCs w:val="24"/>
        </w:rPr>
        <w:t>、请问公司今年分红计划是怎么样的？</w:t>
      </w:r>
    </w:p>
    <w:p w14:paraId="48C4D996" w14:textId="77777777" w:rsidR="00650FC0" w:rsidRDefault="00650FC0" w:rsidP="00650FC0">
      <w:pPr>
        <w:spacing w:line="480" w:lineRule="exact"/>
        <w:ind w:firstLineChars="200" w:firstLine="480"/>
        <w:rPr>
          <w:rFonts w:ascii="宋体" w:eastAsia="宋体" w:hAnsi="宋体"/>
          <w:sz w:val="24"/>
          <w:szCs w:val="24"/>
        </w:rPr>
      </w:pPr>
      <w:r>
        <w:rPr>
          <w:rFonts w:ascii="宋体" w:eastAsia="宋体" w:hAnsi="宋体" w:hint="eastAsia"/>
          <w:sz w:val="24"/>
          <w:szCs w:val="24"/>
        </w:rPr>
        <w:t>答：</w:t>
      </w:r>
      <w:r w:rsidRPr="00650FC0">
        <w:rPr>
          <w:rFonts w:ascii="宋体" w:eastAsia="宋体" w:hAnsi="宋体" w:hint="eastAsia"/>
          <w:sz w:val="24"/>
          <w:szCs w:val="24"/>
        </w:rPr>
        <w:t>您好，</w:t>
      </w:r>
      <w:r w:rsidRPr="00650FC0">
        <w:rPr>
          <w:rFonts w:ascii="宋体" w:eastAsia="宋体" w:hAnsi="宋体"/>
          <w:sz w:val="24"/>
          <w:szCs w:val="24"/>
        </w:rPr>
        <w:t>2021年度经营情况和现金流情况良好，基于公司实际经营情况以及中国证监会鼓励上市公司现金分红，给予投资者稳定、合理回报的指导意见，在符合利润分配原则、保证公司正常经营和长远发展的前提下，2021年公司利润分配方案为，以2021年末股本总数618,924,235股为基数，按每10股派1.00元(含税)的比例向全体股东派发现金股利，共计派发现金股利61,892,423.50元，占2021年度归属于母公司股东净利润的比例为41.65%。</w:t>
      </w:r>
    </w:p>
    <w:p w14:paraId="7B5D2404" w14:textId="77777777" w:rsidR="00650FC0" w:rsidRPr="00115CA7" w:rsidRDefault="00650FC0" w:rsidP="00650FC0">
      <w:pPr>
        <w:spacing w:line="480" w:lineRule="exact"/>
        <w:ind w:firstLineChars="200" w:firstLine="482"/>
        <w:rPr>
          <w:rFonts w:ascii="宋体" w:eastAsia="宋体" w:hAnsi="宋体"/>
          <w:b/>
          <w:bCs/>
          <w:sz w:val="24"/>
          <w:szCs w:val="24"/>
        </w:rPr>
      </w:pPr>
      <w:r w:rsidRPr="00115CA7">
        <w:rPr>
          <w:rFonts w:ascii="宋体" w:eastAsia="宋体" w:hAnsi="宋体"/>
          <w:b/>
          <w:bCs/>
          <w:sz w:val="24"/>
          <w:szCs w:val="24"/>
        </w:rPr>
        <w:t>4</w:t>
      </w:r>
      <w:r w:rsidRPr="00115CA7">
        <w:rPr>
          <w:rFonts w:ascii="宋体" w:eastAsia="宋体" w:hAnsi="宋体" w:hint="eastAsia"/>
          <w:b/>
          <w:bCs/>
          <w:sz w:val="24"/>
          <w:szCs w:val="24"/>
        </w:rPr>
        <w:t>、请问独立董事对公司的内控治理有何评价？</w:t>
      </w:r>
    </w:p>
    <w:p w14:paraId="5C53BFCA" w14:textId="548E5C55" w:rsidR="00650FC0" w:rsidRDefault="00650FC0" w:rsidP="00650FC0">
      <w:pPr>
        <w:spacing w:line="480" w:lineRule="exact"/>
        <w:ind w:firstLineChars="200" w:firstLine="480"/>
        <w:rPr>
          <w:rFonts w:ascii="宋体" w:eastAsia="宋体" w:hAnsi="宋体"/>
          <w:sz w:val="24"/>
          <w:szCs w:val="24"/>
        </w:rPr>
      </w:pPr>
      <w:r>
        <w:rPr>
          <w:rFonts w:ascii="宋体" w:eastAsia="宋体" w:hAnsi="宋体" w:hint="eastAsia"/>
          <w:sz w:val="24"/>
          <w:szCs w:val="24"/>
        </w:rPr>
        <w:t>答：</w:t>
      </w:r>
      <w:r w:rsidRPr="00650FC0">
        <w:rPr>
          <w:rFonts w:ascii="宋体" w:eastAsia="宋体" w:hAnsi="宋体" w:hint="eastAsia"/>
          <w:sz w:val="24"/>
          <w:szCs w:val="24"/>
        </w:rPr>
        <w:t xml:space="preserve"> </w:t>
      </w:r>
      <w:r w:rsidR="00115CA7" w:rsidRPr="00115CA7">
        <w:rPr>
          <w:rFonts w:ascii="宋体" w:eastAsia="宋体" w:hAnsi="宋体" w:hint="eastAsia"/>
          <w:sz w:val="24"/>
          <w:szCs w:val="24"/>
        </w:rPr>
        <w:t>您好，公司加强了内部控制基本规范与公司日常运营管理的融合，内部控制体系总体运行情况良好。内控治理在促进各项业务活动有效进行、保证财务制度有效实施、防范经营风险等方面发挥了一定的作用，保障了公司生产的安全运营和公司治理的规范运作。</w:t>
      </w:r>
    </w:p>
    <w:p w14:paraId="74790171" w14:textId="71ADA5B6" w:rsidR="00115CA7" w:rsidRPr="00115CA7" w:rsidRDefault="00115CA7" w:rsidP="00115CA7">
      <w:pPr>
        <w:spacing w:line="480" w:lineRule="exact"/>
        <w:ind w:firstLineChars="200" w:firstLine="482"/>
        <w:rPr>
          <w:rFonts w:ascii="宋体" w:eastAsia="宋体" w:hAnsi="宋体"/>
          <w:b/>
          <w:bCs/>
          <w:sz w:val="24"/>
          <w:szCs w:val="24"/>
        </w:rPr>
      </w:pPr>
      <w:r w:rsidRPr="00115CA7">
        <w:rPr>
          <w:rFonts w:ascii="宋体" w:eastAsia="宋体" w:hAnsi="宋体" w:hint="eastAsia"/>
          <w:b/>
          <w:bCs/>
          <w:sz w:val="24"/>
          <w:szCs w:val="24"/>
        </w:rPr>
        <w:t>5、请教管理层（</w:t>
      </w:r>
      <w:r w:rsidRPr="00115CA7">
        <w:rPr>
          <w:rFonts w:ascii="宋体" w:eastAsia="宋体" w:hAnsi="宋体"/>
          <w:b/>
          <w:bCs/>
          <w:sz w:val="24"/>
          <w:szCs w:val="24"/>
        </w:rPr>
        <w:t>1）请问公司能否披露目前的在手订单和合同金额情况；</w:t>
      </w:r>
      <w:r w:rsidRPr="00115CA7">
        <w:rPr>
          <w:rFonts w:ascii="宋体" w:eastAsia="宋体" w:hAnsi="宋体" w:hint="eastAsia"/>
          <w:b/>
          <w:bCs/>
          <w:sz w:val="24"/>
          <w:szCs w:val="24"/>
        </w:rPr>
        <w:t>（</w:t>
      </w:r>
      <w:r w:rsidRPr="00115CA7">
        <w:rPr>
          <w:rFonts w:ascii="宋体" w:eastAsia="宋体" w:hAnsi="宋体"/>
          <w:b/>
          <w:bCs/>
          <w:sz w:val="24"/>
          <w:szCs w:val="24"/>
        </w:rPr>
        <w:t xml:space="preserve">2）公司对今年整体业绩有无更为量化的指引; </w:t>
      </w:r>
      <w:r w:rsidRPr="00115CA7">
        <w:rPr>
          <w:rFonts w:ascii="宋体" w:eastAsia="宋体" w:hAnsi="宋体" w:hint="eastAsia"/>
          <w:b/>
          <w:bCs/>
          <w:sz w:val="24"/>
          <w:szCs w:val="24"/>
        </w:rPr>
        <w:t>（</w:t>
      </w:r>
      <w:r w:rsidRPr="00115CA7">
        <w:rPr>
          <w:rFonts w:ascii="宋体" w:eastAsia="宋体" w:hAnsi="宋体"/>
          <w:b/>
          <w:bCs/>
          <w:sz w:val="24"/>
          <w:szCs w:val="24"/>
        </w:rPr>
        <w:t>3）对今年安徽省内交通招标支出的判断看法</w:t>
      </w:r>
      <w:r w:rsidRPr="00115CA7">
        <w:rPr>
          <w:rFonts w:ascii="宋体" w:eastAsia="宋体" w:hAnsi="宋体" w:hint="eastAsia"/>
          <w:b/>
          <w:bCs/>
          <w:sz w:val="24"/>
          <w:szCs w:val="24"/>
        </w:rPr>
        <w:t>。</w:t>
      </w:r>
    </w:p>
    <w:p w14:paraId="483231AC" w14:textId="77777777" w:rsidR="00115CA7" w:rsidRPr="00115CA7" w:rsidRDefault="00115CA7" w:rsidP="00115CA7">
      <w:pPr>
        <w:spacing w:line="480" w:lineRule="exact"/>
        <w:ind w:firstLineChars="200" w:firstLine="480"/>
        <w:rPr>
          <w:rFonts w:ascii="宋体" w:eastAsia="宋体" w:hAnsi="宋体"/>
          <w:sz w:val="24"/>
          <w:szCs w:val="24"/>
        </w:rPr>
      </w:pPr>
      <w:r>
        <w:rPr>
          <w:rFonts w:ascii="宋体" w:eastAsia="宋体" w:hAnsi="宋体" w:hint="eastAsia"/>
          <w:sz w:val="24"/>
          <w:szCs w:val="24"/>
        </w:rPr>
        <w:t>答：</w:t>
      </w:r>
      <w:r w:rsidRPr="00115CA7">
        <w:rPr>
          <w:rFonts w:ascii="宋体" w:eastAsia="宋体" w:hAnsi="宋体"/>
          <w:sz w:val="24"/>
          <w:szCs w:val="24"/>
        </w:rPr>
        <w:t>2021年，公司新承揽订单优质增长，新承揽订单金额81.55亿元，较2020年度增长23.41%；此外，公司目前在手订单充足，可以有效保障公司可持续发展，截至2021年末，公司在手订单总金额131.03亿元。</w:t>
      </w:r>
    </w:p>
    <w:p w14:paraId="48A865FB" w14:textId="77777777" w:rsidR="00115CA7" w:rsidRPr="00115CA7" w:rsidRDefault="00115CA7" w:rsidP="00115CA7">
      <w:pPr>
        <w:spacing w:line="480" w:lineRule="exact"/>
        <w:ind w:firstLineChars="200" w:firstLine="480"/>
        <w:rPr>
          <w:rFonts w:ascii="宋体" w:eastAsia="宋体" w:hAnsi="宋体"/>
          <w:sz w:val="24"/>
          <w:szCs w:val="24"/>
        </w:rPr>
      </w:pPr>
      <w:r w:rsidRPr="00115CA7">
        <w:rPr>
          <w:rFonts w:ascii="宋体" w:eastAsia="宋体" w:hAnsi="宋体" w:hint="eastAsia"/>
          <w:sz w:val="24"/>
          <w:szCs w:val="24"/>
        </w:rPr>
        <w:t>公司一季度营业收入</w:t>
      </w:r>
      <w:r w:rsidRPr="00115CA7">
        <w:rPr>
          <w:rFonts w:ascii="宋体" w:eastAsia="宋体" w:hAnsi="宋体"/>
          <w:sz w:val="24"/>
          <w:szCs w:val="24"/>
        </w:rPr>
        <w:t>8.86亿元，比上年同期增长34.63%，归属于上市公司</w:t>
      </w:r>
      <w:r w:rsidRPr="00115CA7">
        <w:rPr>
          <w:rFonts w:ascii="宋体" w:eastAsia="宋体" w:hAnsi="宋体"/>
          <w:sz w:val="24"/>
          <w:szCs w:val="24"/>
        </w:rPr>
        <w:lastRenderedPageBreak/>
        <w:t>股东的净利润3,180.13万元，比上年同期增长48.98%。预计2022年公司收入利润水平将保持可持续增长。</w:t>
      </w:r>
    </w:p>
    <w:p w14:paraId="2DBB2F14" w14:textId="33C120C2" w:rsidR="00115CA7" w:rsidRDefault="00115CA7" w:rsidP="00115CA7">
      <w:pPr>
        <w:spacing w:line="480" w:lineRule="exact"/>
        <w:ind w:firstLineChars="200" w:firstLine="480"/>
        <w:rPr>
          <w:rFonts w:ascii="宋体" w:eastAsia="宋体" w:hAnsi="宋体"/>
          <w:sz w:val="24"/>
          <w:szCs w:val="24"/>
        </w:rPr>
      </w:pPr>
      <w:r w:rsidRPr="00115CA7">
        <w:rPr>
          <w:rFonts w:ascii="宋体" w:eastAsia="宋体" w:hAnsi="宋体" w:hint="eastAsia"/>
          <w:sz w:val="24"/>
          <w:szCs w:val="24"/>
        </w:rPr>
        <w:t>安徽省交通运输厅发布的《安徽省</w:t>
      </w:r>
      <w:r w:rsidRPr="00115CA7">
        <w:rPr>
          <w:rFonts w:ascii="宋体" w:eastAsia="宋体" w:hAnsi="宋体"/>
          <w:sz w:val="24"/>
          <w:szCs w:val="24"/>
        </w:rPr>
        <w:t>2021全年交通运输经济运行分析报告》显示，2021年安徽省交通固定资产投资再上新台阶，全年完成945亿元投资，是年度目标的1.26倍，同比增长13.2%，比2019年同期增长19.9%；安徽省正大力实施长三角一体化国家发展战略，“十四五”将大力开展“新基建+”行动，2022年，安徽将适度超前开展基础设施投资，力争今年完成1000亿元以上。</w:t>
      </w:r>
    </w:p>
    <w:p w14:paraId="1312826E" w14:textId="7F73EF16" w:rsidR="00115CA7" w:rsidRPr="00115CA7" w:rsidRDefault="00115CA7" w:rsidP="00115CA7">
      <w:pPr>
        <w:spacing w:line="480" w:lineRule="exact"/>
        <w:ind w:firstLineChars="200" w:firstLine="482"/>
        <w:rPr>
          <w:rFonts w:ascii="宋体" w:eastAsia="宋体" w:hAnsi="宋体"/>
          <w:b/>
          <w:bCs/>
          <w:sz w:val="24"/>
          <w:szCs w:val="24"/>
        </w:rPr>
      </w:pPr>
      <w:r w:rsidRPr="00115CA7">
        <w:rPr>
          <w:rFonts w:ascii="宋体" w:eastAsia="宋体" w:hAnsi="宋体" w:hint="eastAsia"/>
          <w:b/>
          <w:bCs/>
          <w:sz w:val="24"/>
          <w:szCs w:val="24"/>
        </w:rPr>
        <w:t>6、去年，公司公路、市政基础设施建设业务占总营收比例为</w:t>
      </w:r>
      <w:r w:rsidRPr="00115CA7">
        <w:rPr>
          <w:rFonts w:ascii="宋体" w:eastAsia="宋体" w:hAnsi="宋体"/>
          <w:b/>
          <w:bCs/>
          <w:sz w:val="24"/>
          <w:szCs w:val="24"/>
        </w:rPr>
        <w:t>81.73%，该板块业务呈现快速增长态势，营业收入同比增长34.13%。由于公司的主要业务来源于安徽省内，公司2021年业绩增长也得益于安徽省交通固定资产投资水平的大幅提升。去年安徽省交通固定资产投资同比增长13.2%，新增高速公路通车里程242公里。请结合安徽省内目前公路和市政项目的建设规划、需求增速、公司项目中标情况等说明公司在未来经营期间能否保持目前快速增长的势头。</w:t>
      </w:r>
    </w:p>
    <w:p w14:paraId="2C131D3C" w14:textId="77777777" w:rsidR="00115CA7" w:rsidRPr="00115CA7" w:rsidRDefault="00115CA7" w:rsidP="00115CA7">
      <w:pPr>
        <w:spacing w:line="480" w:lineRule="exact"/>
        <w:ind w:firstLineChars="200" w:firstLine="480"/>
        <w:rPr>
          <w:rFonts w:ascii="宋体" w:eastAsia="宋体" w:hAnsi="宋体"/>
          <w:sz w:val="24"/>
          <w:szCs w:val="24"/>
        </w:rPr>
      </w:pPr>
      <w:r>
        <w:rPr>
          <w:rFonts w:ascii="宋体" w:eastAsia="宋体" w:hAnsi="宋体" w:hint="eastAsia"/>
          <w:sz w:val="24"/>
          <w:szCs w:val="24"/>
        </w:rPr>
        <w:t>答：</w:t>
      </w:r>
      <w:r w:rsidRPr="00115CA7">
        <w:rPr>
          <w:rFonts w:ascii="宋体" w:eastAsia="宋体" w:hAnsi="宋体" w:hint="eastAsia"/>
          <w:sz w:val="24"/>
          <w:szCs w:val="24"/>
        </w:rPr>
        <w:t>您好，感谢您对公司的关注。安徽省正大力实施长三角一体化国家发展战略，“十四五”将大力开展“新基建</w:t>
      </w:r>
      <w:r w:rsidRPr="00115CA7">
        <w:rPr>
          <w:rFonts w:ascii="宋体" w:eastAsia="宋体" w:hAnsi="宋体"/>
          <w:sz w:val="24"/>
          <w:szCs w:val="24"/>
        </w:rPr>
        <w:t>+”行动，2022年，安徽将适度超前开展基础设施投资，力争今年完成1000亿元以上。</w:t>
      </w:r>
    </w:p>
    <w:p w14:paraId="74554DAD" w14:textId="77777777" w:rsidR="00115CA7" w:rsidRPr="00115CA7" w:rsidRDefault="00115CA7" w:rsidP="00115CA7">
      <w:pPr>
        <w:spacing w:line="480" w:lineRule="exact"/>
        <w:ind w:firstLineChars="200" w:firstLine="480"/>
        <w:rPr>
          <w:rFonts w:ascii="宋体" w:eastAsia="宋体" w:hAnsi="宋体"/>
          <w:sz w:val="24"/>
          <w:szCs w:val="24"/>
        </w:rPr>
      </w:pPr>
      <w:r w:rsidRPr="00115CA7">
        <w:rPr>
          <w:rFonts w:ascii="宋体" w:eastAsia="宋体" w:hAnsi="宋体" w:hint="eastAsia"/>
          <w:sz w:val="24"/>
          <w:szCs w:val="24"/>
        </w:rPr>
        <w:t>过去的一年，公司新承揽订单优质增长，</w:t>
      </w:r>
      <w:r w:rsidRPr="00115CA7">
        <w:rPr>
          <w:rFonts w:ascii="宋体" w:eastAsia="宋体" w:hAnsi="宋体"/>
          <w:sz w:val="24"/>
          <w:szCs w:val="24"/>
        </w:rPr>
        <w:t>2021年，公司新承揽订单金额81.55亿元，较2020年度增长23.41%；此外，公司目前在手订单充足，可以有效保障公司可持续发展，截至2021年末，公司在手订单总金额131.03亿元人民币，公司一季度营业收入8.86亿元，比上年同期增长34.63%，归属于上市公司股东的净利润3,180.13万元，比上年同期增长48.98%。</w:t>
      </w:r>
    </w:p>
    <w:p w14:paraId="1DA82E42" w14:textId="023C1D98" w:rsidR="00115CA7" w:rsidRDefault="00115CA7" w:rsidP="00115CA7">
      <w:pPr>
        <w:spacing w:line="480" w:lineRule="exact"/>
        <w:ind w:firstLineChars="200" w:firstLine="480"/>
        <w:rPr>
          <w:rFonts w:ascii="宋体" w:eastAsia="宋体" w:hAnsi="宋体"/>
          <w:sz w:val="24"/>
          <w:szCs w:val="24"/>
        </w:rPr>
      </w:pPr>
      <w:r w:rsidRPr="00115CA7">
        <w:rPr>
          <w:rFonts w:ascii="宋体" w:eastAsia="宋体" w:hAnsi="宋体"/>
          <w:sz w:val="24"/>
          <w:szCs w:val="24"/>
        </w:rPr>
        <w:t>2022年，公司经营总体思路仍将坚持</w:t>
      </w:r>
      <w:proofErr w:type="gramStart"/>
      <w:r w:rsidRPr="00115CA7">
        <w:rPr>
          <w:rFonts w:ascii="宋体" w:eastAsia="宋体" w:hAnsi="宋体"/>
          <w:sz w:val="24"/>
          <w:szCs w:val="24"/>
        </w:rPr>
        <w:t>战略级</w:t>
      </w:r>
      <w:proofErr w:type="gramEnd"/>
      <w:r w:rsidRPr="00115CA7">
        <w:rPr>
          <w:rFonts w:ascii="宋体" w:eastAsia="宋体" w:hAnsi="宋体"/>
          <w:sz w:val="24"/>
          <w:szCs w:val="24"/>
        </w:rPr>
        <w:t>市场的“聚焦”策略，深耕核心市场，以优势兵力突破区域市场掣肘。在优化业务模式，重点抓传统业务的同时，逐步创新延伸“新基建”市场，通过资源共享和产业联动等途径、措施，全力保障公司可持续性增长。</w:t>
      </w:r>
    </w:p>
    <w:p w14:paraId="5748135A" w14:textId="259A27A1" w:rsidR="00115CA7" w:rsidRPr="00115CA7" w:rsidRDefault="00115CA7" w:rsidP="00115CA7">
      <w:pPr>
        <w:spacing w:line="480" w:lineRule="exact"/>
        <w:ind w:firstLineChars="200" w:firstLine="482"/>
        <w:rPr>
          <w:rFonts w:ascii="宋体" w:eastAsia="宋体" w:hAnsi="宋体"/>
          <w:b/>
          <w:bCs/>
          <w:sz w:val="24"/>
          <w:szCs w:val="24"/>
        </w:rPr>
      </w:pPr>
      <w:r w:rsidRPr="00115CA7">
        <w:rPr>
          <w:rFonts w:ascii="宋体" w:eastAsia="宋体" w:hAnsi="宋体" w:hint="eastAsia"/>
          <w:b/>
          <w:bCs/>
          <w:sz w:val="24"/>
          <w:szCs w:val="24"/>
        </w:rPr>
        <w:t>7、</w:t>
      </w:r>
      <w:r w:rsidRPr="00115CA7">
        <w:rPr>
          <w:rFonts w:ascii="宋体" w:eastAsia="宋体" w:hAnsi="宋体"/>
          <w:b/>
          <w:bCs/>
          <w:sz w:val="24"/>
          <w:szCs w:val="24"/>
        </w:rPr>
        <w:t>2021年10月，公司完成</w:t>
      </w:r>
      <w:proofErr w:type="gramStart"/>
      <w:r w:rsidRPr="00115CA7">
        <w:rPr>
          <w:rFonts w:ascii="宋体" w:eastAsia="宋体" w:hAnsi="宋体"/>
          <w:b/>
          <w:bCs/>
          <w:sz w:val="24"/>
          <w:szCs w:val="24"/>
        </w:rPr>
        <w:t>祥源建设</w:t>
      </w:r>
      <w:proofErr w:type="gramEnd"/>
      <w:r w:rsidRPr="00115CA7">
        <w:rPr>
          <w:rFonts w:ascii="宋体" w:eastAsia="宋体" w:hAnsi="宋体"/>
          <w:b/>
          <w:bCs/>
          <w:sz w:val="24"/>
          <w:szCs w:val="24"/>
        </w:rPr>
        <w:t>100%股权收购。收购时标的公司的业绩主要依赖于控股股东</w:t>
      </w:r>
      <w:proofErr w:type="gramStart"/>
      <w:r w:rsidRPr="00115CA7">
        <w:rPr>
          <w:rFonts w:ascii="宋体" w:eastAsia="宋体" w:hAnsi="宋体"/>
          <w:b/>
          <w:bCs/>
          <w:sz w:val="24"/>
          <w:szCs w:val="24"/>
        </w:rPr>
        <w:t>祥</w:t>
      </w:r>
      <w:proofErr w:type="gramEnd"/>
      <w:r w:rsidRPr="00115CA7">
        <w:rPr>
          <w:rFonts w:ascii="宋体" w:eastAsia="宋体" w:hAnsi="宋体"/>
          <w:b/>
          <w:bCs/>
          <w:sz w:val="24"/>
          <w:szCs w:val="24"/>
        </w:rPr>
        <w:t>源控股下属关联企业，公司称将积极开拓外部客户，实现外部客户业务的快速增长。报告期，标的公司实现营业收入9.1305亿元，净利润4068.48万元，虽然实现了2021年的承诺业绩，但实际营业收入低于盈利</w:t>
      </w:r>
      <w:r w:rsidRPr="00115CA7">
        <w:rPr>
          <w:rFonts w:ascii="宋体" w:eastAsia="宋体" w:hAnsi="宋体"/>
          <w:b/>
          <w:bCs/>
          <w:sz w:val="24"/>
          <w:szCs w:val="24"/>
        </w:rPr>
        <w:lastRenderedPageBreak/>
        <w:t>预测的9.308亿元。请公司说明2021年标的公司的营业收入来源于控股股东关联方的占比为多少，并介绍标的公司开拓外部客户的实际进展。</w:t>
      </w:r>
    </w:p>
    <w:p w14:paraId="05DCD766" w14:textId="77777777" w:rsidR="00115CA7" w:rsidRDefault="00115CA7" w:rsidP="00115CA7">
      <w:pPr>
        <w:spacing w:line="480" w:lineRule="exact"/>
        <w:ind w:firstLineChars="200" w:firstLine="480"/>
        <w:rPr>
          <w:rFonts w:ascii="宋体" w:eastAsia="宋体" w:hAnsi="宋体"/>
          <w:sz w:val="24"/>
          <w:szCs w:val="24"/>
        </w:rPr>
      </w:pPr>
      <w:r>
        <w:rPr>
          <w:rFonts w:ascii="宋体" w:eastAsia="宋体" w:hAnsi="宋体" w:hint="eastAsia"/>
          <w:sz w:val="24"/>
          <w:szCs w:val="24"/>
        </w:rPr>
        <w:t>答：</w:t>
      </w:r>
      <w:r w:rsidRPr="00115CA7">
        <w:rPr>
          <w:rFonts w:ascii="宋体" w:eastAsia="宋体" w:hAnsi="宋体"/>
          <w:sz w:val="24"/>
          <w:szCs w:val="24"/>
        </w:rPr>
        <w:t>2021年度，</w:t>
      </w:r>
      <w:proofErr w:type="gramStart"/>
      <w:r w:rsidRPr="00115CA7">
        <w:rPr>
          <w:rFonts w:ascii="宋体" w:eastAsia="宋体" w:hAnsi="宋体"/>
          <w:sz w:val="24"/>
          <w:szCs w:val="24"/>
        </w:rPr>
        <w:t>祥源建设</w:t>
      </w:r>
      <w:proofErr w:type="gramEnd"/>
      <w:r w:rsidRPr="00115CA7">
        <w:rPr>
          <w:rFonts w:ascii="宋体" w:eastAsia="宋体" w:hAnsi="宋体"/>
          <w:sz w:val="24"/>
          <w:szCs w:val="24"/>
        </w:rPr>
        <w:t>关联交易</w:t>
      </w:r>
      <w:proofErr w:type="gramStart"/>
      <w:r w:rsidRPr="00115CA7">
        <w:rPr>
          <w:rFonts w:ascii="宋体" w:eastAsia="宋体" w:hAnsi="宋体"/>
          <w:sz w:val="24"/>
          <w:szCs w:val="24"/>
        </w:rPr>
        <w:t>总发生</w:t>
      </w:r>
      <w:proofErr w:type="gramEnd"/>
      <w:r w:rsidRPr="00115CA7">
        <w:rPr>
          <w:rFonts w:ascii="宋体" w:eastAsia="宋体" w:hAnsi="宋体"/>
          <w:sz w:val="24"/>
          <w:szCs w:val="24"/>
        </w:rPr>
        <w:t>额为86,809.42万元，占</w:t>
      </w:r>
      <w:proofErr w:type="gramStart"/>
      <w:r w:rsidRPr="00115CA7">
        <w:rPr>
          <w:rFonts w:ascii="宋体" w:eastAsia="宋体" w:hAnsi="宋体"/>
          <w:sz w:val="24"/>
          <w:szCs w:val="24"/>
        </w:rPr>
        <w:t>祥源建设</w:t>
      </w:r>
      <w:proofErr w:type="gramEnd"/>
      <w:r w:rsidRPr="00115CA7">
        <w:rPr>
          <w:rFonts w:ascii="宋体" w:eastAsia="宋体" w:hAnsi="宋体"/>
          <w:sz w:val="24"/>
          <w:szCs w:val="24"/>
        </w:rPr>
        <w:t>2021年度经审计营业总收入的95.07%,</w:t>
      </w:r>
      <w:proofErr w:type="gramStart"/>
      <w:r w:rsidRPr="00115CA7">
        <w:rPr>
          <w:rFonts w:ascii="宋体" w:eastAsia="宋体" w:hAnsi="宋体"/>
          <w:sz w:val="24"/>
          <w:szCs w:val="24"/>
        </w:rPr>
        <w:t>占交建</w:t>
      </w:r>
      <w:proofErr w:type="gramEnd"/>
      <w:r w:rsidRPr="00115CA7">
        <w:rPr>
          <w:rFonts w:ascii="宋体" w:eastAsia="宋体" w:hAnsi="宋体"/>
          <w:sz w:val="24"/>
          <w:szCs w:val="24"/>
        </w:rPr>
        <w:t>股份2021年度经审计营业总收入16.93%。2021年9月，公司收购</w:t>
      </w:r>
      <w:proofErr w:type="gramStart"/>
      <w:r w:rsidRPr="00115CA7">
        <w:rPr>
          <w:rFonts w:ascii="宋体" w:eastAsia="宋体" w:hAnsi="宋体"/>
          <w:sz w:val="24"/>
          <w:szCs w:val="24"/>
        </w:rPr>
        <w:t>祥源建设</w:t>
      </w:r>
      <w:proofErr w:type="gramEnd"/>
      <w:r w:rsidRPr="00115CA7">
        <w:rPr>
          <w:rFonts w:ascii="宋体" w:eastAsia="宋体" w:hAnsi="宋体"/>
          <w:sz w:val="24"/>
          <w:szCs w:val="24"/>
        </w:rPr>
        <w:t>100%股权时，为降低关联交易比例，自愿承诺：“本次交易完成后第三年即2024年上市公司房建业务板块中关联交易占比不超过50%”。</w:t>
      </w:r>
    </w:p>
    <w:p w14:paraId="25EF1778" w14:textId="0BA64CCC" w:rsidR="00115CA7" w:rsidRPr="00650FC0" w:rsidRDefault="00115CA7" w:rsidP="00115CA7">
      <w:pPr>
        <w:spacing w:after="100" w:afterAutospacing="1" w:line="480" w:lineRule="exact"/>
        <w:ind w:firstLineChars="200" w:firstLine="480"/>
        <w:rPr>
          <w:rFonts w:ascii="宋体" w:eastAsia="宋体" w:hAnsi="宋体"/>
          <w:sz w:val="24"/>
          <w:szCs w:val="24"/>
        </w:rPr>
      </w:pPr>
      <w:r w:rsidRPr="00115CA7">
        <w:rPr>
          <w:rFonts w:ascii="宋体" w:eastAsia="宋体" w:hAnsi="宋体"/>
          <w:sz w:val="24"/>
          <w:szCs w:val="24"/>
        </w:rPr>
        <w:t>公司自收购</w:t>
      </w:r>
      <w:proofErr w:type="gramStart"/>
      <w:r w:rsidRPr="00115CA7">
        <w:rPr>
          <w:rFonts w:ascii="宋体" w:eastAsia="宋体" w:hAnsi="宋体"/>
          <w:sz w:val="24"/>
          <w:szCs w:val="24"/>
        </w:rPr>
        <w:t>祥源建设</w:t>
      </w:r>
      <w:proofErr w:type="gramEnd"/>
      <w:r w:rsidRPr="00115CA7">
        <w:rPr>
          <w:rFonts w:ascii="宋体" w:eastAsia="宋体" w:hAnsi="宋体"/>
          <w:sz w:val="24"/>
          <w:szCs w:val="24"/>
        </w:rPr>
        <w:t>100%股权后，努力推动</w:t>
      </w:r>
      <w:proofErr w:type="gramStart"/>
      <w:r w:rsidRPr="00115CA7">
        <w:rPr>
          <w:rFonts w:ascii="宋体" w:eastAsia="宋体" w:hAnsi="宋体"/>
          <w:sz w:val="24"/>
          <w:szCs w:val="24"/>
        </w:rPr>
        <w:t>祥源建设</w:t>
      </w:r>
      <w:proofErr w:type="gramEnd"/>
      <w:r w:rsidRPr="00115CA7">
        <w:rPr>
          <w:rFonts w:ascii="宋体" w:eastAsia="宋体" w:hAnsi="宋体"/>
          <w:sz w:val="24"/>
          <w:szCs w:val="24"/>
        </w:rPr>
        <w:t>与公司基建业务联动，进一步拓宽业务范围，丰富客户资源，不断增加对非关联方客户业务承揽,先后承接界首市</w:t>
      </w:r>
      <w:proofErr w:type="gramStart"/>
      <w:r w:rsidRPr="00115CA7">
        <w:rPr>
          <w:rFonts w:ascii="宋体" w:eastAsia="宋体" w:hAnsi="宋体"/>
          <w:sz w:val="24"/>
          <w:szCs w:val="24"/>
        </w:rPr>
        <w:t>陶庙镇职教园</w:t>
      </w:r>
      <w:proofErr w:type="gramEnd"/>
      <w:r w:rsidRPr="00115CA7">
        <w:rPr>
          <w:rFonts w:ascii="宋体" w:eastAsia="宋体" w:hAnsi="宋体"/>
          <w:sz w:val="24"/>
          <w:szCs w:val="24"/>
        </w:rPr>
        <w:t>安置区土建项目、安</w:t>
      </w:r>
      <w:r w:rsidRPr="00115CA7">
        <w:rPr>
          <w:rFonts w:ascii="宋体" w:eastAsia="宋体" w:hAnsi="宋体" w:hint="eastAsia"/>
          <w:sz w:val="24"/>
          <w:szCs w:val="24"/>
        </w:rPr>
        <w:t>徽新华</w:t>
      </w:r>
      <w:proofErr w:type="gramStart"/>
      <w:r w:rsidRPr="00115CA7">
        <w:rPr>
          <w:rFonts w:ascii="宋体" w:eastAsia="宋体" w:hAnsi="宋体" w:hint="eastAsia"/>
          <w:sz w:val="24"/>
          <w:szCs w:val="24"/>
        </w:rPr>
        <w:t>园区房</w:t>
      </w:r>
      <w:proofErr w:type="gramEnd"/>
      <w:r w:rsidRPr="00115CA7">
        <w:rPr>
          <w:rFonts w:ascii="宋体" w:eastAsia="宋体" w:hAnsi="宋体" w:hint="eastAsia"/>
          <w:sz w:val="24"/>
          <w:szCs w:val="24"/>
        </w:rPr>
        <w:t>建项目、凤台县凤凰湖新区安置区八区（二期）工程</w:t>
      </w:r>
      <w:proofErr w:type="gramStart"/>
      <w:r w:rsidRPr="00115CA7">
        <w:rPr>
          <w:rFonts w:ascii="宋体" w:eastAsia="宋体" w:hAnsi="宋体" w:hint="eastAsia"/>
          <w:sz w:val="24"/>
          <w:szCs w:val="24"/>
        </w:rPr>
        <w:t>投融建</w:t>
      </w:r>
      <w:proofErr w:type="gramEnd"/>
      <w:r w:rsidRPr="00115CA7">
        <w:rPr>
          <w:rFonts w:ascii="宋体" w:eastAsia="宋体" w:hAnsi="宋体" w:hint="eastAsia"/>
          <w:sz w:val="24"/>
          <w:szCs w:val="24"/>
        </w:rPr>
        <w:t>一体化建设项目、青岛</w:t>
      </w:r>
      <w:r w:rsidRPr="00115CA7">
        <w:rPr>
          <w:rFonts w:ascii="宋体" w:eastAsia="宋体" w:hAnsi="宋体"/>
          <w:sz w:val="24"/>
          <w:szCs w:val="24"/>
        </w:rPr>
        <w:t>21世纪</w:t>
      </w:r>
      <w:proofErr w:type="gramStart"/>
      <w:r w:rsidRPr="00115CA7">
        <w:rPr>
          <w:rFonts w:ascii="宋体" w:eastAsia="宋体" w:hAnsi="宋体"/>
          <w:sz w:val="24"/>
          <w:szCs w:val="24"/>
        </w:rPr>
        <w:t>学校房</w:t>
      </w:r>
      <w:proofErr w:type="gramEnd"/>
      <w:r w:rsidRPr="00115CA7">
        <w:rPr>
          <w:rFonts w:ascii="宋体" w:eastAsia="宋体" w:hAnsi="宋体"/>
          <w:sz w:val="24"/>
          <w:szCs w:val="24"/>
        </w:rPr>
        <w:t>建项目等多个重点项目。截至目前，</w:t>
      </w:r>
      <w:proofErr w:type="gramStart"/>
      <w:r w:rsidRPr="00115CA7">
        <w:rPr>
          <w:rFonts w:ascii="宋体" w:eastAsia="宋体" w:hAnsi="宋体"/>
          <w:sz w:val="24"/>
          <w:szCs w:val="24"/>
        </w:rPr>
        <w:t>祥源建设</w:t>
      </w:r>
      <w:proofErr w:type="gramEnd"/>
      <w:r w:rsidRPr="00115CA7">
        <w:rPr>
          <w:rFonts w:ascii="宋体" w:eastAsia="宋体" w:hAnsi="宋体"/>
          <w:sz w:val="24"/>
          <w:szCs w:val="24"/>
        </w:rPr>
        <w:t>对非关联方客户新签合同额累计达9.70亿元，预计2022年房建业务板块中关联交易占比将下降至60%以下。</w:t>
      </w:r>
    </w:p>
    <w:p w14:paraId="3754C06A" w14:textId="77777777" w:rsidR="00342A1A" w:rsidRDefault="00FF6AAB">
      <w:pPr>
        <w:spacing w:line="480" w:lineRule="exact"/>
        <w:rPr>
          <w:rFonts w:ascii="宋体" w:eastAsia="宋体" w:hAnsi="宋体"/>
          <w:b/>
          <w:bCs/>
          <w:sz w:val="24"/>
          <w:szCs w:val="24"/>
        </w:rPr>
      </w:pPr>
      <w:r>
        <w:rPr>
          <w:rFonts w:ascii="宋体" w:eastAsia="宋体" w:hAnsi="宋体" w:hint="eastAsia"/>
          <w:b/>
          <w:bCs/>
          <w:sz w:val="24"/>
          <w:szCs w:val="24"/>
        </w:rPr>
        <w:t xml:space="preserve">三、其他事项 </w:t>
      </w:r>
    </w:p>
    <w:p w14:paraId="496668DD" w14:textId="4751D9D9" w:rsidR="00342A1A" w:rsidRDefault="00FF6AAB">
      <w:pPr>
        <w:spacing w:line="360" w:lineRule="auto"/>
        <w:ind w:firstLineChars="200" w:firstLine="480"/>
        <w:rPr>
          <w:rFonts w:ascii="宋体" w:eastAsia="宋体" w:hAnsi="宋体"/>
          <w:sz w:val="24"/>
          <w:szCs w:val="24"/>
        </w:rPr>
      </w:pPr>
      <w:r>
        <w:rPr>
          <w:rFonts w:ascii="宋体" w:eastAsia="宋体" w:hAnsi="宋体" w:hint="eastAsia"/>
          <w:sz w:val="24"/>
          <w:szCs w:val="24"/>
        </w:rPr>
        <w:t>本次公司202</w:t>
      </w:r>
      <w:r w:rsidR="002E1B4C">
        <w:rPr>
          <w:rFonts w:ascii="宋体" w:eastAsia="宋体" w:hAnsi="宋体"/>
          <w:sz w:val="24"/>
          <w:szCs w:val="24"/>
        </w:rPr>
        <w:t>1</w:t>
      </w:r>
      <w:r>
        <w:rPr>
          <w:rFonts w:ascii="宋体" w:eastAsia="宋体" w:hAnsi="宋体" w:hint="eastAsia"/>
          <w:sz w:val="24"/>
          <w:szCs w:val="24"/>
        </w:rPr>
        <w:t>年度业绩说明会的详细情况，投资者可以通过上海证券交易所 “上证e互动”网络平台（http://sns.sseinfo.com）查看本次业绩说明会的召开情况及主要内容。公司对积极参与本次说明会以及长期以来关注、支持公司发展的各位投资者表示衷心感谢！</w:t>
      </w:r>
    </w:p>
    <w:p w14:paraId="2A1F3E50" w14:textId="77777777" w:rsidR="00115CA7" w:rsidRDefault="00115CA7">
      <w:pPr>
        <w:spacing w:line="360" w:lineRule="auto"/>
        <w:ind w:firstLineChars="200" w:firstLine="480"/>
        <w:rPr>
          <w:rFonts w:ascii="宋体" w:eastAsia="宋体" w:hAnsi="宋体"/>
          <w:sz w:val="24"/>
          <w:szCs w:val="24"/>
        </w:rPr>
      </w:pPr>
    </w:p>
    <w:p w14:paraId="78D1D5A0" w14:textId="77777777" w:rsidR="00342A1A" w:rsidRDefault="00FF6AAB">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14:paraId="24FD582F" w14:textId="77777777" w:rsidR="00342A1A" w:rsidRDefault="00342A1A">
      <w:pPr>
        <w:spacing w:line="480" w:lineRule="exact"/>
        <w:jc w:val="right"/>
        <w:rPr>
          <w:rFonts w:ascii="宋体" w:eastAsia="宋体" w:hAnsi="宋体"/>
          <w:sz w:val="24"/>
          <w:szCs w:val="24"/>
        </w:rPr>
      </w:pPr>
    </w:p>
    <w:p w14:paraId="262CBCB2" w14:textId="77777777" w:rsidR="00342A1A" w:rsidRDefault="00FF6AAB">
      <w:pPr>
        <w:spacing w:line="480" w:lineRule="exact"/>
        <w:jc w:val="right"/>
        <w:rPr>
          <w:rFonts w:ascii="宋体" w:eastAsia="宋体" w:hAnsi="宋体"/>
          <w:sz w:val="24"/>
          <w:szCs w:val="24"/>
        </w:rPr>
      </w:pPr>
      <w:r>
        <w:rPr>
          <w:rFonts w:ascii="宋体" w:eastAsia="宋体" w:hAnsi="宋体" w:hint="eastAsia"/>
          <w:sz w:val="24"/>
          <w:szCs w:val="24"/>
        </w:rPr>
        <w:t>安徽省交通建设股份有限公司董事会</w:t>
      </w:r>
    </w:p>
    <w:p w14:paraId="1D4FC64B" w14:textId="124EE7C3" w:rsidR="00342A1A" w:rsidRDefault="00FF6AAB">
      <w:pPr>
        <w:spacing w:line="480" w:lineRule="exact"/>
        <w:jc w:val="righ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w:t>
      </w:r>
      <w:r w:rsidR="00245BCA">
        <w:rPr>
          <w:rFonts w:ascii="宋体" w:eastAsia="宋体" w:hAnsi="宋体"/>
          <w:sz w:val="24"/>
          <w:szCs w:val="24"/>
        </w:rPr>
        <w:t>2</w:t>
      </w:r>
      <w:r>
        <w:rPr>
          <w:rFonts w:ascii="宋体" w:eastAsia="宋体" w:hAnsi="宋体" w:hint="eastAsia"/>
          <w:sz w:val="24"/>
          <w:szCs w:val="24"/>
        </w:rPr>
        <w:t>年5月</w:t>
      </w:r>
      <w:r w:rsidR="00245BCA">
        <w:rPr>
          <w:rFonts w:ascii="宋体" w:eastAsia="宋体" w:hAnsi="宋体"/>
          <w:sz w:val="24"/>
          <w:szCs w:val="24"/>
        </w:rPr>
        <w:t>13</w:t>
      </w:r>
      <w:r>
        <w:rPr>
          <w:rFonts w:ascii="宋体" w:eastAsia="宋体" w:hAnsi="宋体" w:hint="eastAsia"/>
          <w:sz w:val="24"/>
          <w:szCs w:val="24"/>
        </w:rPr>
        <w:t>日</w:t>
      </w:r>
    </w:p>
    <w:sectPr w:rsidR="00342A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9880" w14:textId="77777777" w:rsidR="00991A46" w:rsidRDefault="00991A46" w:rsidP="00650FC0">
      <w:r>
        <w:separator/>
      </w:r>
    </w:p>
  </w:endnote>
  <w:endnote w:type="continuationSeparator" w:id="0">
    <w:p w14:paraId="719A2370" w14:textId="77777777" w:rsidR="00991A46" w:rsidRDefault="00991A46" w:rsidP="0065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1297" w14:textId="77777777" w:rsidR="00991A46" w:rsidRDefault="00991A46" w:rsidP="00650FC0">
      <w:r>
        <w:separator/>
      </w:r>
    </w:p>
  </w:footnote>
  <w:footnote w:type="continuationSeparator" w:id="0">
    <w:p w14:paraId="09B34D7F" w14:textId="77777777" w:rsidR="00991A46" w:rsidRDefault="00991A46" w:rsidP="00650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789"/>
    <w:rsid w:val="00076D70"/>
    <w:rsid w:val="00115CA7"/>
    <w:rsid w:val="00145FF2"/>
    <w:rsid w:val="00146062"/>
    <w:rsid w:val="001E6CC8"/>
    <w:rsid w:val="00245BCA"/>
    <w:rsid w:val="002C12B5"/>
    <w:rsid w:val="002D567A"/>
    <w:rsid w:val="002E1B4C"/>
    <w:rsid w:val="00342A1A"/>
    <w:rsid w:val="003A6856"/>
    <w:rsid w:val="003C68BA"/>
    <w:rsid w:val="00513633"/>
    <w:rsid w:val="005C4971"/>
    <w:rsid w:val="005F4E04"/>
    <w:rsid w:val="00650FC0"/>
    <w:rsid w:val="00774CD8"/>
    <w:rsid w:val="008E18ED"/>
    <w:rsid w:val="0095477E"/>
    <w:rsid w:val="0098421A"/>
    <w:rsid w:val="00991A46"/>
    <w:rsid w:val="009A4429"/>
    <w:rsid w:val="009C193A"/>
    <w:rsid w:val="009F4F77"/>
    <w:rsid w:val="00A3036B"/>
    <w:rsid w:val="00B629D5"/>
    <w:rsid w:val="00BF0B7B"/>
    <w:rsid w:val="00DB6789"/>
    <w:rsid w:val="00DF6C29"/>
    <w:rsid w:val="00E2515A"/>
    <w:rsid w:val="00E626C6"/>
    <w:rsid w:val="00EE540E"/>
    <w:rsid w:val="00F22140"/>
    <w:rsid w:val="00F41717"/>
    <w:rsid w:val="00F64283"/>
    <w:rsid w:val="00F857F8"/>
    <w:rsid w:val="00FA623B"/>
    <w:rsid w:val="00FA625E"/>
    <w:rsid w:val="00FF6AAB"/>
    <w:rsid w:val="4C582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1F72687"/>
  <w15:docId w15:val="{92138090-6A66-4917-8897-C6B1F3F9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1"/>
    <w:qFormat/>
    <w:pPr>
      <w:autoSpaceDE w:val="0"/>
      <w:autoSpaceDN w:val="0"/>
      <w:jc w:val="left"/>
    </w:pPr>
    <w:rPr>
      <w:rFonts w:ascii="宋体" w:eastAsia="宋体" w:hAnsi="宋体" w:cs="宋体"/>
      <w:kern w:val="0"/>
      <w:sz w:val="24"/>
      <w:szCs w:val="24"/>
      <w:lang w:val="zh-CN" w:bidi="zh-CN"/>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rPr>
      <w:color w:val="0563C1" w:themeColor="hyperlink"/>
      <w:u w:val="single"/>
    </w:rPr>
  </w:style>
  <w:style w:type="character" w:customStyle="1" w:styleId="a9">
    <w:name w:val="正文文本 字符"/>
    <w:basedOn w:val="a0"/>
    <w:uiPriority w:val="99"/>
    <w:semiHidden/>
    <w:qFormat/>
  </w:style>
  <w:style w:type="character" w:customStyle="1" w:styleId="1">
    <w:name w:val="正文文本 字符1"/>
    <w:link w:val="a3"/>
    <w:uiPriority w:val="1"/>
    <w:rPr>
      <w:rFonts w:ascii="宋体" w:eastAsia="宋体" w:hAnsi="宋体" w:cs="宋体"/>
      <w:kern w:val="0"/>
      <w:sz w:val="24"/>
      <w:szCs w:val="24"/>
      <w:lang w:val="zh-CN" w:bidi="zh-CN"/>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林玲</dc:creator>
  <cp:lastModifiedBy>林玲</cp:lastModifiedBy>
  <cp:revision>14</cp:revision>
  <dcterms:created xsi:type="dcterms:W3CDTF">2020-05-13T07:12:00Z</dcterms:created>
  <dcterms:modified xsi:type="dcterms:W3CDTF">2022-05-12T08:46:00Z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E4F079D664684B7AB4F4A6F8700392C4</vt:lpwstr>
  </property>
</Properties>
</file>