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88E2" w14:textId="77777777" w:rsidR="00F8698B" w:rsidRDefault="002A6C1A">
      <w:pPr>
        <w:ind w:firstLineChars="0" w:firstLine="0"/>
        <w:jc w:val="center"/>
        <w:rPr>
          <w:rFonts w:ascii="黑体" w:eastAsia="黑体" w:hAnsi="黑体"/>
          <w:sz w:val="36"/>
          <w:szCs w:val="36"/>
        </w:rPr>
      </w:pPr>
      <w:r>
        <w:rPr>
          <w:rFonts w:ascii="黑体" w:eastAsia="黑体" w:hAnsi="黑体" w:hint="eastAsia"/>
          <w:sz w:val="36"/>
          <w:szCs w:val="36"/>
        </w:rPr>
        <w:t>华安证券股份有限公司</w:t>
      </w:r>
    </w:p>
    <w:p w14:paraId="2C8B22B7" w14:textId="77777777" w:rsidR="00F8698B" w:rsidRDefault="002A6C1A">
      <w:pPr>
        <w:ind w:firstLineChars="0" w:firstLine="0"/>
        <w:jc w:val="center"/>
        <w:rPr>
          <w:rFonts w:ascii="黑体" w:eastAsia="黑体" w:hAnsi="黑体"/>
          <w:sz w:val="36"/>
          <w:szCs w:val="36"/>
        </w:rPr>
      </w:pPr>
      <w:r>
        <w:rPr>
          <w:rFonts w:ascii="黑体" w:eastAsia="黑体" w:hAnsi="黑体" w:hint="eastAsia"/>
          <w:sz w:val="36"/>
          <w:szCs w:val="36"/>
        </w:rPr>
        <w:t>关于安徽省交通建设股份有限公司</w:t>
      </w:r>
    </w:p>
    <w:p w14:paraId="70BF8D6F" w14:textId="77777777" w:rsidR="00F8698B" w:rsidRDefault="002A6C1A">
      <w:pPr>
        <w:ind w:firstLineChars="0" w:firstLine="0"/>
        <w:jc w:val="center"/>
        <w:rPr>
          <w:rFonts w:ascii="黑体" w:eastAsia="黑体" w:hAnsi="黑体"/>
          <w:sz w:val="36"/>
          <w:szCs w:val="36"/>
        </w:rPr>
      </w:pPr>
      <w:r>
        <w:rPr>
          <w:rFonts w:ascii="黑体" w:eastAsia="黑体" w:hAnsi="黑体" w:hint="eastAsia"/>
          <w:sz w:val="36"/>
          <w:szCs w:val="36"/>
        </w:rPr>
        <w:t>非公开发行限售股上市流通的核查意见</w:t>
      </w:r>
    </w:p>
    <w:p w14:paraId="7FA1DC0C" w14:textId="77777777" w:rsidR="00F8698B" w:rsidRDefault="00F8698B">
      <w:pPr>
        <w:ind w:firstLineChars="0" w:firstLine="0"/>
        <w:jc w:val="center"/>
        <w:rPr>
          <w:rFonts w:ascii="宋体" w:hAnsi="宋体"/>
          <w:sz w:val="36"/>
          <w:szCs w:val="36"/>
        </w:rPr>
      </w:pPr>
    </w:p>
    <w:p w14:paraId="7F83BAF5" w14:textId="1B597D47" w:rsidR="00F8698B" w:rsidRDefault="002A6C1A">
      <w:pPr>
        <w:ind w:firstLine="480"/>
        <w:rPr>
          <w:rFonts w:ascii="宋体" w:hAnsi="宋体"/>
          <w:sz w:val="24"/>
        </w:rPr>
      </w:pPr>
      <w:r>
        <w:rPr>
          <w:rFonts w:ascii="宋体" w:hAnsi="宋体" w:hint="eastAsia"/>
          <w:sz w:val="24"/>
        </w:rPr>
        <w:t>华安证券股份有限公司（以下简称“华安证券”、“保荐机构”）作为安徽省交通建设股份有限公司（以下简称“交建股份”、“公司”）202</w:t>
      </w:r>
      <w:r w:rsidR="00332E6A">
        <w:rPr>
          <w:rFonts w:ascii="宋体" w:hAnsi="宋体"/>
          <w:sz w:val="24"/>
        </w:rPr>
        <w:t>0</w:t>
      </w:r>
      <w:r>
        <w:rPr>
          <w:rFonts w:ascii="宋体" w:hAnsi="宋体" w:hint="eastAsia"/>
          <w:sz w:val="24"/>
        </w:rPr>
        <w:t>年非公开发行股票的保荐机构，根据《证券发行上市保荐业务管理办法》《上海证券交易所股票上市规则》《上海证券交易所上市公司持续督导工作指引》等有关规定，对交建股份本次非公开发行限售股解禁上市流通事项进行了核查，核查情况及核查意见如下：</w:t>
      </w:r>
    </w:p>
    <w:p w14:paraId="7273A6BC" w14:textId="77777777" w:rsidR="00F8698B" w:rsidRDefault="002A6C1A">
      <w:pPr>
        <w:ind w:firstLine="562"/>
        <w:outlineLvl w:val="0"/>
        <w:rPr>
          <w:rFonts w:ascii="黑体" w:eastAsia="黑体" w:hAnsi="黑体" w:cs="宋体"/>
          <w:b/>
          <w:bCs/>
          <w:color w:val="333333"/>
          <w:kern w:val="0"/>
          <w:sz w:val="28"/>
          <w:szCs w:val="28"/>
        </w:rPr>
      </w:pPr>
      <w:r>
        <w:rPr>
          <w:rFonts w:ascii="黑体" w:eastAsia="黑体" w:hAnsi="黑体" w:cs="宋体" w:hint="eastAsia"/>
          <w:b/>
          <w:bCs/>
          <w:color w:val="333333"/>
          <w:kern w:val="0"/>
          <w:sz w:val="28"/>
          <w:szCs w:val="28"/>
        </w:rPr>
        <w:t>一、本次限售股上市类型</w:t>
      </w:r>
    </w:p>
    <w:p w14:paraId="59D0721B" w14:textId="77777777" w:rsidR="00F8698B" w:rsidRDefault="002A6C1A">
      <w:pPr>
        <w:ind w:firstLine="480"/>
        <w:rPr>
          <w:rFonts w:ascii="宋体" w:hAnsi="宋体"/>
          <w:sz w:val="24"/>
        </w:rPr>
      </w:pPr>
      <w:r>
        <w:rPr>
          <w:rFonts w:ascii="宋体" w:hAnsi="宋体" w:hint="eastAsia"/>
          <w:sz w:val="24"/>
        </w:rPr>
        <w:t>本次限售股上市类型为非公开发行限售股。</w:t>
      </w:r>
    </w:p>
    <w:p w14:paraId="2CB660BC" w14:textId="77777777" w:rsidR="00F8698B" w:rsidRDefault="002A6C1A">
      <w:pPr>
        <w:ind w:firstLine="480"/>
        <w:rPr>
          <w:rFonts w:ascii="宋体" w:hAnsi="宋体"/>
          <w:sz w:val="24"/>
        </w:rPr>
      </w:pPr>
      <w:r>
        <w:rPr>
          <w:rFonts w:ascii="宋体" w:hAnsi="宋体" w:hint="eastAsia"/>
          <w:sz w:val="24"/>
        </w:rPr>
        <w:t>经中国证券监督管理委员会《关于核准安徽省交通建设股份有限公司非公开发行股票的批复》（证监许可[202</w:t>
      </w:r>
      <w:r>
        <w:rPr>
          <w:rFonts w:ascii="宋体" w:hAnsi="宋体"/>
          <w:sz w:val="24"/>
        </w:rPr>
        <w:t>1</w:t>
      </w:r>
      <w:r>
        <w:rPr>
          <w:rFonts w:ascii="宋体" w:hAnsi="宋体" w:hint="eastAsia"/>
          <w:sz w:val="24"/>
        </w:rPr>
        <w:t>]</w:t>
      </w:r>
      <w:r>
        <w:rPr>
          <w:rFonts w:ascii="宋体" w:hAnsi="宋体"/>
          <w:sz w:val="24"/>
        </w:rPr>
        <w:t>18</w:t>
      </w:r>
      <w:r>
        <w:rPr>
          <w:rFonts w:ascii="宋体" w:hAnsi="宋体" w:hint="eastAsia"/>
          <w:sz w:val="24"/>
        </w:rPr>
        <w:t>号），公司于2021年6月向1</w:t>
      </w:r>
      <w:r>
        <w:rPr>
          <w:rFonts w:ascii="宋体" w:hAnsi="宋体"/>
          <w:sz w:val="24"/>
        </w:rPr>
        <w:t>6</w:t>
      </w:r>
      <w:r>
        <w:rPr>
          <w:rFonts w:ascii="宋体" w:hAnsi="宋体" w:hint="eastAsia"/>
          <w:sz w:val="24"/>
        </w:rPr>
        <w:t>名认购对象非公开发行</w:t>
      </w:r>
      <w:r>
        <w:rPr>
          <w:rFonts w:ascii="宋体" w:hAnsi="宋体"/>
          <w:sz w:val="24"/>
        </w:rPr>
        <w:t>119,924,235</w:t>
      </w:r>
      <w:r>
        <w:rPr>
          <w:rFonts w:ascii="宋体" w:hAnsi="宋体" w:hint="eastAsia"/>
          <w:sz w:val="24"/>
        </w:rPr>
        <w:t>股人民币普通股（A股），约占目前公司总股本的1</w:t>
      </w:r>
      <w:r>
        <w:rPr>
          <w:rFonts w:ascii="宋体" w:hAnsi="宋体"/>
          <w:sz w:val="24"/>
        </w:rPr>
        <w:t>9</w:t>
      </w:r>
      <w:r>
        <w:rPr>
          <w:rFonts w:ascii="宋体" w:hAnsi="宋体" w:hint="eastAsia"/>
          <w:sz w:val="24"/>
        </w:rPr>
        <w:t>.</w:t>
      </w:r>
      <w:r>
        <w:rPr>
          <w:rFonts w:ascii="宋体" w:hAnsi="宋体"/>
          <w:sz w:val="24"/>
        </w:rPr>
        <w:t>38</w:t>
      </w:r>
      <w:r>
        <w:rPr>
          <w:rFonts w:ascii="宋体" w:hAnsi="宋体" w:hint="eastAsia"/>
          <w:sz w:val="24"/>
        </w:rPr>
        <w:t>%。</w:t>
      </w:r>
    </w:p>
    <w:p w14:paraId="6BA9C77D" w14:textId="77777777" w:rsidR="00F8698B" w:rsidRDefault="002A6C1A">
      <w:pPr>
        <w:ind w:firstLine="480"/>
        <w:rPr>
          <w:rFonts w:ascii="宋体" w:hAnsi="宋体"/>
          <w:sz w:val="24"/>
        </w:rPr>
      </w:pPr>
      <w:r>
        <w:rPr>
          <w:rFonts w:ascii="宋体" w:hAnsi="宋体" w:hint="eastAsia"/>
          <w:sz w:val="24"/>
        </w:rPr>
        <w:t>本次发行的新增股份已于2021年</w:t>
      </w:r>
      <w:r>
        <w:rPr>
          <w:rFonts w:ascii="宋体" w:hAnsi="宋体"/>
          <w:sz w:val="24"/>
        </w:rPr>
        <w:t>7</w:t>
      </w:r>
      <w:r>
        <w:rPr>
          <w:rFonts w:ascii="宋体" w:hAnsi="宋体" w:hint="eastAsia"/>
          <w:sz w:val="24"/>
        </w:rPr>
        <w:t>月</w:t>
      </w:r>
      <w:r>
        <w:rPr>
          <w:rFonts w:ascii="宋体" w:hAnsi="宋体"/>
          <w:sz w:val="24"/>
        </w:rPr>
        <w:t>5</w:t>
      </w:r>
      <w:r>
        <w:rPr>
          <w:rFonts w:ascii="宋体" w:hAnsi="宋体" w:hint="eastAsia"/>
          <w:sz w:val="24"/>
        </w:rPr>
        <w:t>日在中国证券登记结算有限责任公司上海分公司办理完毕股份登记手续，锁定期为自办理完毕股份登记手续之日起6个月。</w:t>
      </w:r>
    </w:p>
    <w:p w14:paraId="6B56F347" w14:textId="77777777" w:rsidR="00F8698B" w:rsidRDefault="002A6C1A">
      <w:pPr>
        <w:ind w:firstLine="562"/>
        <w:outlineLvl w:val="0"/>
        <w:rPr>
          <w:rFonts w:ascii="黑体" w:eastAsia="黑体" w:hAnsi="黑体" w:cs="宋体"/>
          <w:b/>
          <w:bCs/>
          <w:color w:val="333333"/>
          <w:kern w:val="0"/>
          <w:sz w:val="28"/>
          <w:szCs w:val="28"/>
        </w:rPr>
      </w:pPr>
      <w:r>
        <w:rPr>
          <w:rFonts w:ascii="黑体" w:eastAsia="黑体" w:hAnsi="黑体" w:cs="宋体" w:hint="eastAsia"/>
          <w:b/>
          <w:bCs/>
          <w:color w:val="333333"/>
          <w:kern w:val="0"/>
          <w:sz w:val="28"/>
          <w:szCs w:val="28"/>
        </w:rPr>
        <w:t>二、本次限售股形成后至今公司股本数量变化情况</w:t>
      </w:r>
    </w:p>
    <w:p w14:paraId="01BFE827" w14:textId="77777777" w:rsidR="00F8698B" w:rsidRDefault="002A6C1A">
      <w:pPr>
        <w:ind w:firstLine="480"/>
        <w:rPr>
          <w:rFonts w:ascii="宋体" w:hAnsi="宋体"/>
          <w:sz w:val="24"/>
        </w:rPr>
      </w:pPr>
      <w:r>
        <w:rPr>
          <w:rFonts w:ascii="宋体" w:hAnsi="宋体" w:hint="eastAsia"/>
          <w:sz w:val="24"/>
        </w:rPr>
        <w:t>公司非公开发行A股股票完成后，公司股本总额为</w:t>
      </w:r>
      <w:r>
        <w:rPr>
          <w:rFonts w:ascii="宋体" w:hAnsi="宋体"/>
          <w:sz w:val="24"/>
        </w:rPr>
        <w:t>618,924,235</w:t>
      </w:r>
      <w:r>
        <w:rPr>
          <w:rFonts w:ascii="宋体" w:hAnsi="宋体" w:hint="eastAsia"/>
          <w:sz w:val="24"/>
        </w:rPr>
        <w:t>股，其中有限售条件流通股</w:t>
      </w:r>
      <w:r>
        <w:rPr>
          <w:rFonts w:ascii="宋体" w:hAnsi="宋体"/>
          <w:sz w:val="24"/>
        </w:rPr>
        <w:t>455,636,695</w:t>
      </w:r>
      <w:r>
        <w:rPr>
          <w:rFonts w:ascii="宋体" w:hAnsi="宋体" w:hint="eastAsia"/>
          <w:sz w:val="24"/>
        </w:rPr>
        <w:t>股，无限售条件流通股</w:t>
      </w:r>
      <w:r>
        <w:rPr>
          <w:rFonts w:ascii="宋体" w:hAnsi="宋体"/>
          <w:sz w:val="24"/>
        </w:rPr>
        <w:t>163,287,540</w:t>
      </w:r>
      <w:r>
        <w:rPr>
          <w:rFonts w:ascii="宋体" w:hAnsi="宋体" w:hint="eastAsia"/>
          <w:sz w:val="24"/>
        </w:rPr>
        <w:t>股。</w:t>
      </w:r>
    </w:p>
    <w:p w14:paraId="3A39CF4C" w14:textId="77777777" w:rsidR="00F8698B" w:rsidRDefault="002A6C1A">
      <w:pPr>
        <w:ind w:firstLine="480"/>
        <w:rPr>
          <w:rFonts w:ascii="宋体" w:hAnsi="宋体"/>
          <w:sz w:val="24"/>
        </w:rPr>
      </w:pPr>
      <w:r>
        <w:rPr>
          <w:rFonts w:ascii="宋体" w:hAnsi="宋体" w:hint="eastAsia"/>
          <w:sz w:val="24"/>
        </w:rPr>
        <w:t>非公开发行限售股形成至今，公司未发生配股、公积金转增股本等事项，公司股本数量未发生变化。</w:t>
      </w:r>
    </w:p>
    <w:p w14:paraId="56D27A1E" w14:textId="77777777" w:rsidR="00F8698B" w:rsidRDefault="002A6C1A">
      <w:pPr>
        <w:ind w:firstLine="562"/>
        <w:outlineLvl w:val="0"/>
        <w:rPr>
          <w:rFonts w:ascii="黑体" w:eastAsia="黑体" w:hAnsi="黑体" w:cs="宋体"/>
          <w:b/>
          <w:bCs/>
          <w:color w:val="333333"/>
          <w:kern w:val="0"/>
          <w:sz w:val="28"/>
          <w:szCs w:val="28"/>
        </w:rPr>
      </w:pPr>
      <w:r>
        <w:rPr>
          <w:rFonts w:ascii="黑体" w:eastAsia="黑体" w:hAnsi="黑体" w:cs="宋体" w:hint="eastAsia"/>
          <w:b/>
          <w:bCs/>
          <w:color w:val="333333"/>
          <w:kern w:val="0"/>
          <w:sz w:val="28"/>
          <w:szCs w:val="28"/>
        </w:rPr>
        <w:t>三、本次限售股上市流通的有关承诺</w:t>
      </w:r>
    </w:p>
    <w:p w14:paraId="63A3A3C4" w14:textId="77777777" w:rsidR="00F8698B" w:rsidRDefault="002A6C1A">
      <w:pPr>
        <w:ind w:firstLine="480"/>
        <w:rPr>
          <w:rFonts w:ascii="宋体" w:hAnsi="宋体"/>
          <w:sz w:val="24"/>
        </w:rPr>
      </w:pPr>
      <w:r>
        <w:rPr>
          <w:rFonts w:ascii="宋体" w:hAnsi="宋体" w:hint="eastAsia"/>
          <w:sz w:val="24"/>
        </w:rPr>
        <w:t>本次非公开发行所涉及的1</w:t>
      </w:r>
      <w:r>
        <w:rPr>
          <w:rFonts w:ascii="宋体" w:hAnsi="宋体"/>
          <w:sz w:val="24"/>
        </w:rPr>
        <w:t>6</w:t>
      </w:r>
      <w:r>
        <w:rPr>
          <w:rFonts w:ascii="宋体" w:hAnsi="宋体" w:hint="eastAsia"/>
          <w:sz w:val="24"/>
        </w:rPr>
        <w:t>名认购对象承诺所认购的股票自办理完毕股份登记手续之日起6个月内不转让。</w:t>
      </w:r>
    </w:p>
    <w:p w14:paraId="17CE925D" w14:textId="77777777" w:rsidR="00F8698B" w:rsidRDefault="002A6C1A">
      <w:pPr>
        <w:ind w:firstLine="480"/>
        <w:rPr>
          <w:rFonts w:ascii="宋体" w:hAnsi="宋体"/>
          <w:sz w:val="24"/>
        </w:rPr>
      </w:pPr>
      <w:r>
        <w:rPr>
          <w:rFonts w:ascii="宋体" w:hAnsi="宋体" w:hint="eastAsia"/>
          <w:sz w:val="24"/>
        </w:rPr>
        <w:lastRenderedPageBreak/>
        <w:t>截至本核查意见出具日，上述股东均严格履行了各自所作出的股份锁定承诺，不存在相关承诺未履行影响本次限售股上市流通的情况。</w:t>
      </w:r>
    </w:p>
    <w:p w14:paraId="6AD1AC6F" w14:textId="77777777" w:rsidR="00F8698B" w:rsidRDefault="002A6C1A">
      <w:pPr>
        <w:ind w:firstLine="480"/>
        <w:rPr>
          <w:rFonts w:ascii="宋体" w:hAnsi="宋体"/>
          <w:sz w:val="24"/>
        </w:rPr>
      </w:pPr>
      <w:r>
        <w:rPr>
          <w:rFonts w:ascii="宋体" w:hAnsi="宋体" w:hint="eastAsia"/>
          <w:sz w:val="24"/>
        </w:rPr>
        <w:t>本次申请上市的限售股持有人无上市特别承诺。</w:t>
      </w:r>
    </w:p>
    <w:p w14:paraId="0996638D" w14:textId="3CD9130F" w:rsidR="00F8698B" w:rsidRDefault="005D777E">
      <w:pPr>
        <w:ind w:firstLine="562"/>
        <w:outlineLvl w:val="0"/>
        <w:rPr>
          <w:rFonts w:ascii="黑体" w:eastAsia="黑体" w:hAnsi="黑体" w:cs="宋体"/>
          <w:b/>
          <w:bCs/>
          <w:color w:val="333333"/>
          <w:kern w:val="0"/>
          <w:sz w:val="28"/>
          <w:szCs w:val="28"/>
        </w:rPr>
      </w:pPr>
      <w:r>
        <w:rPr>
          <w:rFonts w:ascii="黑体" w:eastAsia="黑体" w:hAnsi="黑体" w:cs="宋体" w:hint="eastAsia"/>
          <w:b/>
          <w:bCs/>
          <w:color w:val="333333"/>
          <w:kern w:val="0"/>
          <w:sz w:val="28"/>
          <w:szCs w:val="28"/>
        </w:rPr>
        <w:t>四</w:t>
      </w:r>
      <w:r w:rsidR="002A6C1A">
        <w:rPr>
          <w:rFonts w:ascii="黑体" w:eastAsia="黑体" w:hAnsi="黑体" w:cs="宋体" w:hint="eastAsia"/>
          <w:b/>
          <w:bCs/>
          <w:color w:val="333333"/>
          <w:kern w:val="0"/>
          <w:sz w:val="28"/>
          <w:szCs w:val="28"/>
        </w:rPr>
        <w:t>、本次限售股上市流通情况</w:t>
      </w:r>
    </w:p>
    <w:p w14:paraId="6975E03A" w14:textId="77777777" w:rsidR="00F8698B" w:rsidRDefault="002A6C1A">
      <w:pPr>
        <w:ind w:firstLine="480"/>
        <w:rPr>
          <w:rFonts w:ascii="宋体" w:hAnsi="宋体"/>
          <w:sz w:val="24"/>
        </w:rPr>
      </w:pPr>
      <w:r>
        <w:rPr>
          <w:rFonts w:ascii="宋体" w:hAnsi="宋体" w:hint="eastAsia"/>
          <w:sz w:val="24"/>
        </w:rPr>
        <w:t>本次限售股上市流通数量为</w:t>
      </w:r>
      <w:r>
        <w:rPr>
          <w:rFonts w:ascii="宋体" w:hAnsi="宋体"/>
          <w:sz w:val="24"/>
        </w:rPr>
        <w:t>119,924,235</w:t>
      </w:r>
      <w:r>
        <w:rPr>
          <w:rFonts w:ascii="宋体" w:hAnsi="宋体" w:hint="eastAsia"/>
          <w:sz w:val="24"/>
        </w:rPr>
        <w:t>股。本次限售股上市流通日期为202</w:t>
      </w:r>
      <w:r>
        <w:rPr>
          <w:rFonts w:ascii="宋体" w:hAnsi="宋体"/>
          <w:sz w:val="24"/>
        </w:rPr>
        <w:t>2</w:t>
      </w:r>
      <w:r>
        <w:rPr>
          <w:rFonts w:ascii="宋体" w:hAnsi="宋体" w:hint="eastAsia"/>
          <w:sz w:val="24"/>
        </w:rPr>
        <w:t>年1月</w:t>
      </w:r>
      <w:r>
        <w:rPr>
          <w:rFonts w:ascii="宋体" w:hAnsi="宋体"/>
          <w:sz w:val="24"/>
        </w:rPr>
        <w:t>5</w:t>
      </w:r>
      <w:r>
        <w:rPr>
          <w:rFonts w:ascii="宋体" w:hAnsi="宋体" w:hint="eastAsia"/>
          <w:sz w:val="24"/>
        </w:rPr>
        <w:t>日。</w:t>
      </w:r>
    </w:p>
    <w:p w14:paraId="6A280043" w14:textId="77777777" w:rsidR="00F8698B" w:rsidRDefault="002A6C1A">
      <w:pPr>
        <w:ind w:firstLine="480"/>
        <w:rPr>
          <w:rFonts w:ascii="宋体" w:hAnsi="宋体"/>
          <w:sz w:val="24"/>
        </w:rPr>
      </w:pPr>
      <w:r>
        <w:rPr>
          <w:rFonts w:ascii="宋体" w:hAnsi="宋体" w:hint="eastAsia"/>
          <w:sz w:val="24"/>
        </w:rPr>
        <w:t>本次限售股上市流通明细清单：</w:t>
      </w:r>
    </w:p>
    <w:tbl>
      <w:tblPr>
        <w:tblW w:w="864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0"/>
        <w:gridCol w:w="1694"/>
        <w:gridCol w:w="2150"/>
        <w:gridCol w:w="1116"/>
        <w:gridCol w:w="1354"/>
        <w:gridCol w:w="1080"/>
        <w:gridCol w:w="763"/>
      </w:tblGrid>
      <w:tr w:rsidR="00F8698B" w14:paraId="4A8C03F0" w14:textId="77777777" w:rsidTr="00E1203E">
        <w:trPr>
          <w:trHeight w:val="810"/>
        </w:trPr>
        <w:tc>
          <w:tcPr>
            <w:tcW w:w="490" w:type="dxa"/>
            <w:shd w:val="clear" w:color="auto" w:fill="D0CECE" w:themeFill="background2" w:themeFillShade="E6"/>
            <w:vAlign w:val="center"/>
          </w:tcPr>
          <w:p w14:paraId="1B9EF97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序号</w:t>
            </w:r>
          </w:p>
        </w:tc>
        <w:tc>
          <w:tcPr>
            <w:tcW w:w="1694" w:type="dxa"/>
            <w:shd w:val="clear" w:color="auto" w:fill="D0CECE" w:themeFill="background2" w:themeFillShade="E6"/>
            <w:vAlign w:val="center"/>
          </w:tcPr>
          <w:p w14:paraId="3CD4E5A8"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发行对象名称</w:t>
            </w:r>
          </w:p>
        </w:tc>
        <w:tc>
          <w:tcPr>
            <w:tcW w:w="2150" w:type="dxa"/>
            <w:shd w:val="clear" w:color="auto" w:fill="D0CECE" w:themeFill="background2" w:themeFillShade="E6"/>
            <w:vAlign w:val="center"/>
          </w:tcPr>
          <w:p w14:paraId="4E7B23F0"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股东</w:t>
            </w:r>
          </w:p>
          <w:p w14:paraId="651E9A15"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名称</w:t>
            </w:r>
          </w:p>
        </w:tc>
        <w:tc>
          <w:tcPr>
            <w:tcW w:w="1116" w:type="dxa"/>
            <w:shd w:val="clear" w:color="auto" w:fill="D0CECE" w:themeFill="background2" w:themeFillShade="E6"/>
            <w:vAlign w:val="center"/>
          </w:tcPr>
          <w:p w14:paraId="620A070C" w14:textId="77777777" w:rsidR="00F8698B" w:rsidRDefault="002A6C1A" w:rsidP="0012241C">
            <w:pPr>
              <w:spacing w:line="276" w:lineRule="auto"/>
              <w:ind w:firstLineChars="0" w:firstLine="0"/>
              <w:jc w:val="center"/>
              <w:rPr>
                <w:rFonts w:ascii="宋体" w:hAnsi="宋体"/>
                <w:sz w:val="18"/>
                <w:szCs w:val="18"/>
              </w:rPr>
            </w:pPr>
            <w:r>
              <w:rPr>
                <w:rFonts w:ascii="宋体" w:hAnsi="宋体" w:hint="eastAsia"/>
                <w:sz w:val="18"/>
                <w:szCs w:val="18"/>
              </w:rPr>
              <w:t>持有限售股数量（股）</w:t>
            </w:r>
          </w:p>
        </w:tc>
        <w:tc>
          <w:tcPr>
            <w:tcW w:w="1354" w:type="dxa"/>
            <w:shd w:val="clear" w:color="auto" w:fill="D0CECE" w:themeFill="background2" w:themeFillShade="E6"/>
            <w:vAlign w:val="center"/>
          </w:tcPr>
          <w:p w14:paraId="35BD3505" w14:textId="77777777" w:rsidR="00F8698B" w:rsidRDefault="002A6C1A" w:rsidP="0012241C">
            <w:pPr>
              <w:spacing w:line="276" w:lineRule="auto"/>
              <w:ind w:firstLineChars="0" w:firstLine="0"/>
              <w:jc w:val="center"/>
              <w:rPr>
                <w:rFonts w:ascii="宋体" w:hAnsi="宋体"/>
                <w:sz w:val="18"/>
                <w:szCs w:val="18"/>
              </w:rPr>
            </w:pPr>
            <w:r>
              <w:rPr>
                <w:rFonts w:ascii="宋体" w:hAnsi="宋体" w:hint="eastAsia"/>
                <w:sz w:val="18"/>
                <w:szCs w:val="18"/>
              </w:rPr>
              <w:t>持有限售股占公司总股本比例（%）</w:t>
            </w:r>
          </w:p>
        </w:tc>
        <w:tc>
          <w:tcPr>
            <w:tcW w:w="1080" w:type="dxa"/>
            <w:shd w:val="clear" w:color="auto" w:fill="D0CECE" w:themeFill="background2" w:themeFillShade="E6"/>
            <w:tcMar>
              <w:top w:w="0" w:type="dxa"/>
              <w:left w:w="0" w:type="dxa"/>
              <w:bottom w:w="0" w:type="dxa"/>
              <w:right w:w="0" w:type="dxa"/>
            </w:tcMar>
            <w:vAlign w:val="center"/>
          </w:tcPr>
          <w:p w14:paraId="36A7DC9B" w14:textId="77777777" w:rsidR="00F8698B" w:rsidRDefault="002A6C1A" w:rsidP="0012241C">
            <w:pPr>
              <w:spacing w:line="276" w:lineRule="auto"/>
              <w:ind w:firstLineChars="0" w:firstLine="0"/>
              <w:jc w:val="center"/>
              <w:rPr>
                <w:rFonts w:ascii="宋体" w:hAnsi="宋体"/>
                <w:sz w:val="18"/>
                <w:szCs w:val="18"/>
              </w:rPr>
            </w:pPr>
            <w:r>
              <w:rPr>
                <w:rFonts w:ascii="宋体" w:hAnsi="宋体" w:hint="eastAsia"/>
                <w:sz w:val="18"/>
                <w:szCs w:val="18"/>
              </w:rPr>
              <w:t>本次上市流通数量（股）</w:t>
            </w:r>
          </w:p>
        </w:tc>
        <w:tc>
          <w:tcPr>
            <w:tcW w:w="763" w:type="dxa"/>
            <w:shd w:val="clear" w:color="auto" w:fill="D0CECE" w:themeFill="background2" w:themeFillShade="E6"/>
            <w:tcMar>
              <w:top w:w="0" w:type="dxa"/>
              <w:left w:w="0" w:type="dxa"/>
              <w:bottom w:w="0" w:type="dxa"/>
              <w:right w:w="0" w:type="dxa"/>
            </w:tcMar>
            <w:vAlign w:val="center"/>
          </w:tcPr>
          <w:p w14:paraId="60C6ED5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剩余限售股数量</w:t>
            </w:r>
          </w:p>
        </w:tc>
      </w:tr>
      <w:tr w:rsidR="00F8698B" w14:paraId="4B6C7E8D" w14:textId="77777777" w:rsidTr="00E1203E">
        <w:trPr>
          <w:trHeight w:val="800"/>
        </w:trPr>
        <w:tc>
          <w:tcPr>
            <w:tcW w:w="490" w:type="dxa"/>
            <w:vAlign w:val="center"/>
          </w:tcPr>
          <w:p w14:paraId="787FE62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w:t>
            </w:r>
          </w:p>
        </w:tc>
        <w:tc>
          <w:tcPr>
            <w:tcW w:w="1694" w:type="dxa"/>
            <w:vAlign w:val="center"/>
          </w:tcPr>
          <w:p w14:paraId="5DAD4972"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致合（杭州）资产管理有限公司</w:t>
            </w:r>
          </w:p>
        </w:tc>
        <w:tc>
          <w:tcPr>
            <w:tcW w:w="2150" w:type="dxa"/>
            <w:vAlign w:val="center"/>
          </w:tcPr>
          <w:p w14:paraId="5BE78E2D"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致合（杭州）资产管理有限公司－富毓致合晋航四号私募证券投资基金</w:t>
            </w:r>
          </w:p>
        </w:tc>
        <w:tc>
          <w:tcPr>
            <w:tcW w:w="1116" w:type="dxa"/>
            <w:vAlign w:val="center"/>
          </w:tcPr>
          <w:p w14:paraId="5D464689"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20,661,156</w:t>
            </w:r>
          </w:p>
        </w:tc>
        <w:tc>
          <w:tcPr>
            <w:tcW w:w="1354" w:type="dxa"/>
            <w:vAlign w:val="center"/>
          </w:tcPr>
          <w:p w14:paraId="6C0CEF13"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3.34</w:t>
            </w:r>
          </w:p>
        </w:tc>
        <w:tc>
          <w:tcPr>
            <w:tcW w:w="1080" w:type="dxa"/>
            <w:tcMar>
              <w:top w:w="0" w:type="dxa"/>
              <w:left w:w="0" w:type="dxa"/>
              <w:bottom w:w="0" w:type="dxa"/>
              <w:right w:w="0" w:type="dxa"/>
            </w:tcMar>
            <w:vAlign w:val="center"/>
          </w:tcPr>
          <w:p w14:paraId="473CAF0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20,661,156</w:t>
            </w:r>
          </w:p>
        </w:tc>
        <w:tc>
          <w:tcPr>
            <w:tcW w:w="763" w:type="dxa"/>
            <w:tcMar>
              <w:top w:w="0" w:type="dxa"/>
              <w:left w:w="0" w:type="dxa"/>
              <w:bottom w:w="0" w:type="dxa"/>
              <w:right w:w="0" w:type="dxa"/>
            </w:tcMar>
            <w:vAlign w:val="center"/>
          </w:tcPr>
          <w:p w14:paraId="7E137495"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7F9504F2" w14:textId="77777777" w:rsidTr="00E1203E">
        <w:trPr>
          <w:trHeight w:val="810"/>
        </w:trPr>
        <w:tc>
          <w:tcPr>
            <w:tcW w:w="490" w:type="dxa"/>
            <w:vAlign w:val="center"/>
          </w:tcPr>
          <w:p w14:paraId="1C3FBBF8"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2</w:t>
            </w:r>
          </w:p>
        </w:tc>
        <w:tc>
          <w:tcPr>
            <w:tcW w:w="1694" w:type="dxa"/>
            <w:vAlign w:val="center"/>
          </w:tcPr>
          <w:p w14:paraId="541ADD4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华泰证券（上海）资产管理有限公司</w:t>
            </w:r>
          </w:p>
        </w:tc>
        <w:tc>
          <w:tcPr>
            <w:tcW w:w="2150" w:type="dxa"/>
            <w:vAlign w:val="center"/>
          </w:tcPr>
          <w:p w14:paraId="25A7D1E0"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华泰证券资管－华安证券－华泰定增添利1号集合资产管理计划</w:t>
            </w:r>
          </w:p>
        </w:tc>
        <w:tc>
          <w:tcPr>
            <w:tcW w:w="1116" w:type="dxa"/>
            <w:vAlign w:val="center"/>
          </w:tcPr>
          <w:p w14:paraId="322B3320"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26,198,347</w:t>
            </w:r>
          </w:p>
        </w:tc>
        <w:tc>
          <w:tcPr>
            <w:tcW w:w="1354" w:type="dxa"/>
            <w:vAlign w:val="center"/>
          </w:tcPr>
          <w:p w14:paraId="3E5527AB"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4.23</w:t>
            </w:r>
          </w:p>
        </w:tc>
        <w:tc>
          <w:tcPr>
            <w:tcW w:w="1080" w:type="dxa"/>
            <w:tcMar>
              <w:top w:w="0" w:type="dxa"/>
              <w:left w:w="0" w:type="dxa"/>
              <w:bottom w:w="0" w:type="dxa"/>
              <w:right w:w="0" w:type="dxa"/>
            </w:tcMar>
            <w:vAlign w:val="center"/>
          </w:tcPr>
          <w:p w14:paraId="63DFAB2D"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26,198,347</w:t>
            </w:r>
          </w:p>
        </w:tc>
        <w:tc>
          <w:tcPr>
            <w:tcW w:w="763" w:type="dxa"/>
            <w:tcMar>
              <w:top w:w="0" w:type="dxa"/>
              <w:left w:w="0" w:type="dxa"/>
              <w:bottom w:w="0" w:type="dxa"/>
              <w:right w:w="0" w:type="dxa"/>
            </w:tcMar>
            <w:vAlign w:val="center"/>
          </w:tcPr>
          <w:p w14:paraId="16B6D84F"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26FFC024" w14:textId="77777777" w:rsidTr="00E1203E">
        <w:trPr>
          <w:trHeight w:val="800"/>
        </w:trPr>
        <w:tc>
          <w:tcPr>
            <w:tcW w:w="490" w:type="dxa"/>
            <w:vAlign w:val="center"/>
          </w:tcPr>
          <w:p w14:paraId="12EBA53D"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3</w:t>
            </w:r>
          </w:p>
        </w:tc>
        <w:tc>
          <w:tcPr>
            <w:tcW w:w="1694" w:type="dxa"/>
            <w:vAlign w:val="center"/>
          </w:tcPr>
          <w:p w14:paraId="752EC93B"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上海艾方资产管理有限公司</w:t>
            </w:r>
          </w:p>
        </w:tc>
        <w:tc>
          <w:tcPr>
            <w:tcW w:w="2150" w:type="dxa"/>
            <w:vAlign w:val="center"/>
          </w:tcPr>
          <w:p w14:paraId="1EEAE5DB"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上海艾方资产管理有限公司－艾方金科1号私募证券投资基金</w:t>
            </w:r>
          </w:p>
        </w:tc>
        <w:tc>
          <w:tcPr>
            <w:tcW w:w="1116" w:type="dxa"/>
            <w:vAlign w:val="center"/>
          </w:tcPr>
          <w:p w14:paraId="3480BB21"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13,774,104</w:t>
            </w:r>
          </w:p>
        </w:tc>
        <w:tc>
          <w:tcPr>
            <w:tcW w:w="1354" w:type="dxa"/>
            <w:vAlign w:val="center"/>
          </w:tcPr>
          <w:p w14:paraId="4997C026"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2.23</w:t>
            </w:r>
          </w:p>
        </w:tc>
        <w:tc>
          <w:tcPr>
            <w:tcW w:w="1080" w:type="dxa"/>
            <w:tcMar>
              <w:top w:w="0" w:type="dxa"/>
              <w:left w:w="0" w:type="dxa"/>
              <w:bottom w:w="0" w:type="dxa"/>
              <w:right w:w="0" w:type="dxa"/>
            </w:tcMar>
            <w:vAlign w:val="center"/>
          </w:tcPr>
          <w:p w14:paraId="5DB33F81"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13,774,104</w:t>
            </w:r>
          </w:p>
        </w:tc>
        <w:tc>
          <w:tcPr>
            <w:tcW w:w="763" w:type="dxa"/>
            <w:tcMar>
              <w:top w:w="0" w:type="dxa"/>
              <w:left w:w="0" w:type="dxa"/>
              <w:bottom w:w="0" w:type="dxa"/>
              <w:right w:w="0" w:type="dxa"/>
            </w:tcMar>
            <w:vAlign w:val="center"/>
          </w:tcPr>
          <w:p w14:paraId="40981F90"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0A749D86" w14:textId="77777777" w:rsidTr="00E1203E">
        <w:trPr>
          <w:trHeight w:val="810"/>
        </w:trPr>
        <w:tc>
          <w:tcPr>
            <w:tcW w:w="490" w:type="dxa"/>
            <w:vMerge w:val="restart"/>
            <w:vAlign w:val="center"/>
          </w:tcPr>
          <w:p w14:paraId="3C7ADCFA"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4</w:t>
            </w:r>
          </w:p>
        </w:tc>
        <w:tc>
          <w:tcPr>
            <w:tcW w:w="1694" w:type="dxa"/>
            <w:vMerge w:val="restart"/>
            <w:vAlign w:val="center"/>
          </w:tcPr>
          <w:p w14:paraId="507C29A0"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kern w:val="0"/>
                <w:sz w:val="18"/>
                <w:szCs w:val="18"/>
              </w:rPr>
              <w:t>朱雀基金管理有限公司</w:t>
            </w:r>
          </w:p>
        </w:tc>
        <w:tc>
          <w:tcPr>
            <w:tcW w:w="2150" w:type="dxa"/>
            <w:vAlign w:val="center"/>
          </w:tcPr>
          <w:p w14:paraId="4655D1EA"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招商银行股份有限公司－朱雀产业臻选混合型证券投资基金</w:t>
            </w:r>
          </w:p>
        </w:tc>
        <w:tc>
          <w:tcPr>
            <w:tcW w:w="1116" w:type="dxa"/>
            <w:vAlign w:val="center"/>
          </w:tcPr>
          <w:p w14:paraId="6562E256"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2,754,821</w:t>
            </w:r>
          </w:p>
        </w:tc>
        <w:tc>
          <w:tcPr>
            <w:tcW w:w="1354" w:type="dxa"/>
            <w:vAlign w:val="center"/>
          </w:tcPr>
          <w:p w14:paraId="1D91DF6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0.45</w:t>
            </w:r>
          </w:p>
        </w:tc>
        <w:tc>
          <w:tcPr>
            <w:tcW w:w="1080" w:type="dxa"/>
            <w:tcMar>
              <w:top w:w="0" w:type="dxa"/>
              <w:left w:w="0" w:type="dxa"/>
              <w:bottom w:w="0" w:type="dxa"/>
              <w:right w:w="0" w:type="dxa"/>
            </w:tcMar>
            <w:vAlign w:val="center"/>
          </w:tcPr>
          <w:p w14:paraId="003423F3"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2,754,821</w:t>
            </w:r>
          </w:p>
        </w:tc>
        <w:tc>
          <w:tcPr>
            <w:tcW w:w="763" w:type="dxa"/>
            <w:tcMar>
              <w:top w:w="0" w:type="dxa"/>
              <w:left w:w="0" w:type="dxa"/>
              <w:bottom w:w="0" w:type="dxa"/>
              <w:right w:w="0" w:type="dxa"/>
            </w:tcMar>
            <w:vAlign w:val="center"/>
          </w:tcPr>
          <w:p w14:paraId="6B53D739"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06C54D1E" w14:textId="77777777" w:rsidTr="00E1203E">
        <w:trPr>
          <w:trHeight w:val="810"/>
        </w:trPr>
        <w:tc>
          <w:tcPr>
            <w:tcW w:w="490" w:type="dxa"/>
            <w:vMerge/>
            <w:vAlign w:val="center"/>
          </w:tcPr>
          <w:p w14:paraId="36CBCA43"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431B491A"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08D03F58"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广发证券股份有限公司－朱雀企业优选股票型证券投资基金</w:t>
            </w:r>
          </w:p>
        </w:tc>
        <w:tc>
          <w:tcPr>
            <w:tcW w:w="1116" w:type="dxa"/>
            <w:vAlign w:val="center"/>
          </w:tcPr>
          <w:p w14:paraId="7513C26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2,203,857</w:t>
            </w:r>
          </w:p>
        </w:tc>
        <w:tc>
          <w:tcPr>
            <w:tcW w:w="1354" w:type="dxa"/>
            <w:vAlign w:val="center"/>
          </w:tcPr>
          <w:p w14:paraId="1215EBA5"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0.36</w:t>
            </w:r>
          </w:p>
        </w:tc>
        <w:tc>
          <w:tcPr>
            <w:tcW w:w="1080" w:type="dxa"/>
            <w:tcMar>
              <w:top w:w="0" w:type="dxa"/>
              <w:left w:w="0" w:type="dxa"/>
              <w:bottom w:w="0" w:type="dxa"/>
              <w:right w:w="0" w:type="dxa"/>
            </w:tcMar>
            <w:vAlign w:val="center"/>
          </w:tcPr>
          <w:p w14:paraId="6DFDE71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2,203,857</w:t>
            </w:r>
          </w:p>
        </w:tc>
        <w:tc>
          <w:tcPr>
            <w:tcW w:w="763" w:type="dxa"/>
            <w:tcMar>
              <w:top w:w="0" w:type="dxa"/>
              <w:left w:w="0" w:type="dxa"/>
              <w:bottom w:w="0" w:type="dxa"/>
              <w:right w:w="0" w:type="dxa"/>
            </w:tcMar>
            <w:vAlign w:val="center"/>
          </w:tcPr>
          <w:p w14:paraId="40974881"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73722560" w14:textId="77777777" w:rsidTr="00E1203E">
        <w:trPr>
          <w:trHeight w:val="810"/>
        </w:trPr>
        <w:tc>
          <w:tcPr>
            <w:tcW w:w="490" w:type="dxa"/>
            <w:vMerge/>
            <w:vAlign w:val="center"/>
          </w:tcPr>
          <w:p w14:paraId="5A2C199D"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68DF9232"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63F87329"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平安银行股份有限公司－朱雀企业优胜股票型证券投资基金</w:t>
            </w:r>
          </w:p>
        </w:tc>
        <w:tc>
          <w:tcPr>
            <w:tcW w:w="1116" w:type="dxa"/>
            <w:vAlign w:val="center"/>
          </w:tcPr>
          <w:p w14:paraId="4D66D46B"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550,964</w:t>
            </w:r>
          </w:p>
        </w:tc>
        <w:tc>
          <w:tcPr>
            <w:tcW w:w="1354" w:type="dxa"/>
            <w:vAlign w:val="center"/>
          </w:tcPr>
          <w:p w14:paraId="7CEFF59E"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0.09</w:t>
            </w:r>
          </w:p>
        </w:tc>
        <w:tc>
          <w:tcPr>
            <w:tcW w:w="1080" w:type="dxa"/>
            <w:tcMar>
              <w:top w:w="0" w:type="dxa"/>
              <w:left w:w="0" w:type="dxa"/>
              <w:bottom w:w="0" w:type="dxa"/>
              <w:right w:w="0" w:type="dxa"/>
            </w:tcMar>
            <w:vAlign w:val="center"/>
          </w:tcPr>
          <w:p w14:paraId="1CAEAC0E"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550,964</w:t>
            </w:r>
          </w:p>
        </w:tc>
        <w:tc>
          <w:tcPr>
            <w:tcW w:w="763" w:type="dxa"/>
            <w:tcMar>
              <w:top w:w="0" w:type="dxa"/>
              <w:left w:w="0" w:type="dxa"/>
              <w:bottom w:w="0" w:type="dxa"/>
              <w:right w:w="0" w:type="dxa"/>
            </w:tcMar>
            <w:vAlign w:val="center"/>
          </w:tcPr>
          <w:p w14:paraId="740B6016"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63FA1354" w14:textId="77777777" w:rsidTr="00E1203E">
        <w:trPr>
          <w:trHeight w:val="810"/>
        </w:trPr>
        <w:tc>
          <w:tcPr>
            <w:tcW w:w="490" w:type="dxa"/>
            <w:vMerge/>
            <w:vAlign w:val="center"/>
          </w:tcPr>
          <w:p w14:paraId="7D10B79A"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05608629"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63078612" w14:textId="77777777" w:rsidR="00F8698B" w:rsidRDefault="002A6C1A" w:rsidP="00E1203E">
            <w:pPr>
              <w:spacing w:line="276" w:lineRule="auto"/>
              <w:ind w:firstLineChars="0" w:firstLine="0"/>
              <w:jc w:val="center"/>
              <w:rPr>
                <w:rFonts w:ascii="宋体" w:hAnsi="宋体"/>
                <w:color w:val="000000"/>
                <w:kern w:val="0"/>
                <w:sz w:val="18"/>
                <w:szCs w:val="18"/>
              </w:rPr>
            </w:pPr>
            <w:r>
              <w:rPr>
                <w:rFonts w:ascii="宋体" w:hAnsi="宋体" w:hint="eastAsia"/>
                <w:color w:val="000000"/>
                <w:kern w:val="0"/>
                <w:sz w:val="18"/>
                <w:szCs w:val="18"/>
              </w:rPr>
              <w:t>朱雀基金－西部信托·陕煤－朱雀新材料产业投资单一资金信托－陕煤朱雀新材料产业资产管理计划</w:t>
            </w:r>
          </w:p>
        </w:tc>
        <w:tc>
          <w:tcPr>
            <w:tcW w:w="1116" w:type="dxa"/>
            <w:vAlign w:val="center"/>
          </w:tcPr>
          <w:p w14:paraId="32AF3CB4" w14:textId="77777777" w:rsidR="00F8698B" w:rsidRDefault="002A6C1A" w:rsidP="0012241C">
            <w:pPr>
              <w:spacing w:line="276" w:lineRule="auto"/>
              <w:ind w:firstLineChars="0" w:firstLine="0"/>
              <w:jc w:val="right"/>
              <w:rPr>
                <w:rFonts w:ascii="Arial Narrow" w:hAnsi="Arial Narrow"/>
                <w:color w:val="000000"/>
                <w:kern w:val="0"/>
                <w:sz w:val="18"/>
                <w:szCs w:val="18"/>
              </w:rPr>
            </w:pPr>
            <w:r>
              <w:rPr>
                <w:rFonts w:ascii="Arial Narrow" w:hAnsi="Arial Narrow"/>
                <w:color w:val="000000"/>
                <w:kern w:val="0"/>
                <w:sz w:val="18"/>
                <w:szCs w:val="18"/>
              </w:rPr>
              <w:t>1,377,410</w:t>
            </w:r>
          </w:p>
        </w:tc>
        <w:tc>
          <w:tcPr>
            <w:tcW w:w="1354" w:type="dxa"/>
            <w:vAlign w:val="center"/>
          </w:tcPr>
          <w:p w14:paraId="07B888E8"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0.22</w:t>
            </w:r>
          </w:p>
        </w:tc>
        <w:tc>
          <w:tcPr>
            <w:tcW w:w="1080" w:type="dxa"/>
            <w:tcMar>
              <w:top w:w="0" w:type="dxa"/>
              <w:left w:w="0" w:type="dxa"/>
              <w:bottom w:w="0" w:type="dxa"/>
              <w:right w:w="0" w:type="dxa"/>
            </w:tcMar>
            <w:vAlign w:val="center"/>
          </w:tcPr>
          <w:p w14:paraId="4D68D2A5" w14:textId="77777777" w:rsidR="00F8698B" w:rsidRDefault="002A6C1A" w:rsidP="0012241C">
            <w:pPr>
              <w:spacing w:line="276" w:lineRule="auto"/>
              <w:ind w:firstLineChars="0" w:firstLine="0"/>
              <w:jc w:val="right"/>
              <w:rPr>
                <w:rFonts w:ascii="Arial Narrow" w:hAnsi="Arial Narrow"/>
                <w:color w:val="000000"/>
                <w:kern w:val="0"/>
                <w:sz w:val="18"/>
                <w:szCs w:val="18"/>
              </w:rPr>
            </w:pPr>
            <w:r>
              <w:rPr>
                <w:rFonts w:ascii="Arial Narrow" w:hAnsi="Arial Narrow"/>
                <w:color w:val="000000"/>
                <w:kern w:val="0"/>
                <w:sz w:val="18"/>
                <w:szCs w:val="18"/>
              </w:rPr>
              <w:t>1,377,410</w:t>
            </w:r>
          </w:p>
        </w:tc>
        <w:tc>
          <w:tcPr>
            <w:tcW w:w="763" w:type="dxa"/>
            <w:tcMar>
              <w:top w:w="0" w:type="dxa"/>
              <w:left w:w="0" w:type="dxa"/>
              <w:bottom w:w="0" w:type="dxa"/>
              <w:right w:w="0" w:type="dxa"/>
            </w:tcMar>
            <w:vAlign w:val="center"/>
          </w:tcPr>
          <w:p w14:paraId="4965DDC8"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66225F54" w14:textId="77777777" w:rsidTr="00E1203E">
        <w:trPr>
          <w:trHeight w:val="1340"/>
        </w:trPr>
        <w:tc>
          <w:tcPr>
            <w:tcW w:w="490" w:type="dxa"/>
            <w:vAlign w:val="center"/>
          </w:tcPr>
          <w:p w14:paraId="0BC456E9"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5</w:t>
            </w:r>
          </w:p>
        </w:tc>
        <w:tc>
          <w:tcPr>
            <w:tcW w:w="1694" w:type="dxa"/>
            <w:vAlign w:val="center"/>
          </w:tcPr>
          <w:p w14:paraId="0646D083"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kern w:val="0"/>
                <w:sz w:val="18"/>
                <w:szCs w:val="18"/>
              </w:rPr>
              <w:t>诺德基金管理有限公司</w:t>
            </w:r>
          </w:p>
        </w:tc>
        <w:tc>
          <w:tcPr>
            <w:tcW w:w="2150" w:type="dxa"/>
            <w:vAlign w:val="center"/>
          </w:tcPr>
          <w:p w14:paraId="65B9D6FA"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诺德基金－嘉兴城镜陆号股权投资合伙企业（有限合伙）－诺德基金浦江杭州城投资管2号单一资产管理计划</w:t>
            </w:r>
          </w:p>
        </w:tc>
        <w:tc>
          <w:tcPr>
            <w:tcW w:w="1116" w:type="dxa"/>
            <w:vAlign w:val="center"/>
          </w:tcPr>
          <w:p w14:paraId="2579272A"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8,236,914</w:t>
            </w:r>
          </w:p>
        </w:tc>
        <w:tc>
          <w:tcPr>
            <w:tcW w:w="1354" w:type="dxa"/>
            <w:vAlign w:val="center"/>
          </w:tcPr>
          <w:p w14:paraId="33E030C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1.33</w:t>
            </w:r>
          </w:p>
        </w:tc>
        <w:tc>
          <w:tcPr>
            <w:tcW w:w="1080" w:type="dxa"/>
            <w:tcMar>
              <w:top w:w="0" w:type="dxa"/>
              <w:left w:w="0" w:type="dxa"/>
              <w:bottom w:w="0" w:type="dxa"/>
              <w:right w:w="0" w:type="dxa"/>
            </w:tcMar>
            <w:vAlign w:val="center"/>
          </w:tcPr>
          <w:p w14:paraId="3ABC16D0"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8,236,914</w:t>
            </w:r>
          </w:p>
        </w:tc>
        <w:tc>
          <w:tcPr>
            <w:tcW w:w="763" w:type="dxa"/>
            <w:tcMar>
              <w:top w:w="0" w:type="dxa"/>
              <w:left w:w="0" w:type="dxa"/>
              <w:bottom w:w="0" w:type="dxa"/>
              <w:right w:w="0" w:type="dxa"/>
            </w:tcMar>
            <w:vAlign w:val="center"/>
          </w:tcPr>
          <w:p w14:paraId="5CC3FF34"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25716B59" w14:textId="77777777" w:rsidTr="00E1203E">
        <w:trPr>
          <w:trHeight w:val="810"/>
        </w:trPr>
        <w:tc>
          <w:tcPr>
            <w:tcW w:w="490" w:type="dxa"/>
            <w:vAlign w:val="center"/>
          </w:tcPr>
          <w:p w14:paraId="4FB019DE"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6</w:t>
            </w:r>
          </w:p>
        </w:tc>
        <w:tc>
          <w:tcPr>
            <w:tcW w:w="1694" w:type="dxa"/>
            <w:vAlign w:val="center"/>
          </w:tcPr>
          <w:p w14:paraId="31DD3942"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kern w:val="0"/>
                <w:sz w:val="18"/>
                <w:szCs w:val="18"/>
              </w:rPr>
              <w:t>杭州炬元资产管理有限公司</w:t>
            </w:r>
          </w:p>
        </w:tc>
        <w:tc>
          <w:tcPr>
            <w:tcW w:w="2150" w:type="dxa"/>
            <w:vAlign w:val="center"/>
          </w:tcPr>
          <w:p w14:paraId="0EEA6A21"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杭州炬元资产管理有限公司－炬元聚瑞一号私募基金</w:t>
            </w:r>
          </w:p>
        </w:tc>
        <w:tc>
          <w:tcPr>
            <w:tcW w:w="1116" w:type="dxa"/>
            <w:vAlign w:val="center"/>
          </w:tcPr>
          <w:p w14:paraId="51F61C99"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13,774,104</w:t>
            </w:r>
          </w:p>
        </w:tc>
        <w:tc>
          <w:tcPr>
            <w:tcW w:w="1354" w:type="dxa"/>
            <w:vAlign w:val="center"/>
          </w:tcPr>
          <w:p w14:paraId="69B404A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2.23</w:t>
            </w:r>
          </w:p>
        </w:tc>
        <w:tc>
          <w:tcPr>
            <w:tcW w:w="1080" w:type="dxa"/>
            <w:tcMar>
              <w:top w:w="0" w:type="dxa"/>
              <w:left w:w="0" w:type="dxa"/>
              <w:bottom w:w="0" w:type="dxa"/>
              <w:right w:w="0" w:type="dxa"/>
            </w:tcMar>
            <w:vAlign w:val="center"/>
          </w:tcPr>
          <w:p w14:paraId="3A236A29"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13,774,104</w:t>
            </w:r>
          </w:p>
        </w:tc>
        <w:tc>
          <w:tcPr>
            <w:tcW w:w="763" w:type="dxa"/>
            <w:tcMar>
              <w:top w:w="0" w:type="dxa"/>
              <w:left w:w="0" w:type="dxa"/>
              <w:bottom w:w="0" w:type="dxa"/>
              <w:right w:w="0" w:type="dxa"/>
            </w:tcMar>
            <w:vAlign w:val="center"/>
          </w:tcPr>
          <w:p w14:paraId="7BAC8B85"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309F2EDB" w14:textId="77777777" w:rsidTr="00E1203E">
        <w:trPr>
          <w:trHeight w:val="810"/>
        </w:trPr>
        <w:tc>
          <w:tcPr>
            <w:tcW w:w="490" w:type="dxa"/>
            <w:vMerge w:val="restart"/>
            <w:vAlign w:val="center"/>
          </w:tcPr>
          <w:p w14:paraId="0B2FFCE4"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7</w:t>
            </w:r>
          </w:p>
        </w:tc>
        <w:tc>
          <w:tcPr>
            <w:tcW w:w="1694" w:type="dxa"/>
            <w:vMerge w:val="restart"/>
            <w:vAlign w:val="center"/>
          </w:tcPr>
          <w:p w14:paraId="4B057C3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kern w:val="0"/>
                <w:sz w:val="18"/>
                <w:szCs w:val="18"/>
              </w:rPr>
              <w:t>财通基金管理有限公司</w:t>
            </w:r>
          </w:p>
        </w:tc>
        <w:tc>
          <w:tcPr>
            <w:tcW w:w="2150" w:type="dxa"/>
            <w:vAlign w:val="center"/>
          </w:tcPr>
          <w:p w14:paraId="2C7B051A"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财通基金－东兴证券股份有限公司－财通基金东兴1号单一资产管理</w:t>
            </w:r>
            <w:r>
              <w:rPr>
                <w:rFonts w:ascii="宋体" w:hAnsi="宋体" w:hint="eastAsia"/>
                <w:color w:val="000000"/>
                <w:kern w:val="0"/>
                <w:sz w:val="18"/>
                <w:szCs w:val="18"/>
              </w:rPr>
              <w:lastRenderedPageBreak/>
              <w:t>计划</w:t>
            </w:r>
          </w:p>
        </w:tc>
        <w:tc>
          <w:tcPr>
            <w:tcW w:w="1116" w:type="dxa"/>
            <w:vAlign w:val="center"/>
          </w:tcPr>
          <w:p w14:paraId="067F75FD" w14:textId="1D6059E5"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lastRenderedPageBreak/>
              <w:t>275,482</w:t>
            </w:r>
          </w:p>
        </w:tc>
        <w:tc>
          <w:tcPr>
            <w:tcW w:w="1354" w:type="dxa"/>
            <w:vAlign w:val="center"/>
          </w:tcPr>
          <w:p w14:paraId="62DE1F95"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0.04</w:t>
            </w:r>
          </w:p>
        </w:tc>
        <w:tc>
          <w:tcPr>
            <w:tcW w:w="1080" w:type="dxa"/>
            <w:tcMar>
              <w:top w:w="0" w:type="dxa"/>
              <w:left w:w="0" w:type="dxa"/>
              <w:bottom w:w="0" w:type="dxa"/>
              <w:right w:w="0" w:type="dxa"/>
            </w:tcMar>
            <w:vAlign w:val="center"/>
          </w:tcPr>
          <w:p w14:paraId="7E6E8B90" w14:textId="353953F9"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275,482</w:t>
            </w:r>
          </w:p>
        </w:tc>
        <w:tc>
          <w:tcPr>
            <w:tcW w:w="763" w:type="dxa"/>
            <w:tcMar>
              <w:top w:w="0" w:type="dxa"/>
              <w:left w:w="0" w:type="dxa"/>
              <w:bottom w:w="0" w:type="dxa"/>
              <w:right w:w="0" w:type="dxa"/>
            </w:tcMar>
            <w:vAlign w:val="center"/>
          </w:tcPr>
          <w:p w14:paraId="71ED1DDA"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280C0889" w14:textId="77777777" w:rsidTr="00E1203E">
        <w:trPr>
          <w:trHeight w:val="1080"/>
        </w:trPr>
        <w:tc>
          <w:tcPr>
            <w:tcW w:w="490" w:type="dxa"/>
            <w:vMerge/>
            <w:vAlign w:val="center"/>
          </w:tcPr>
          <w:p w14:paraId="65D5485F"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424642EC"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1C822C7B"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财通基金－湖南日报优选定增1号私募证券投资基金－财通基金湘报优选1号单一资产管理计划</w:t>
            </w:r>
          </w:p>
        </w:tc>
        <w:tc>
          <w:tcPr>
            <w:tcW w:w="1116" w:type="dxa"/>
            <w:vAlign w:val="center"/>
          </w:tcPr>
          <w:p w14:paraId="48F12EDE" w14:textId="14655E64"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275,482</w:t>
            </w:r>
          </w:p>
        </w:tc>
        <w:tc>
          <w:tcPr>
            <w:tcW w:w="1354" w:type="dxa"/>
            <w:vAlign w:val="center"/>
          </w:tcPr>
          <w:p w14:paraId="679FDFBA"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0.04</w:t>
            </w:r>
          </w:p>
        </w:tc>
        <w:tc>
          <w:tcPr>
            <w:tcW w:w="1080" w:type="dxa"/>
            <w:tcMar>
              <w:top w:w="0" w:type="dxa"/>
              <w:left w:w="0" w:type="dxa"/>
              <w:bottom w:w="0" w:type="dxa"/>
              <w:right w:w="0" w:type="dxa"/>
            </w:tcMar>
            <w:vAlign w:val="center"/>
          </w:tcPr>
          <w:p w14:paraId="7B56BDAE" w14:textId="73573B1D"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275,482</w:t>
            </w:r>
          </w:p>
        </w:tc>
        <w:tc>
          <w:tcPr>
            <w:tcW w:w="763" w:type="dxa"/>
            <w:tcMar>
              <w:top w:w="0" w:type="dxa"/>
              <w:left w:w="0" w:type="dxa"/>
              <w:bottom w:w="0" w:type="dxa"/>
              <w:right w:w="0" w:type="dxa"/>
            </w:tcMar>
            <w:vAlign w:val="center"/>
          </w:tcPr>
          <w:p w14:paraId="49B7B79E"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1EDB987A" w14:textId="77777777" w:rsidTr="00E1203E">
        <w:trPr>
          <w:trHeight w:val="1080"/>
        </w:trPr>
        <w:tc>
          <w:tcPr>
            <w:tcW w:w="490" w:type="dxa"/>
            <w:vMerge/>
            <w:vAlign w:val="center"/>
          </w:tcPr>
          <w:p w14:paraId="70B024F7"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30871696"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497A3FE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财通基金－济海财通慧智6号私募证券投资基金－财通基金玉泉慧智6号单一资产管理计划</w:t>
            </w:r>
          </w:p>
        </w:tc>
        <w:tc>
          <w:tcPr>
            <w:tcW w:w="1116" w:type="dxa"/>
            <w:vAlign w:val="center"/>
          </w:tcPr>
          <w:p w14:paraId="71F2385D"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w:t>
            </w:r>
          </w:p>
        </w:tc>
        <w:tc>
          <w:tcPr>
            <w:tcW w:w="1354" w:type="dxa"/>
            <w:vAlign w:val="center"/>
          </w:tcPr>
          <w:p w14:paraId="74693182"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0.02</w:t>
            </w:r>
          </w:p>
        </w:tc>
        <w:tc>
          <w:tcPr>
            <w:tcW w:w="1080" w:type="dxa"/>
            <w:tcMar>
              <w:top w:w="0" w:type="dxa"/>
              <w:left w:w="0" w:type="dxa"/>
              <w:bottom w:w="0" w:type="dxa"/>
              <w:right w:w="0" w:type="dxa"/>
            </w:tcMar>
            <w:vAlign w:val="center"/>
          </w:tcPr>
          <w:p w14:paraId="029D2D75" w14:textId="7483C88F"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w:t>
            </w:r>
          </w:p>
        </w:tc>
        <w:tc>
          <w:tcPr>
            <w:tcW w:w="763" w:type="dxa"/>
            <w:tcMar>
              <w:top w:w="0" w:type="dxa"/>
              <w:left w:w="0" w:type="dxa"/>
              <w:bottom w:w="0" w:type="dxa"/>
              <w:right w:w="0" w:type="dxa"/>
            </w:tcMar>
            <w:vAlign w:val="center"/>
          </w:tcPr>
          <w:p w14:paraId="62E5A443"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65A96B9C" w14:textId="77777777" w:rsidTr="00E1203E">
        <w:trPr>
          <w:trHeight w:val="1090"/>
        </w:trPr>
        <w:tc>
          <w:tcPr>
            <w:tcW w:w="490" w:type="dxa"/>
            <w:vMerge/>
            <w:vAlign w:val="center"/>
          </w:tcPr>
          <w:p w14:paraId="69754DA5"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54309E2A"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68308853"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财通基金－财通证券资管智选FOF2020001号单一资产管理计划－财通基金君享悦熙单一资产管理计划</w:t>
            </w:r>
          </w:p>
        </w:tc>
        <w:tc>
          <w:tcPr>
            <w:tcW w:w="1116" w:type="dxa"/>
            <w:vAlign w:val="center"/>
          </w:tcPr>
          <w:p w14:paraId="28EAB48A"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330,578</w:t>
            </w:r>
          </w:p>
        </w:tc>
        <w:tc>
          <w:tcPr>
            <w:tcW w:w="1354" w:type="dxa"/>
            <w:vAlign w:val="center"/>
          </w:tcPr>
          <w:p w14:paraId="4F1CEA8C"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0.05</w:t>
            </w:r>
          </w:p>
        </w:tc>
        <w:tc>
          <w:tcPr>
            <w:tcW w:w="1080" w:type="dxa"/>
            <w:tcMar>
              <w:top w:w="0" w:type="dxa"/>
              <w:left w:w="0" w:type="dxa"/>
              <w:bottom w:w="0" w:type="dxa"/>
              <w:right w:w="0" w:type="dxa"/>
            </w:tcMar>
            <w:vAlign w:val="center"/>
          </w:tcPr>
          <w:p w14:paraId="235EE39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330,578</w:t>
            </w:r>
          </w:p>
        </w:tc>
        <w:tc>
          <w:tcPr>
            <w:tcW w:w="763" w:type="dxa"/>
            <w:tcMar>
              <w:top w:w="0" w:type="dxa"/>
              <w:left w:w="0" w:type="dxa"/>
              <w:bottom w:w="0" w:type="dxa"/>
              <w:right w:w="0" w:type="dxa"/>
            </w:tcMar>
            <w:vAlign w:val="center"/>
          </w:tcPr>
          <w:p w14:paraId="0A4DCC75"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2A1FF02F" w14:textId="77777777" w:rsidTr="00E1203E">
        <w:trPr>
          <w:trHeight w:val="1080"/>
        </w:trPr>
        <w:tc>
          <w:tcPr>
            <w:tcW w:w="490" w:type="dxa"/>
            <w:vMerge/>
            <w:vAlign w:val="center"/>
          </w:tcPr>
          <w:p w14:paraId="2F9227F9" w14:textId="77777777" w:rsidR="00F8698B" w:rsidRDefault="00F8698B" w:rsidP="00E1203E">
            <w:pPr>
              <w:widowControl/>
              <w:ind w:firstLineChars="0" w:firstLine="0"/>
              <w:jc w:val="center"/>
              <w:rPr>
                <w:rFonts w:ascii="宋体" w:hAnsi="宋体"/>
                <w:sz w:val="18"/>
                <w:szCs w:val="18"/>
              </w:rPr>
            </w:pPr>
          </w:p>
        </w:tc>
        <w:tc>
          <w:tcPr>
            <w:tcW w:w="1694" w:type="dxa"/>
            <w:vMerge/>
            <w:vAlign w:val="center"/>
          </w:tcPr>
          <w:p w14:paraId="15144F4E" w14:textId="77777777" w:rsidR="00F8698B" w:rsidRDefault="00F8698B" w:rsidP="00E1203E">
            <w:pPr>
              <w:widowControl/>
              <w:ind w:firstLineChars="0" w:firstLine="0"/>
              <w:jc w:val="center"/>
              <w:rPr>
                <w:rFonts w:ascii="宋体" w:hAnsi="宋体"/>
                <w:sz w:val="18"/>
                <w:szCs w:val="18"/>
              </w:rPr>
            </w:pPr>
          </w:p>
        </w:tc>
        <w:tc>
          <w:tcPr>
            <w:tcW w:w="2150" w:type="dxa"/>
            <w:vAlign w:val="center"/>
          </w:tcPr>
          <w:p w14:paraId="473320A1"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财通基金－中泰证券股份有限公司－财通基金盈泰定增量化对冲1号单一资产管理计划</w:t>
            </w:r>
          </w:p>
        </w:tc>
        <w:tc>
          <w:tcPr>
            <w:tcW w:w="1116" w:type="dxa"/>
            <w:vAlign w:val="center"/>
          </w:tcPr>
          <w:p w14:paraId="0F778A4C"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110,193</w:t>
            </w:r>
          </w:p>
        </w:tc>
        <w:tc>
          <w:tcPr>
            <w:tcW w:w="1354" w:type="dxa"/>
            <w:vAlign w:val="center"/>
          </w:tcPr>
          <w:p w14:paraId="780135DC"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0.02</w:t>
            </w:r>
          </w:p>
        </w:tc>
        <w:tc>
          <w:tcPr>
            <w:tcW w:w="1080" w:type="dxa"/>
            <w:tcMar>
              <w:top w:w="0" w:type="dxa"/>
              <w:left w:w="0" w:type="dxa"/>
              <w:bottom w:w="0" w:type="dxa"/>
              <w:right w:w="0" w:type="dxa"/>
            </w:tcMar>
            <w:vAlign w:val="center"/>
          </w:tcPr>
          <w:p w14:paraId="617C3839" w14:textId="7EB20E0E"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110,193</w:t>
            </w:r>
          </w:p>
        </w:tc>
        <w:tc>
          <w:tcPr>
            <w:tcW w:w="763" w:type="dxa"/>
            <w:tcMar>
              <w:top w:w="0" w:type="dxa"/>
              <w:left w:w="0" w:type="dxa"/>
              <w:bottom w:w="0" w:type="dxa"/>
              <w:right w:w="0" w:type="dxa"/>
            </w:tcMar>
            <w:vAlign w:val="center"/>
          </w:tcPr>
          <w:p w14:paraId="7585D3EC"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71631335" w14:textId="77777777" w:rsidTr="00E1203E">
        <w:trPr>
          <w:trHeight w:val="540"/>
        </w:trPr>
        <w:tc>
          <w:tcPr>
            <w:tcW w:w="490" w:type="dxa"/>
            <w:vAlign w:val="center"/>
          </w:tcPr>
          <w:p w14:paraId="264E00D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8</w:t>
            </w:r>
          </w:p>
        </w:tc>
        <w:tc>
          <w:tcPr>
            <w:tcW w:w="1694" w:type="dxa"/>
            <w:vAlign w:val="center"/>
          </w:tcPr>
          <w:p w14:paraId="1982C95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陕西建工投资管理有限公司</w:t>
            </w:r>
          </w:p>
        </w:tc>
        <w:tc>
          <w:tcPr>
            <w:tcW w:w="2150" w:type="dxa"/>
            <w:vAlign w:val="center"/>
          </w:tcPr>
          <w:p w14:paraId="4972DFE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陕西建工投资管理有限公司</w:t>
            </w:r>
          </w:p>
        </w:tc>
        <w:tc>
          <w:tcPr>
            <w:tcW w:w="1116" w:type="dxa"/>
            <w:vAlign w:val="center"/>
          </w:tcPr>
          <w:p w14:paraId="57047DD4"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6,887,052</w:t>
            </w:r>
          </w:p>
        </w:tc>
        <w:tc>
          <w:tcPr>
            <w:tcW w:w="1354" w:type="dxa"/>
            <w:vAlign w:val="center"/>
          </w:tcPr>
          <w:p w14:paraId="625C10D8"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1.11</w:t>
            </w:r>
          </w:p>
        </w:tc>
        <w:tc>
          <w:tcPr>
            <w:tcW w:w="1080" w:type="dxa"/>
            <w:tcMar>
              <w:top w:w="0" w:type="dxa"/>
              <w:left w:w="0" w:type="dxa"/>
              <w:bottom w:w="0" w:type="dxa"/>
              <w:right w:w="0" w:type="dxa"/>
            </w:tcMar>
            <w:vAlign w:val="center"/>
          </w:tcPr>
          <w:p w14:paraId="00FF1EB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6,887,052</w:t>
            </w:r>
          </w:p>
        </w:tc>
        <w:tc>
          <w:tcPr>
            <w:tcW w:w="763" w:type="dxa"/>
            <w:tcMar>
              <w:top w:w="0" w:type="dxa"/>
              <w:left w:w="0" w:type="dxa"/>
              <w:bottom w:w="0" w:type="dxa"/>
              <w:right w:w="0" w:type="dxa"/>
            </w:tcMar>
            <w:vAlign w:val="center"/>
          </w:tcPr>
          <w:p w14:paraId="564A09B4"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4BC71FA8" w14:textId="77777777" w:rsidTr="00E1203E">
        <w:trPr>
          <w:trHeight w:val="800"/>
        </w:trPr>
        <w:tc>
          <w:tcPr>
            <w:tcW w:w="490" w:type="dxa"/>
            <w:vAlign w:val="center"/>
          </w:tcPr>
          <w:p w14:paraId="00E4D53D"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9</w:t>
            </w:r>
          </w:p>
        </w:tc>
        <w:tc>
          <w:tcPr>
            <w:tcW w:w="1694" w:type="dxa"/>
            <w:vAlign w:val="center"/>
          </w:tcPr>
          <w:p w14:paraId="65D537BC"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深圳福鸿达投资管理有限公司</w:t>
            </w:r>
          </w:p>
        </w:tc>
        <w:tc>
          <w:tcPr>
            <w:tcW w:w="2150" w:type="dxa"/>
            <w:vAlign w:val="center"/>
          </w:tcPr>
          <w:p w14:paraId="3FC81871"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深圳福鸿达投资管理有限公司－福鸿达进取1号私募证券投资基金</w:t>
            </w:r>
          </w:p>
        </w:tc>
        <w:tc>
          <w:tcPr>
            <w:tcW w:w="1116" w:type="dxa"/>
            <w:vAlign w:val="center"/>
          </w:tcPr>
          <w:p w14:paraId="7A5E70A1"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2,128,099</w:t>
            </w:r>
          </w:p>
        </w:tc>
        <w:tc>
          <w:tcPr>
            <w:tcW w:w="1354" w:type="dxa"/>
            <w:vAlign w:val="center"/>
          </w:tcPr>
          <w:p w14:paraId="1413B891"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0.34</w:t>
            </w:r>
          </w:p>
        </w:tc>
        <w:tc>
          <w:tcPr>
            <w:tcW w:w="1080" w:type="dxa"/>
            <w:tcMar>
              <w:top w:w="0" w:type="dxa"/>
              <w:left w:w="0" w:type="dxa"/>
              <w:bottom w:w="0" w:type="dxa"/>
              <w:right w:w="0" w:type="dxa"/>
            </w:tcMar>
            <w:vAlign w:val="center"/>
          </w:tcPr>
          <w:p w14:paraId="539C51B1"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2,128,099</w:t>
            </w:r>
          </w:p>
        </w:tc>
        <w:tc>
          <w:tcPr>
            <w:tcW w:w="763" w:type="dxa"/>
            <w:tcMar>
              <w:top w:w="0" w:type="dxa"/>
              <w:left w:w="0" w:type="dxa"/>
              <w:bottom w:w="0" w:type="dxa"/>
              <w:right w:w="0" w:type="dxa"/>
            </w:tcMar>
            <w:vAlign w:val="center"/>
          </w:tcPr>
          <w:p w14:paraId="2EF6C3ED"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1B5EA0C8" w14:textId="77777777" w:rsidTr="00E1203E">
        <w:trPr>
          <w:trHeight w:val="540"/>
        </w:trPr>
        <w:tc>
          <w:tcPr>
            <w:tcW w:w="490" w:type="dxa"/>
            <w:vAlign w:val="center"/>
          </w:tcPr>
          <w:p w14:paraId="3116519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10</w:t>
            </w:r>
          </w:p>
        </w:tc>
        <w:tc>
          <w:tcPr>
            <w:tcW w:w="1694" w:type="dxa"/>
            <w:vAlign w:val="center"/>
          </w:tcPr>
          <w:p w14:paraId="4044D45D"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上海森茏园林工程有限公司</w:t>
            </w:r>
          </w:p>
        </w:tc>
        <w:tc>
          <w:tcPr>
            <w:tcW w:w="2150" w:type="dxa"/>
            <w:vAlign w:val="center"/>
          </w:tcPr>
          <w:p w14:paraId="2B93CAB4"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上海森茏园林工程有限公司</w:t>
            </w:r>
          </w:p>
        </w:tc>
        <w:tc>
          <w:tcPr>
            <w:tcW w:w="1116" w:type="dxa"/>
            <w:vAlign w:val="center"/>
          </w:tcPr>
          <w:p w14:paraId="5FD429D7"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4,820,936</w:t>
            </w:r>
          </w:p>
        </w:tc>
        <w:tc>
          <w:tcPr>
            <w:tcW w:w="1354" w:type="dxa"/>
            <w:vAlign w:val="center"/>
          </w:tcPr>
          <w:p w14:paraId="6955FDC3"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0.78</w:t>
            </w:r>
          </w:p>
        </w:tc>
        <w:tc>
          <w:tcPr>
            <w:tcW w:w="1080" w:type="dxa"/>
            <w:tcMar>
              <w:top w:w="0" w:type="dxa"/>
              <w:left w:w="0" w:type="dxa"/>
              <w:bottom w:w="0" w:type="dxa"/>
              <w:right w:w="0" w:type="dxa"/>
            </w:tcMar>
            <w:vAlign w:val="center"/>
          </w:tcPr>
          <w:p w14:paraId="22F507D2"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4,820,936</w:t>
            </w:r>
          </w:p>
        </w:tc>
        <w:tc>
          <w:tcPr>
            <w:tcW w:w="763" w:type="dxa"/>
            <w:tcMar>
              <w:top w:w="0" w:type="dxa"/>
              <w:left w:w="0" w:type="dxa"/>
              <w:bottom w:w="0" w:type="dxa"/>
              <w:right w:w="0" w:type="dxa"/>
            </w:tcMar>
            <w:vAlign w:val="center"/>
          </w:tcPr>
          <w:p w14:paraId="2D39BEEF"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3A5FD5FB" w14:textId="77777777" w:rsidTr="00E1203E">
        <w:trPr>
          <w:trHeight w:val="270"/>
        </w:trPr>
        <w:tc>
          <w:tcPr>
            <w:tcW w:w="490" w:type="dxa"/>
            <w:vAlign w:val="center"/>
          </w:tcPr>
          <w:p w14:paraId="184AD6D9"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11</w:t>
            </w:r>
          </w:p>
        </w:tc>
        <w:tc>
          <w:tcPr>
            <w:tcW w:w="1694" w:type="dxa"/>
            <w:vAlign w:val="center"/>
          </w:tcPr>
          <w:p w14:paraId="0A211389"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张和生</w:t>
            </w:r>
          </w:p>
        </w:tc>
        <w:tc>
          <w:tcPr>
            <w:tcW w:w="2150" w:type="dxa"/>
            <w:vAlign w:val="center"/>
          </w:tcPr>
          <w:p w14:paraId="31F713EF"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张和生</w:t>
            </w:r>
          </w:p>
        </w:tc>
        <w:tc>
          <w:tcPr>
            <w:tcW w:w="1116" w:type="dxa"/>
            <w:vAlign w:val="center"/>
          </w:tcPr>
          <w:p w14:paraId="6EC49542"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4,820,936</w:t>
            </w:r>
          </w:p>
        </w:tc>
        <w:tc>
          <w:tcPr>
            <w:tcW w:w="1354" w:type="dxa"/>
            <w:vAlign w:val="center"/>
          </w:tcPr>
          <w:p w14:paraId="069EF23A"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0.78</w:t>
            </w:r>
          </w:p>
        </w:tc>
        <w:tc>
          <w:tcPr>
            <w:tcW w:w="1080" w:type="dxa"/>
            <w:tcMar>
              <w:top w:w="0" w:type="dxa"/>
              <w:left w:w="0" w:type="dxa"/>
              <w:bottom w:w="0" w:type="dxa"/>
              <w:right w:w="0" w:type="dxa"/>
            </w:tcMar>
            <w:vAlign w:val="center"/>
          </w:tcPr>
          <w:p w14:paraId="1ABF4841"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4,820,936</w:t>
            </w:r>
          </w:p>
        </w:tc>
        <w:tc>
          <w:tcPr>
            <w:tcW w:w="763" w:type="dxa"/>
            <w:tcMar>
              <w:top w:w="0" w:type="dxa"/>
              <w:left w:w="0" w:type="dxa"/>
              <w:bottom w:w="0" w:type="dxa"/>
              <w:right w:w="0" w:type="dxa"/>
            </w:tcMar>
            <w:vAlign w:val="center"/>
          </w:tcPr>
          <w:p w14:paraId="3743AD65"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5431E07B" w14:textId="77777777" w:rsidTr="00E1203E">
        <w:trPr>
          <w:trHeight w:val="270"/>
        </w:trPr>
        <w:tc>
          <w:tcPr>
            <w:tcW w:w="490" w:type="dxa"/>
            <w:vAlign w:val="center"/>
          </w:tcPr>
          <w:p w14:paraId="09A0D34E"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12</w:t>
            </w:r>
          </w:p>
        </w:tc>
        <w:tc>
          <w:tcPr>
            <w:tcW w:w="1694" w:type="dxa"/>
            <w:vAlign w:val="center"/>
          </w:tcPr>
          <w:p w14:paraId="79D717FF"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李傲霞</w:t>
            </w:r>
          </w:p>
        </w:tc>
        <w:tc>
          <w:tcPr>
            <w:tcW w:w="2150" w:type="dxa"/>
            <w:vAlign w:val="center"/>
          </w:tcPr>
          <w:p w14:paraId="4BC08879"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李傲霞</w:t>
            </w:r>
          </w:p>
        </w:tc>
        <w:tc>
          <w:tcPr>
            <w:tcW w:w="1116" w:type="dxa"/>
            <w:vAlign w:val="center"/>
          </w:tcPr>
          <w:p w14:paraId="34406718"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6,887,052</w:t>
            </w:r>
          </w:p>
        </w:tc>
        <w:tc>
          <w:tcPr>
            <w:tcW w:w="1354" w:type="dxa"/>
            <w:vAlign w:val="center"/>
          </w:tcPr>
          <w:p w14:paraId="25BFD518"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1.11</w:t>
            </w:r>
          </w:p>
        </w:tc>
        <w:tc>
          <w:tcPr>
            <w:tcW w:w="1080" w:type="dxa"/>
            <w:tcMar>
              <w:top w:w="0" w:type="dxa"/>
              <w:left w:w="0" w:type="dxa"/>
              <w:bottom w:w="0" w:type="dxa"/>
              <w:right w:w="0" w:type="dxa"/>
            </w:tcMar>
            <w:vAlign w:val="center"/>
          </w:tcPr>
          <w:p w14:paraId="4B5EB73C"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6,887,052</w:t>
            </w:r>
          </w:p>
        </w:tc>
        <w:tc>
          <w:tcPr>
            <w:tcW w:w="763" w:type="dxa"/>
            <w:tcMar>
              <w:top w:w="0" w:type="dxa"/>
              <w:left w:w="0" w:type="dxa"/>
              <w:bottom w:w="0" w:type="dxa"/>
              <w:right w:w="0" w:type="dxa"/>
            </w:tcMar>
            <w:vAlign w:val="center"/>
          </w:tcPr>
          <w:p w14:paraId="0BA85782"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40BBB15F" w14:textId="77777777" w:rsidTr="00E1203E">
        <w:trPr>
          <w:trHeight w:val="260"/>
        </w:trPr>
        <w:tc>
          <w:tcPr>
            <w:tcW w:w="490" w:type="dxa"/>
            <w:vAlign w:val="center"/>
          </w:tcPr>
          <w:p w14:paraId="187DA8C0"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13</w:t>
            </w:r>
          </w:p>
        </w:tc>
        <w:tc>
          <w:tcPr>
            <w:tcW w:w="1694" w:type="dxa"/>
            <w:vAlign w:val="center"/>
          </w:tcPr>
          <w:p w14:paraId="27BF8DF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迟成霞</w:t>
            </w:r>
          </w:p>
        </w:tc>
        <w:tc>
          <w:tcPr>
            <w:tcW w:w="2150" w:type="dxa"/>
            <w:vAlign w:val="center"/>
          </w:tcPr>
          <w:p w14:paraId="7AB609C1"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迟成霞</w:t>
            </w:r>
          </w:p>
        </w:tc>
        <w:tc>
          <w:tcPr>
            <w:tcW w:w="1116" w:type="dxa"/>
            <w:vAlign w:val="center"/>
          </w:tcPr>
          <w:p w14:paraId="34A126D4"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w:t>
            </w:r>
          </w:p>
        </w:tc>
        <w:tc>
          <w:tcPr>
            <w:tcW w:w="1354" w:type="dxa"/>
            <w:vAlign w:val="center"/>
          </w:tcPr>
          <w:p w14:paraId="255B5448"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0.11</w:t>
            </w:r>
          </w:p>
        </w:tc>
        <w:tc>
          <w:tcPr>
            <w:tcW w:w="1080" w:type="dxa"/>
            <w:tcMar>
              <w:top w:w="0" w:type="dxa"/>
              <w:left w:w="0" w:type="dxa"/>
              <w:bottom w:w="0" w:type="dxa"/>
              <w:right w:w="0" w:type="dxa"/>
            </w:tcMar>
            <w:vAlign w:val="center"/>
          </w:tcPr>
          <w:p w14:paraId="3BBD09A6"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w:t>
            </w:r>
          </w:p>
        </w:tc>
        <w:tc>
          <w:tcPr>
            <w:tcW w:w="763" w:type="dxa"/>
            <w:tcMar>
              <w:top w:w="0" w:type="dxa"/>
              <w:left w:w="0" w:type="dxa"/>
              <w:bottom w:w="0" w:type="dxa"/>
              <w:right w:w="0" w:type="dxa"/>
            </w:tcMar>
            <w:vAlign w:val="center"/>
          </w:tcPr>
          <w:p w14:paraId="5E2807AF"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775C0736" w14:textId="77777777" w:rsidTr="00E1203E">
        <w:trPr>
          <w:trHeight w:val="270"/>
        </w:trPr>
        <w:tc>
          <w:tcPr>
            <w:tcW w:w="490" w:type="dxa"/>
            <w:vAlign w:val="center"/>
          </w:tcPr>
          <w:p w14:paraId="7B905975"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14</w:t>
            </w:r>
          </w:p>
        </w:tc>
        <w:tc>
          <w:tcPr>
            <w:tcW w:w="1694" w:type="dxa"/>
            <w:vAlign w:val="center"/>
          </w:tcPr>
          <w:p w14:paraId="6BC4D670"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储昭喜</w:t>
            </w:r>
          </w:p>
        </w:tc>
        <w:tc>
          <w:tcPr>
            <w:tcW w:w="2150" w:type="dxa"/>
            <w:vAlign w:val="center"/>
          </w:tcPr>
          <w:p w14:paraId="7963671E"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储昭喜</w:t>
            </w:r>
          </w:p>
        </w:tc>
        <w:tc>
          <w:tcPr>
            <w:tcW w:w="1116" w:type="dxa"/>
            <w:vAlign w:val="center"/>
          </w:tcPr>
          <w:p w14:paraId="7577E168"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w:t>
            </w:r>
          </w:p>
        </w:tc>
        <w:tc>
          <w:tcPr>
            <w:tcW w:w="1354" w:type="dxa"/>
            <w:vAlign w:val="center"/>
          </w:tcPr>
          <w:p w14:paraId="130F4832"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0.11</w:t>
            </w:r>
          </w:p>
        </w:tc>
        <w:tc>
          <w:tcPr>
            <w:tcW w:w="1080" w:type="dxa"/>
            <w:tcMar>
              <w:top w:w="0" w:type="dxa"/>
              <w:left w:w="0" w:type="dxa"/>
              <w:bottom w:w="0" w:type="dxa"/>
              <w:right w:w="0" w:type="dxa"/>
            </w:tcMar>
            <w:vAlign w:val="center"/>
          </w:tcPr>
          <w:p w14:paraId="4C5171EB"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688,705</w:t>
            </w:r>
          </w:p>
        </w:tc>
        <w:tc>
          <w:tcPr>
            <w:tcW w:w="763" w:type="dxa"/>
            <w:tcMar>
              <w:top w:w="0" w:type="dxa"/>
              <w:left w:w="0" w:type="dxa"/>
              <w:bottom w:w="0" w:type="dxa"/>
              <w:right w:w="0" w:type="dxa"/>
            </w:tcMar>
            <w:vAlign w:val="center"/>
          </w:tcPr>
          <w:p w14:paraId="6B8C1059"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3A98CE2C" w14:textId="77777777" w:rsidTr="00E1203E">
        <w:trPr>
          <w:trHeight w:val="270"/>
        </w:trPr>
        <w:tc>
          <w:tcPr>
            <w:tcW w:w="490" w:type="dxa"/>
            <w:vAlign w:val="center"/>
          </w:tcPr>
          <w:p w14:paraId="208D9D94"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15</w:t>
            </w:r>
          </w:p>
        </w:tc>
        <w:tc>
          <w:tcPr>
            <w:tcW w:w="1694" w:type="dxa"/>
            <w:vAlign w:val="center"/>
          </w:tcPr>
          <w:p w14:paraId="73E2ED1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冯玉栋</w:t>
            </w:r>
          </w:p>
        </w:tc>
        <w:tc>
          <w:tcPr>
            <w:tcW w:w="2150" w:type="dxa"/>
            <w:vAlign w:val="center"/>
          </w:tcPr>
          <w:p w14:paraId="63AE5947"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冯玉栋</w:t>
            </w:r>
          </w:p>
        </w:tc>
        <w:tc>
          <w:tcPr>
            <w:tcW w:w="1116" w:type="dxa"/>
            <w:vAlign w:val="center"/>
          </w:tcPr>
          <w:p w14:paraId="32A3F566"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964,187</w:t>
            </w:r>
          </w:p>
        </w:tc>
        <w:tc>
          <w:tcPr>
            <w:tcW w:w="1354" w:type="dxa"/>
            <w:vAlign w:val="center"/>
          </w:tcPr>
          <w:p w14:paraId="570A2684"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0.16</w:t>
            </w:r>
          </w:p>
        </w:tc>
        <w:tc>
          <w:tcPr>
            <w:tcW w:w="1080" w:type="dxa"/>
            <w:tcMar>
              <w:top w:w="0" w:type="dxa"/>
              <w:left w:w="0" w:type="dxa"/>
              <w:bottom w:w="0" w:type="dxa"/>
              <w:right w:w="0" w:type="dxa"/>
            </w:tcMar>
            <w:vAlign w:val="center"/>
          </w:tcPr>
          <w:p w14:paraId="3B747556"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964,187</w:t>
            </w:r>
          </w:p>
        </w:tc>
        <w:tc>
          <w:tcPr>
            <w:tcW w:w="763" w:type="dxa"/>
            <w:tcMar>
              <w:top w:w="0" w:type="dxa"/>
              <w:left w:w="0" w:type="dxa"/>
              <w:bottom w:w="0" w:type="dxa"/>
              <w:right w:w="0" w:type="dxa"/>
            </w:tcMar>
            <w:vAlign w:val="center"/>
          </w:tcPr>
          <w:p w14:paraId="7DC646D8"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62F23D79" w14:textId="77777777" w:rsidTr="00E1203E">
        <w:trPr>
          <w:trHeight w:val="270"/>
        </w:trPr>
        <w:tc>
          <w:tcPr>
            <w:tcW w:w="490" w:type="dxa"/>
            <w:vAlign w:val="center"/>
          </w:tcPr>
          <w:p w14:paraId="132A31A6"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sz w:val="18"/>
                <w:szCs w:val="18"/>
              </w:rPr>
              <w:t>16</w:t>
            </w:r>
          </w:p>
        </w:tc>
        <w:tc>
          <w:tcPr>
            <w:tcW w:w="1694" w:type="dxa"/>
            <w:vAlign w:val="center"/>
          </w:tcPr>
          <w:p w14:paraId="54BF619B"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伍开贵</w:t>
            </w:r>
          </w:p>
        </w:tc>
        <w:tc>
          <w:tcPr>
            <w:tcW w:w="2150" w:type="dxa"/>
            <w:vAlign w:val="center"/>
          </w:tcPr>
          <w:p w14:paraId="4D1048E8" w14:textId="77777777" w:rsidR="00F8698B" w:rsidRDefault="002A6C1A" w:rsidP="00E1203E">
            <w:pPr>
              <w:spacing w:line="276" w:lineRule="auto"/>
              <w:ind w:firstLineChars="0" w:firstLine="0"/>
              <w:jc w:val="center"/>
              <w:rPr>
                <w:rFonts w:ascii="宋体" w:hAnsi="宋体"/>
                <w:sz w:val="18"/>
                <w:szCs w:val="18"/>
              </w:rPr>
            </w:pPr>
            <w:r>
              <w:rPr>
                <w:rFonts w:ascii="宋体" w:hAnsi="宋体" w:hint="eastAsia"/>
                <w:color w:val="000000"/>
                <w:kern w:val="0"/>
                <w:sz w:val="18"/>
                <w:szCs w:val="18"/>
              </w:rPr>
              <w:t>伍开贵</w:t>
            </w:r>
          </w:p>
        </w:tc>
        <w:tc>
          <w:tcPr>
            <w:tcW w:w="1116" w:type="dxa"/>
            <w:vAlign w:val="center"/>
          </w:tcPr>
          <w:p w14:paraId="04C9BEB5"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1,377,410</w:t>
            </w:r>
          </w:p>
        </w:tc>
        <w:tc>
          <w:tcPr>
            <w:tcW w:w="1354" w:type="dxa"/>
            <w:vAlign w:val="center"/>
          </w:tcPr>
          <w:p w14:paraId="4AA5D1BD"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sz w:val="18"/>
                <w:szCs w:val="18"/>
              </w:rPr>
              <w:t>0.22</w:t>
            </w:r>
          </w:p>
        </w:tc>
        <w:tc>
          <w:tcPr>
            <w:tcW w:w="1080" w:type="dxa"/>
            <w:tcMar>
              <w:top w:w="0" w:type="dxa"/>
              <w:left w:w="0" w:type="dxa"/>
              <w:bottom w:w="0" w:type="dxa"/>
              <w:right w:w="0" w:type="dxa"/>
            </w:tcMar>
            <w:vAlign w:val="center"/>
          </w:tcPr>
          <w:p w14:paraId="566C0B09" w14:textId="77777777" w:rsidR="00F8698B" w:rsidRDefault="002A6C1A" w:rsidP="0012241C">
            <w:pPr>
              <w:spacing w:line="276" w:lineRule="auto"/>
              <w:ind w:firstLineChars="0" w:firstLine="0"/>
              <w:jc w:val="right"/>
              <w:rPr>
                <w:rFonts w:ascii="Arial Narrow" w:hAnsi="Arial Narrow"/>
                <w:sz w:val="18"/>
                <w:szCs w:val="18"/>
              </w:rPr>
            </w:pPr>
            <w:r>
              <w:rPr>
                <w:rFonts w:ascii="Arial Narrow" w:hAnsi="Arial Narrow"/>
                <w:color w:val="000000"/>
                <w:kern w:val="0"/>
                <w:sz w:val="18"/>
                <w:szCs w:val="18"/>
              </w:rPr>
              <w:t>1,377,410</w:t>
            </w:r>
          </w:p>
        </w:tc>
        <w:tc>
          <w:tcPr>
            <w:tcW w:w="763" w:type="dxa"/>
            <w:tcMar>
              <w:top w:w="0" w:type="dxa"/>
              <w:left w:w="0" w:type="dxa"/>
              <w:bottom w:w="0" w:type="dxa"/>
              <w:right w:w="0" w:type="dxa"/>
            </w:tcMar>
            <w:vAlign w:val="center"/>
          </w:tcPr>
          <w:p w14:paraId="09F04E23" w14:textId="77777777" w:rsidR="00F8698B" w:rsidRDefault="002A6C1A" w:rsidP="00E1203E">
            <w:pPr>
              <w:spacing w:line="276" w:lineRule="auto"/>
              <w:ind w:firstLineChars="0" w:firstLine="0"/>
              <w:jc w:val="center"/>
              <w:rPr>
                <w:rFonts w:ascii="Arial Narrow" w:hAnsi="Arial Narrow"/>
                <w:sz w:val="18"/>
                <w:szCs w:val="18"/>
              </w:rPr>
            </w:pPr>
            <w:r>
              <w:rPr>
                <w:rFonts w:ascii="Arial Narrow" w:hAnsi="Arial Narrow"/>
                <w:sz w:val="18"/>
                <w:szCs w:val="18"/>
              </w:rPr>
              <w:t>0</w:t>
            </w:r>
          </w:p>
        </w:tc>
      </w:tr>
      <w:tr w:rsidR="00F8698B" w14:paraId="77B767C1" w14:textId="77777777" w:rsidTr="00E1203E">
        <w:trPr>
          <w:trHeight w:val="270"/>
        </w:trPr>
        <w:tc>
          <w:tcPr>
            <w:tcW w:w="2184" w:type="dxa"/>
            <w:gridSpan w:val="2"/>
            <w:vAlign w:val="center"/>
          </w:tcPr>
          <w:p w14:paraId="022D43F8" w14:textId="77777777" w:rsidR="00F8698B" w:rsidRDefault="002A6C1A" w:rsidP="00E1203E">
            <w:pPr>
              <w:spacing w:line="276" w:lineRule="auto"/>
              <w:ind w:firstLineChars="0" w:firstLine="0"/>
              <w:jc w:val="center"/>
              <w:rPr>
                <w:rFonts w:ascii="宋体" w:hAnsi="宋体"/>
                <w:b/>
                <w:sz w:val="18"/>
                <w:szCs w:val="18"/>
              </w:rPr>
            </w:pPr>
            <w:r>
              <w:rPr>
                <w:rFonts w:ascii="宋体" w:hAnsi="宋体" w:hint="eastAsia"/>
                <w:b/>
                <w:sz w:val="18"/>
                <w:szCs w:val="18"/>
              </w:rPr>
              <w:t>合计</w:t>
            </w:r>
          </w:p>
        </w:tc>
        <w:tc>
          <w:tcPr>
            <w:tcW w:w="2150" w:type="dxa"/>
            <w:vAlign w:val="center"/>
          </w:tcPr>
          <w:p w14:paraId="1D9541FC" w14:textId="77777777" w:rsidR="00F8698B" w:rsidRDefault="002A6C1A" w:rsidP="00E1203E">
            <w:pPr>
              <w:spacing w:line="276" w:lineRule="auto"/>
              <w:ind w:firstLineChars="0" w:firstLine="0"/>
              <w:jc w:val="center"/>
              <w:rPr>
                <w:rFonts w:ascii="宋体" w:hAnsi="宋体"/>
                <w:b/>
                <w:sz w:val="18"/>
                <w:szCs w:val="18"/>
              </w:rPr>
            </w:pPr>
            <w:r>
              <w:rPr>
                <w:rFonts w:ascii="宋体" w:hAnsi="宋体" w:hint="eastAsia"/>
                <w:b/>
                <w:sz w:val="18"/>
                <w:szCs w:val="18"/>
              </w:rPr>
              <w:t>——</w:t>
            </w:r>
          </w:p>
        </w:tc>
        <w:tc>
          <w:tcPr>
            <w:tcW w:w="1116" w:type="dxa"/>
            <w:tcMar>
              <w:top w:w="0" w:type="dxa"/>
              <w:left w:w="0" w:type="dxa"/>
              <w:bottom w:w="0" w:type="dxa"/>
              <w:right w:w="0" w:type="dxa"/>
            </w:tcMar>
            <w:vAlign w:val="center"/>
          </w:tcPr>
          <w:p w14:paraId="02111F91" w14:textId="77777777" w:rsidR="00F8698B" w:rsidRDefault="002A6C1A" w:rsidP="0012241C">
            <w:pPr>
              <w:spacing w:line="276" w:lineRule="auto"/>
              <w:ind w:firstLineChars="0" w:firstLine="0"/>
              <w:jc w:val="right"/>
              <w:rPr>
                <w:rFonts w:ascii="Arial Narrow" w:hAnsi="Arial Narrow"/>
                <w:b/>
                <w:sz w:val="18"/>
                <w:szCs w:val="18"/>
              </w:rPr>
            </w:pPr>
            <w:bookmarkStart w:id="0" w:name="_Hlk90545684"/>
            <w:r>
              <w:rPr>
                <w:rFonts w:ascii="Arial Narrow" w:hAnsi="Arial Narrow"/>
                <w:b/>
                <w:sz w:val="18"/>
                <w:szCs w:val="18"/>
              </w:rPr>
              <w:t>119,924,235</w:t>
            </w:r>
            <w:bookmarkEnd w:id="0"/>
          </w:p>
        </w:tc>
        <w:tc>
          <w:tcPr>
            <w:tcW w:w="1354" w:type="dxa"/>
            <w:tcMar>
              <w:top w:w="0" w:type="dxa"/>
              <w:left w:w="0" w:type="dxa"/>
              <w:bottom w:w="0" w:type="dxa"/>
              <w:right w:w="0" w:type="dxa"/>
            </w:tcMar>
            <w:vAlign w:val="center"/>
          </w:tcPr>
          <w:p w14:paraId="794DDF0B" w14:textId="0FE2DEA6" w:rsidR="00F8698B" w:rsidRDefault="002A6C1A" w:rsidP="0012241C">
            <w:pPr>
              <w:spacing w:line="276" w:lineRule="auto"/>
              <w:ind w:firstLineChars="0" w:firstLine="0"/>
              <w:jc w:val="right"/>
              <w:rPr>
                <w:rFonts w:ascii="Arial Narrow" w:hAnsi="Arial Narrow"/>
                <w:b/>
                <w:sz w:val="18"/>
                <w:szCs w:val="18"/>
              </w:rPr>
            </w:pPr>
            <w:r>
              <w:rPr>
                <w:rFonts w:ascii="Arial Narrow" w:hAnsi="Arial Narrow"/>
                <w:b/>
                <w:sz w:val="18"/>
                <w:szCs w:val="18"/>
              </w:rPr>
              <w:t>19.3</w:t>
            </w:r>
            <w:r w:rsidR="00B556DC">
              <w:rPr>
                <w:rFonts w:ascii="Arial Narrow" w:hAnsi="Arial Narrow"/>
                <w:b/>
                <w:sz w:val="18"/>
                <w:szCs w:val="18"/>
              </w:rPr>
              <w:t>8</w:t>
            </w:r>
          </w:p>
        </w:tc>
        <w:tc>
          <w:tcPr>
            <w:tcW w:w="1080" w:type="dxa"/>
            <w:vAlign w:val="center"/>
          </w:tcPr>
          <w:p w14:paraId="37CC46F8" w14:textId="77777777" w:rsidR="00F8698B" w:rsidRDefault="002A6C1A" w:rsidP="00402CD0">
            <w:pPr>
              <w:spacing w:line="276" w:lineRule="auto"/>
              <w:ind w:firstLineChars="0" w:firstLine="0"/>
              <w:jc w:val="right"/>
              <w:rPr>
                <w:rFonts w:ascii="Arial Narrow" w:hAnsi="Arial Narrow"/>
                <w:b/>
                <w:sz w:val="18"/>
                <w:szCs w:val="18"/>
              </w:rPr>
            </w:pPr>
            <w:r>
              <w:rPr>
                <w:rFonts w:ascii="Arial Narrow" w:hAnsi="Arial Narrow"/>
                <w:b/>
                <w:sz w:val="18"/>
                <w:szCs w:val="18"/>
              </w:rPr>
              <w:t>119,924,235</w:t>
            </w:r>
          </w:p>
        </w:tc>
        <w:tc>
          <w:tcPr>
            <w:tcW w:w="763" w:type="dxa"/>
            <w:tcMar>
              <w:top w:w="0" w:type="dxa"/>
              <w:left w:w="0" w:type="dxa"/>
              <w:bottom w:w="0" w:type="dxa"/>
              <w:right w:w="0" w:type="dxa"/>
            </w:tcMar>
            <w:vAlign w:val="center"/>
          </w:tcPr>
          <w:p w14:paraId="4082DF25" w14:textId="77777777" w:rsidR="00F8698B" w:rsidRDefault="002A6C1A" w:rsidP="00E1203E">
            <w:pPr>
              <w:spacing w:line="276" w:lineRule="auto"/>
              <w:ind w:firstLineChars="0" w:firstLine="0"/>
              <w:jc w:val="center"/>
              <w:rPr>
                <w:rFonts w:ascii="Arial Narrow" w:hAnsi="Arial Narrow"/>
                <w:b/>
                <w:sz w:val="18"/>
                <w:szCs w:val="18"/>
              </w:rPr>
            </w:pPr>
            <w:r>
              <w:rPr>
                <w:rFonts w:ascii="Arial Narrow" w:hAnsi="Arial Narrow"/>
                <w:b/>
                <w:sz w:val="18"/>
                <w:szCs w:val="18"/>
              </w:rPr>
              <w:t>0</w:t>
            </w:r>
          </w:p>
        </w:tc>
      </w:tr>
    </w:tbl>
    <w:p w14:paraId="521444BC" w14:textId="77777777" w:rsidR="00F8698B" w:rsidRDefault="00F8698B">
      <w:pPr>
        <w:ind w:firstLine="482"/>
        <w:outlineLvl w:val="0"/>
        <w:rPr>
          <w:rFonts w:ascii="宋体" w:hAnsi="宋体"/>
          <w:b/>
          <w:bCs/>
          <w:sz w:val="24"/>
        </w:rPr>
      </w:pPr>
    </w:p>
    <w:p w14:paraId="6E9DB03E" w14:textId="715A0305" w:rsidR="00F8698B" w:rsidRDefault="005D777E">
      <w:pPr>
        <w:ind w:firstLine="562"/>
        <w:outlineLvl w:val="0"/>
        <w:rPr>
          <w:rFonts w:ascii="黑体" w:eastAsia="黑体" w:hAnsi="黑体" w:cs="宋体"/>
          <w:b/>
          <w:bCs/>
          <w:color w:val="333333"/>
          <w:kern w:val="0"/>
          <w:sz w:val="28"/>
          <w:szCs w:val="28"/>
        </w:rPr>
      </w:pPr>
      <w:r>
        <w:rPr>
          <w:rFonts w:ascii="黑体" w:eastAsia="黑体" w:hAnsi="黑体" w:cs="宋体" w:hint="eastAsia"/>
          <w:b/>
          <w:bCs/>
          <w:color w:val="333333"/>
          <w:kern w:val="0"/>
          <w:sz w:val="28"/>
          <w:szCs w:val="28"/>
        </w:rPr>
        <w:t>五</w:t>
      </w:r>
      <w:r w:rsidR="002A6C1A">
        <w:rPr>
          <w:rFonts w:ascii="黑体" w:eastAsia="黑体" w:hAnsi="黑体" w:cs="宋体" w:hint="eastAsia"/>
          <w:b/>
          <w:bCs/>
          <w:color w:val="333333"/>
          <w:kern w:val="0"/>
          <w:sz w:val="28"/>
          <w:szCs w:val="28"/>
        </w:rPr>
        <w:t>、股本变动结构表</w:t>
      </w:r>
    </w:p>
    <w:tbl>
      <w:tblPr>
        <w:tblW w:w="5339"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tblCellMar>
        <w:tblLook w:val="04A0" w:firstRow="1" w:lastRow="0" w:firstColumn="1" w:lastColumn="0" w:noHBand="0" w:noVBand="1"/>
      </w:tblPr>
      <w:tblGrid>
        <w:gridCol w:w="933"/>
        <w:gridCol w:w="2967"/>
        <w:gridCol w:w="1481"/>
        <w:gridCol w:w="1660"/>
        <w:gridCol w:w="1796"/>
      </w:tblGrid>
      <w:tr w:rsidR="00F8698B" w:rsidRPr="00996DC5" w14:paraId="32BB1C2A" w14:textId="77777777" w:rsidTr="007A3726">
        <w:trPr>
          <w:trHeight w:val="397"/>
          <w:tblHeader/>
          <w:jc w:val="center"/>
        </w:trPr>
        <w:tc>
          <w:tcPr>
            <w:tcW w:w="2207" w:type="pct"/>
            <w:gridSpan w:val="2"/>
            <w:shd w:val="clear" w:color="auto" w:fill="D8D8D8" w:themeFill="background1" w:themeFillShade="D8"/>
            <w:vAlign w:val="center"/>
          </w:tcPr>
          <w:p w14:paraId="327F3375" w14:textId="77777777" w:rsidR="00F8698B" w:rsidRPr="00996DC5" w:rsidRDefault="002A6C1A" w:rsidP="007A3726">
            <w:pPr>
              <w:spacing w:line="240" w:lineRule="atLeast"/>
              <w:ind w:firstLineChars="0" w:firstLine="0"/>
              <w:jc w:val="center"/>
              <w:rPr>
                <w:rFonts w:ascii="宋体" w:hAnsi="宋体"/>
              </w:rPr>
            </w:pPr>
            <w:r w:rsidRPr="00996DC5">
              <w:rPr>
                <w:rFonts w:ascii="宋体" w:hAnsi="宋体" w:hint="eastAsia"/>
              </w:rPr>
              <w:t>单位：股</w:t>
            </w:r>
          </w:p>
        </w:tc>
        <w:tc>
          <w:tcPr>
            <w:tcW w:w="838" w:type="pct"/>
            <w:shd w:val="clear" w:color="auto" w:fill="D8D8D8" w:themeFill="background1" w:themeFillShade="D8"/>
            <w:vAlign w:val="center"/>
          </w:tcPr>
          <w:p w14:paraId="54E5EFF0" w14:textId="77777777" w:rsidR="00F8698B" w:rsidRPr="00996DC5" w:rsidRDefault="002A6C1A" w:rsidP="007146EA">
            <w:pPr>
              <w:widowControl/>
              <w:spacing w:line="240" w:lineRule="atLeast"/>
              <w:ind w:firstLineChars="0" w:firstLine="0"/>
              <w:jc w:val="center"/>
              <w:rPr>
                <w:rFonts w:ascii="宋体" w:hAnsi="宋体"/>
              </w:rPr>
            </w:pPr>
            <w:r w:rsidRPr="00996DC5">
              <w:rPr>
                <w:rFonts w:ascii="宋体" w:hAnsi="宋体" w:hint="eastAsia"/>
              </w:rPr>
              <w:t>本次上市前</w:t>
            </w:r>
          </w:p>
        </w:tc>
        <w:tc>
          <w:tcPr>
            <w:tcW w:w="939" w:type="pct"/>
            <w:shd w:val="clear" w:color="auto" w:fill="D8D8D8" w:themeFill="background1" w:themeFillShade="D8"/>
            <w:vAlign w:val="center"/>
          </w:tcPr>
          <w:p w14:paraId="14329B43" w14:textId="77777777" w:rsidR="00F8698B" w:rsidRPr="00996DC5" w:rsidRDefault="002A6C1A" w:rsidP="007146EA">
            <w:pPr>
              <w:widowControl/>
              <w:spacing w:line="240" w:lineRule="atLeast"/>
              <w:ind w:firstLineChars="0" w:firstLine="0"/>
              <w:jc w:val="center"/>
              <w:rPr>
                <w:rFonts w:ascii="宋体" w:hAnsi="宋体"/>
              </w:rPr>
            </w:pPr>
            <w:r w:rsidRPr="00996DC5">
              <w:rPr>
                <w:rFonts w:ascii="宋体" w:hAnsi="宋体" w:hint="eastAsia"/>
              </w:rPr>
              <w:t>变动数</w:t>
            </w:r>
          </w:p>
        </w:tc>
        <w:tc>
          <w:tcPr>
            <w:tcW w:w="1016" w:type="pct"/>
            <w:shd w:val="clear" w:color="auto" w:fill="D8D8D8" w:themeFill="background1" w:themeFillShade="D8"/>
            <w:vAlign w:val="center"/>
          </w:tcPr>
          <w:p w14:paraId="747B2158" w14:textId="77777777" w:rsidR="00F8698B" w:rsidRPr="00996DC5" w:rsidRDefault="002A6C1A" w:rsidP="007146EA">
            <w:pPr>
              <w:widowControl/>
              <w:spacing w:line="240" w:lineRule="atLeast"/>
              <w:ind w:firstLineChars="0" w:firstLine="0"/>
              <w:jc w:val="center"/>
              <w:rPr>
                <w:rFonts w:ascii="宋体" w:hAnsi="宋体"/>
              </w:rPr>
            </w:pPr>
            <w:r w:rsidRPr="00996DC5">
              <w:rPr>
                <w:rFonts w:ascii="宋体" w:hAnsi="宋体" w:hint="eastAsia"/>
              </w:rPr>
              <w:t>本次上市后</w:t>
            </w:r>
          </w:p>
        </w:tc>
      </w:tr>
      <w:tr w:rsidR="00F8698B" w:rsidRPr="00996DC5" w14:paraId="1943CE7C" w14:textId="77777777" w:rsidTr="007A3726">
        <w:trPr>
          <w:trHeight w:val="397"/>
          <w:jc w:val="center"/>
        </w:trPr>
        <w:tc>
          <w:tcPr>
            <w:tcW w:w="528" w:type="pct"/>
            <w:vMerge w:val="restart"/>
            <w:shd w:val="clear" w:color="auto" w:fill="auto"/>
            <w:vAlign w:val="center"/>
          </w:tcPr>
          <w:p w14:paraId="4F344003" w14:textId="77777777" w:rsidR="00F8698B" w:rsidRPr="00996DC5" w:rsidRDefault="002A6C1A" w:rsidP="007A3726">
            <w:pPr>
              <w:spacing w:line="240" w:lineRule="atLeast"/>
              <w:ind w:firstLineChars="0" w:firstLine="0"/>
              <w:jc w:val="center"/>
              <w:rPr>
                <w:rFonts w:ascii="宋体" w:hAnsi="宋体"/>
                <w:szCs w:val="21"/>
              </w:rPr>
            </w:pPr>
            <w:r w:rsidRPr="00996DC5">
              <w:rPr>
                <w:rFonts w:ascii="宋体" w:hAnsi="宋体" w:hint="eastAsia"/>
                <w:szCs w:val="21"/>
              </w:rPr>
              <w:t>有限售条件的流通股份</w:t>
            </w:r>
          </w:p>
        </w:tc>
        <w:tc>
          <w:tcPr>
            <w:tcW w:w="1679" w:type="pct"/>
            <w:shd w:val="clear" w:color="auto" w:fill="auto"/>
            <w:vAlign w:val="center"/>
          </w:tcPr>
          <w:p w14:paraId="22889B3E" w14:textId="77777777" w:rsidR="00F8698B" w:rsidRPr="00996DC5" w:rsidRDefault="002A6C1A" w:rsidP="007A3726">
            <w:pPr>
              <w:spacing w:line="240" w:lineRule="atLeast"/>
              <w:ind w:firstLineChars="0" w:firstLine="0"/>
              <w:jc w:val="center"/>
              <w:rPr>
                <w:rFonts w:ascii="宋体" w:hAnsi="宋体"/>
                <w:kern w:val="0"/>
                <w:szCs w:val="21"/>
              </w:rPr>
            </w:pPr>
            <w:r w:rsidRPr="00996DC5">
              <w:rPr>
                <w:rFonts w:ascii="宋体" w:hAnsi="宋体"/>
              </w:rPr>
              <w:t>1</w:t>
            </w:r>
            <w:r w:rsidRPr="00996DC5">
              <w:rPr>
                <w:rFonts w:ascii="宋体" w:hAnsi="宋体" w:hint="eastAsia"/>
              </w:rPr>
              <w:t>、境内自然人</w:t>
            </w:r>
          </w:p>
        </w:tc>
        <w:tc>
          <w:tcPr>
            <w:tcW w:w="838" w:type="pct"/>
            <w:vAlign w:val="center"/>
          </w:tcPr>
          <w:p w14:paraId="6DB85F6E"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5</w:t>
            </w:r>
            <w:r w:rsidRPr="00996DC5">
              <w:rPr>
                <w:rFonts w:ascii="宋体" w:hAnsi="宋体"/>
              </w:rPr>
              <w:t>5,971,665</w:t>
            </w:r>
          </w:p>
        </w:tc>
        <w:tc>
          <w:tcPr>
            <w:tcW w:w="939" w:type="pct"/>
            <w:vAlign w:val="center"/>
          </w:tcPr>
          <w:p w14:paraId="5531EADB"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w:t>
            </w:r>
            <w:r w:rsidRPr="00996DC5">
              <w:rPr>
                <w:rFonts w:ascii="宋体" w:hAnsi="宋体" w:hint="eastAsia"/>
              </w:rPr>
              <w:t>1</w:t>
            </w:r>
            <w:r w:rsidRPr="00996DC5">
              <w:rPr>
                <w:rFonts w:ascii="宋体" w:hAnsi="宋体"/>
              </w:rPr>
              <w:t>5,426,995</w:t>
            </w:r>
          </w:p>
        </w:tc>
        <w:tc>
          <w:tcPr>
            <w:tcW w:w="1016" w:type="pct"/>
            <w:vAlign w:val="center"/>
          </w:tcPr>
          <w:p w14:paraId="770BC2F9"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4</w:t>
            </w:r>
            <w:r w:rsidRPr="00996DC5">
              <w:rPr>
                <w:rFonts w:ascii="宋体" w:hAnsi="宋体"/>
              </w:rPr>
              <w:t>0,544,670</w:t>
            </w:r>
          </w:p>
        </w:tc>
      </w:tr>
      <w:tr w:rsidR="00F8698B" w:rsidRPr="00996DC5" w14:paraId="43D6F071" w14:textId="77777777" w:rsidTr="007A3726">
        <w:trPr>
          <w:trHeight w:val="397"/>
          <w:jc w:val="center"/>
        </w:trPr>
        <w:tc>
          <w:tcPr>
            <w:tcW w:w="528" w:type="pct"/>
            <w:vMerge/>
            <w:shd w:val="clear" w:color="auto" w:fill="auto"/>
            <w:vAlign w:val="center"/>
          </w:tcPr>
          <w:p w14:paraId="5955209F" w14:textId="77777777" w:rsidR="00F8698B" w:rsidRPr="00996DC5" w:rsidRDefault="00F8698B" w:rsidP="007A3726">
            <w:pPr>
              <w:spacing w:line="240" w:lineRule="atLeast"/>
              <w:ind w:firstLine="420"/>
              <w:jc w:val="center"/>
              <w:rPr>
                <w:rFonts w:ascii="宋体" w:hAnsi="宋体"/>
                <w:szCs w:val="21"/>
              </w:rPr>
            </w:pPr>
          </w:p>
        </w:tc>
        <w:tc>
          <w:tcPr>
            <w:tcW w:w="1679" w:type="pct"/>
            <w:shd w:val="clear" w:color="auto" w:fill="auto"/>
            <w:vAlign w:val="center"/>
          </w:tcPr>
          <w:p w14:paraId="31D148BB" w14:textId="77777777" w:rsidR="00F8698B" w:rsidRPr="00996DC5" w:rsidRDefault="002A6C1A" w:rsidP="007A3726">
            <w:pPr>
              <w:spacing w:line="240" w:lineRule="atLeast"/>
              <w:ind w:firstLineChars="0" w:firstLine="0"/>
              <w:jc w:val="center"/>
              <w:rPr>
                <w:rFonts w:ascii="宋体" w:hAnsi="宋体"/>
                <w:kern w:val="0"/>
                <w:szCs w:val="21"/>
              </w:rPr>
            </w:pPr>
            <w:r w:rsidRPr="00996DC5">
              <w:rPr>
                <w:rFonts w:ascii="宋体" w:hAnsi="宋体"/>
              </w:rPr>
              <w:t>2</w:t>
            </w:r>
            <w:r w:rsidRPr="00996DC5">
              <w:rPr>
                <w:rFonts w:ascii="宋体" w:hAnsi="宋体" w:hint="eastAsia"/>
              </w:rPr>
              <w:t>、其他</w:t>
            </w:r>
          </w:p>
        </w:tc>
        <w:tc>
          <w:tcPr>
            <w:tcW w:w="838" w:type="pct"/>
            <w:vAlign w:val="center"/>
          </w:tcPr>
          <w:p w14:paraId="44E00706"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3</w:t>
            </w:r>
            <w:r w:rsidRPr="00996DC5">
              <w:rPr>
                <w:rFonts w:ascii="宋体" w:hAnsi="宋体"/>
              </w:rPr>
              <w:t>99,665,030</w:t>
            </w:r>
          </w:p>
        </w:tc>
        <w:tc>
          <w:tcPr>
            <w:tcW w:w="939" w:type="pct"/>
            <w:vAlign w:val="center"/>
          </w:tcPr>
          <w:p w14:paraId="617A49E5"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w:t>
            </w:r>
            <w:r w:rsidRPr="00996DC5">
              <w:rPr>
                <w:rFonts w:ascii="宋体" w:hAnsi="宋体" w:hint="eastAsia"/>
              </w:rPr>
              <w:t>1</w:t>
            </w:r>
            <w:r w:rsidRPr="00996DC5">
              <w:rPr>
                <w:rFonts w:ascii="宋体" w:hAnsi="宋体"/>
              </w:rPr>
              <w:t>04,497,240</w:t>
            </w:r>
          </w:p>
        </w:tc>
        <w:tc>
          <w:tcPr>
            <w:tcW w:w="1016" w:type="pct"/>
            <w:vAlign w:val="center"/>
          </w:tcPr>
          <w:p w14:paraId="2B71B26E"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2</w:t>
            </w:r>
            <w:r w:rsidRPr="00996DC5">
              <w:rPr>
                <w:rFonts w:ascii="宋体" w:hAnsi="宋体"/>
              </w:rPr>
              <w:t>95,167,790</w:t>
            </w:r>
          </w:p>
        </w:tc>
      </w:tr>
      <w:tr w:rsidR="00F8698B" w:rsidRPr="00996DC5" w14:paraId="2D917358" w14:textId="77777777" w:rsidTr="007A3726">
        <w:trPr>
          <w:trHeight w:val="397"/>
          <w:jc w:val="center"/>
        </w:trPr>
        <w:tc>
          <w:tcPr>
            <w:tcW w:w="528" w:type="pct"/>
            <w:vMerge/>
            <w:shd w:val="clear" w:color="auto" w:fill="auto"/>
            <w:vAlign w:val="center"/>
          </w:tcPr>
          <w:p w14:paraId="27D2E7A8" w14:textId="77777777" w:rsidR="00F8698B" w:rsidRPr="00996DC5" w:rsidRDefault="00F8698B" w:rsidP="007A3726">
            <w:pPr>
              <w:spacing w:line="240" w:lineRule="atLeast"/>
              <w:ind w:firstLineChars="0" w:firstLine="0"/>
              <w:jc w:val="center"/>
              <w:rPr>
                <w:rFonts w:ascii="宋体" w:hAnsi="宋体"/>
                <w:szCs w:val="21"/>
              </w:rPr>
            </w:pPr>
          </w:p>
        </w:tc>
        <w:tc>
          <w:tcPr>
            <w:tcW w:w="1679" w:type="pct"/>
            <w:shd w:val="clear" w:color="auto" w:fill="auto"/>
            <w:vAlign w:val="center"/>
          </w:tcPr>
          <w:p w14:paraId="610DF23E" w14:textId="77777777" w:rsidR="00F8698B" w:rsidRPr="00996DC5" w:rsidRDefault="002A6C1A" w:rsidP="007A3726">
            <w:pPr>
              <w:spacing w:line="240" w:lineRule="atLeast"/>
              <w:ind w:firstLineChars="0" w:firstLine="0"/>
              <w:jc w:val="center"/>
              <w:rPr>
                <w:rFonts w:ascii="宋体" w:hAnsi="宋体"/>
                <w:kern w:val="0"/>
                <w:szCs w:val="21"/>
              </w:rPr>
            </w:pPr>
            <w:r w:rsidRPr="00996DC5">
              <w:rPr>
                <w:rFonts w:ascii="宋体" w:hAnsi="宋体" w:hint="eastAsia"/>
              </w:rPr>
              <w:t>有限售条件的流通股份合计</w:t>
            </w:r>
          </w:p>
        </w:tc>
        <w:tc>
          <w:tcPr>
            <w:tcW w:w="838" w:type="pct"/>
            <w:vAlign w:val="center"/>
          </w:tcPr>
          <w:p w14:paraId="6F132909"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455,636,695</w:t>
            </w:r>
          </w:p>
        </w:tc>
        <w:tc>
          <w:tcPr>
            <w:tcW w:w="939" w:type="pct"/>
            <w:vAlign w:val="center"/>
          </w:tcPr>
          <w:p w14:paraId="4D1A296B"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w:t>
            </w:r>
            <w:r w:rsidRPr="00996DC5">
              <w:rPr>
                <w:rFonts w:ascii="宋体" w:hAnsi="宋体"/>
              </w:rPr>
              <w:t>119,924,235</w:t>
            </w:r>
          </w:p>
        </w:tc>
        <w:tc>
          <w:tcPr>
            <w:tcW w:w="1016" w:type="pct"/>
            <w:vAlign w:val="center"/>
          </w:tcPr>
          <w:p w14:paraId="7FB3BE1E"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335,712,460</w:t>
            </w:r>
          </w:p>
        </w:tc>
      </w:tr>
      <w:tr w:rsidR="00F8698B" w:rsidRPr="00996DC5" w14:paraId="5846C8FD" w14:textId="77777777" w:rsidTr="007A3726">
        <w:trPr>
          <w:trHeight w:val="397"/>
          <w:jc w:val="center"/>
        </w:trPr>
        <w:tc>
          <w:tcPr>
            <w:tcW w:w="528" w:type="pct"/>
            <w:vMerge w:val="restart"/>
            <w:shd w:val="clear" w:color="auto" w:fill="auto"/>
            <w:vAlign w:val="center"/>
          </w:tcPr>
          <w:p w14:paraId="4002C6EB" w14:textId="77777777" w:rsidR="00F8698B" w:rsidRPr="00996DC5" w:rsidRDefault="002A6C1A" w:rsidP="007A3726">
            <w:pPr>
              <w:spacing w:line="240" w:lineRule="atLeast"/>
              <w:ind w:firstLineChars="0" w:firstLine="0"/>
              <w:jc w:val="center"/>
              <w:rPr>
                <w:rFonts w:ascii="宋体" w:hAnsi="宋体"/>
                <w:szCs w:val="21"/>
              </w:rPr>
            </w:pPr>
            <w:r w:rsidRPr="00996DC5">
              <w:rPr>
                <w:rFonts w:ascii="宋体" w:hAnsi="宋体" w:hint="eastAsia"/>
                <w:szCs w:val="21"/>
              </w:rPr>
              <w:t>无限售条件的流通股份</w:t>
            </w:r>
          </w:p>
        </w:tc>
        <w:tc>
          <w:tcPr>
            <w:tcW w:w="1679" w:type="pct"/>
            <w:shd w:val="clear" w:color="auto" w:fill="auto"/>
            <w:vAlign w:val="center"/>
          </w:tcPr>
          <w:p w14:paraId="4595F7F1" w14:textId="77777777" w:rsidR="00F8698B" w:rsidRPr="00996DC5" w:rsidRDefault="002A6C1A" w:rsidP="007A3726">
            <w:pPr>
              <w:spacing w:line="240" w:lineRule="atLeast"/>
              <w:ind w:firstLineChars="0" w:firstLine="0"/>
              <w:jc w:val="center"/>
              <w:rPr>
                <w:rFonts w:ascii="宋体" w:hAnsi="宋体"/>
                <w:kern w:val="0"/>
                <w:szCs w:val="21"/>
              </w:rPr>
            </w:pPr>
            <w:r w:rsidRPr="00996DC5">
              <w:rPr>
                <w:rFonts w:ascii="宋体" w:hAnsi="宋体" w:hint="eastAsia"/>
              </w:rPr>
              <w:t>A 股</w:t>
            </w:r>
          </w:p>
        </w:tc>
        <w:tc>
          <w:tcPr>
            <w:tcW w:w="838" w:type="pct"/>
            <w:vAlign w:val="center"/>
          </w:tcPr>
          <w:p w14:paraId="2555B8D6"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163,287,540</w:t>
            </w:r>
          </w:p>
        </w:tc>
        <w:tc>
          <w:tcPr>
            <w:tcW w:w="939" w:type="pct"/>
            <w:vAlign w:val="center"/>
          </w:tcPr>
          <w:p w14:paraId="64A0ACE0"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w:t>
            </w:r>
            <w:r w:rsidRPr="00996DC5">
              <w:rPr>
                <w:rFonts w:ascii="宋体" w:hAnsi="宋体"/>
              </w:rPr>
              <w:t>119,924,235</w:t>
            </w:r>
          </w:p>
        </w:tc>
        <w:tc>
          <w:tcPr>
            <w:tcW w:w="1016" w:type="pct"/>
            <w:vAlign w:val="center"/>
          </w:tcPr>
          <w:p w14:paraId="031503FE"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283,211,775</w:t>
            </w:r>
          </w:p>
        </w:tc>
      </w:tr>
      <w:tr w:rsidR="00F8698B" w:rsidRPr="00996DC5" w14:paraId="02E6C6AD" w14:textId="77777777" w:rsidTr="007A3726">
        <w:trPr>
          <w:trHeight w:val="397"/>
          <w:jc w:val="center"/>
        </w:trPr>
        <w:tc>
          <w:tcPr>
            <w:tcW w:w="528" w:type="pct"/>
            <w:vMerge/>
            <w:shd w:val="clear" w:color="auto" w:fill="auto"/>
            <w:vAlign w:val="center"/>
          </w:tcPr>
          <w:p w14:paraId="2E998813" w14:textId="77777777" w:rsidR="00F8698B" w:rsidRPr="00996DC5" w:rsidRDefault="00F8698B" w:rsidP="007A3726">
            <w:pPr>
              <w:spacing w:line="240" w:lineRule="atLeast"/>
              <w:ind w:firstLineChars="0" w:firstLine="0"/>
              <w:jc w:val="center"/>
              <w:rPr>
                <w:rFonts w:ascii="宋体" w:hAnsi="宋体"/>
                <w:szCs w:val="21"/>
              </w:rPr>
            </w:pPr>
          </w:p>
        </w:tc>
        <w:tc>
          <w:tcPr>
            <w:tcW w:w="1679" w:type="pct"/>
            <w:shd w:val="clear" w:color="auto" w:fill="auto"/>
            <w:vAlign w:val="center"/>
          </w:tcPr>
          <w:p w14:paraId="53061C8A" w14:textId="77777777" w:rsidR="00F8698B" w:rsidRPr="00996DC5" w:rsidRDefault="002A6C1A" w:rsidP="007A3726">
            <w:pPr>
              <w:spacing w:line="240" w:lineRule="atLeast"/>
              <w:ind w:firstLineChars="0" w:firstLine="0"/>
              <w:jc w:val="center"/>
              <w:rPr>
                <w:rFonts w:ascii="宋体" w:hAnsi="宋体"/>
                <w:kern w:val="0"/>
                <w:szCs w:val="21"/>
              </w:rPr>
            </w:pPr>
            <w:r w:rsidRPr="00996DC5">
              <w:rPr>
                <w:rFonts w:ascii="宋体" w:hAnsi="宋体" w:hint="eastAsia"/>
              </w:rPr>
              <w:t>无限售条件的流通股份合计</w:t>
            </w:r>
          </w:p>
        </w:tc>
        <w:tc>
          <w:tcPr>
            <w:tcW w:w="838" w:type="pct"/>
            <w:vAlign w:val="center"/>
          </w:tcPr>
          <w:p w14:paraId="2C81B998"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163,287,540</w:t>
            </w:r>
          </w:p>
        </w:tc>
        <w:tc>
          <w:tcPr>
            <w:tcW w:w="939" w:type="pct"/>
            <w:vAlign w:val="center"/>
          </w:tcPr>
          <w:p w14:paraId="07B9BF6F"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hint="eastAsia"/>
              </w:rPr>
              <w:t>+</w:t>
            </w:r>
            <w:r w:rsidRPr="00996DC5">
              <w:rPr>
                <w:rFonts w:ascii="宋体" w:hAnsi="宋体"/>
              </w:rPr>
              <w:t>119,924,235</w:t>
            </w:r>
          </w:p>
        </w:tc>
        <w:tc>
          <w:tcPr>
            <w:tcW w:w="1016" w:type="pct"/>
            <w:vAlign w:val="center"/>
          </w:tcPr>
          <w:p w14:paraId="7BF1B62D" w14:textId="77777777" w:rsidR="00F8698B" w:rsidRPr="00996DC5" w:rsidRDefault="002A6C1A" w:rsidP="007146EA">
            <w:pPr>
              <w:widowControl/>
              <w:spacing w:line="240" w:lineRule="atLeast"/>
              <w:ind w:firstLineChars="0" w:firstLine="0"/>
              <w:jc w:val="right"/>
              <w:rPr>
                <w:rFonts w:ascii="宋体" w:hAnsi="宋体"/>
              </w:rPr>
            </w:pPr>
            <w:r w:rsidRPr="00996DC5">
              <w:rPr>
                <w:rFonts w:ascii="宋体" w:hAnsi="宋体"/>
              </w:rPr>
              <w:t>283,211,775</w:t>
            </w:r>
          </w:p>
        </w:tc>
      </w:tr>
      <w:tr w:rsidR="00F8698B" w:rsidRPr="00996DC5" w14:paraId="7C5132A9" w14:textId="77777777" w:rsidTr="007A3726">
        <w:trPr>
          <w:trHeight w:val="397"/>
          <w:jc w:val="center"/>
        </w:trPr>
        <w:tc>
          <w:tcPr>
            <w:tcW w:w="2207" w:type="pct"/>
            <w:gridSpan w:val="2"/>
            <w:shd w:val="clear" w:color="auto" w:fill="auto"/>
            <w:vAlign w:val="center"/>
          </w:tcPr>
          <w:p w14:paraId="6A6084BB" w14:textId="77777777" w:rsidR="00F8698B" w:rsidRPr="00996DC5" w:rsidRDefault="002A6C1A" w:rsidP="007A3726">
            <w:pPr>
              <w:widowControl/>
              <w:spacing w:line="240" w:lineRule="atLeast"/>
              <w:ind w:firstLineChars="0" w:firstLine="0"/>
              <w:jc w:val="center"/>
              <w:rPr>
                <w:rFonts w:ascii="宋体" w:hAnsi="宋体"/>
                <w:b/>
                <w:bCs/>
                <w:szCs w:val="21"/>
              </w:rPr>
            </w:pPr>
            <w:r w:rsidRPr="00996DC5">
              <w:rPr>
                <w:rFonts w:ascii="宋体" w:hAnsi="宋体" w:hint="eastAsia"/>
                <w:b/>
                <w:bCs/>
                <w:szCs w:val="21"/>
              </w:rPr>
              <w:t>股份总额</w:t>
            </w:r>
          </w:p>
        </w:tc>
        <w:tc>
          <w:tcPr>
            <w:tcW w:w="838" w:type="pct"/>
            <w:vAlign w:val="center"/>
          </w:tcPr>
          <w:p w14:paraId="13D0E862" w14:textId="77777777" w:rsidR="00F8698B" w:rsidRPr="00996DC5" w:rsidRDefault="002A6C1A" w:rsidP="007146EA">
            <w:pPr>
              <w:widowControl/>
              <w:spacing w:line="240" w:lineRule="atLeast"/>
              <w:ind w:firstLineChars="0" w:firstLine="0"/>
              <w:jc w:val="right"/>
              <w:rPr>
                <w:rFonts w:ascii="宋体" w:hAnsi="宋体"/>
                <w:b/>
                <w:bCs/>
                <w:szCs w:val="21"/>
              </w:rPr>
            </w:pPr>
            <w:r w:rsidRPr="00996DC5">
              <w:rPr>
                <w:rFonts w:ascii="宋体" w:hAnsi="宋体"/>
                <w:b/>
                <w:bCs/>
              </w:rPr>
              <w:t>618,924,235</w:t>
            </w:r>
          </w:p>
        </w:tc>
        <w:tc>
          <w:tcPr>
            <w:tcW w:w="939" w:type="pct"/>
            <w:vAlign w:val="center"/>
          </w:tcPr>
          <w:p w14:paraId="506FB80A" w14:textId="77777777" w:rsidR="00F8698B" w:rsidRPr="00996DC5" w:rsidRDefault="002A6C1A" w:rsidP="007146EA">
            <w:pPr>
              <w:widowControl/>
              <w:spacing w:line="240" w:lineRule="atLeast"/>
              <w:ind w:firstLineChars="0" w:firstLine="0"/>
              <w:jc w:val="right"/>
              <w:rPr>
                <w:rFonts w:ascii="宋体" w:hAnsi="宋体"/>
                <w:b/>
                <w:bCs/>
              </w:rPr>
            </w:pPr>
            <w:r w:rsidRPr="00996DC5">
              <w:rPr>
                <w:rFonts w:ascii="宋体" w:hAnsi="宋体" w:hint="eastAsia"/>
                <w:b/>
                <w:bCs/>
              </w:rPr>
              <w:t>0</w:t>
            </w:r>
          </w:p>
        </w:tc>
        <w:tc>
          <w:tcPr>
            <w:tcW w:w="1016" w:type="pct"/>
            <w:vAlign w:val="center"/>
          </w:tcPr>
          <w:p w14:paraId="68F43990" w14:textId="77777777" w:rsidR="00F8698B" w:rsidRPr="00996DC5" w:rsidRDefault="002A6C1A" w:rsidP="007146EA">
            <w:pPr>
              <w:widowControl/>
              <w:spacing w:line="240" w:lineRule="atLeast"/>
              <w:ind w:firstLineChars="0" w:firstLine="0"/>
              <w:jc w:val="right"/>
              <w:rPr>
                <w:rFonts w:ascii="宋体" w:hAnsi="宋体"/>
                <w:b/>
                <w:bCs/>
                <w:szCs w:val="21"/>
              </w:rPr>
            </w:pPr>
            <w:r w:rsidRPr="00996DC5">
              <w:rPr>
                <w:rFonts w:ascii="宋体" w:hAnsi="宋体"/>
                <w:b/>
                <w:bCs/>
                <w:szCs w:val="21"/>
              </w:rPr>
              <w:t>618,924,235</w:t>
            </w:r>
          </w:p>
        </w:tc>
      </w:tr>
    </w:tbl>
    <w:p w14:paraId="52116612" w14:textId="05C7550D" w:rsidR="00F8698B" w:rsidRDefault="005D777E">
      <w:pPr>
        <w:spacing w:beforeLines="100" w:before="312"/>
        <w:ind w:firstLine="562"/>
        <w:outlineLvl w:val="0"/>
        <w:rPr>
          <w:rFonts w:ascii="黑体" w:eastAsia="黑体" w:hAnsi="黑体" w:cs="宋体"/>
          <w:b/>
          <w:bCs/>
          <w:color w:val="333333"/>
          <w:kern w:val="0"/>
          <w:sz w:val="28"/>
          <w:szCs w:val="28"/>
        </w:rPr>
      </w:pPr>
      <w:r>
        <w:rPr>
          <w:rFonts w:ascii="黑体" w:eastAsia="黑体" w:hAnsi="黑体" w:cs="宋体" w:hint="eastAsia"/>
          <w:b/>
          <w:bCs/>
          <w:color w:val="333333"/>
          <w:kern w:val="0"/>
          <w:sz w:val="28"/>
          <w:szCs w:val="28"/>
        </w:rPr>
        <w:lastRenderedPageBreak/>
        <w:t>六</w:t>
      </w:r>
      <w:r w:rsidR="002A6C1A">
        <w:rPr>
          <w:rFonts w:ascii="黑体" w:eastAsia="黑体" w:hAnsi="黑体" w:cs="宋体" w:hint="eastAsia"/>
          <w:b/>
          <w:bCs/>
          <w:color w:val="333333"/>
          <w:kern w:val="0"/>
          <w:sz w:val="28"/>
          <w:szCs w:val="28"/>
        </w:rPr>
        <w:t>、保荐机构核查意见</w:t>
      </w:r>
    </w:p>
    <w:p w14:paraId="008590F1" w14:textId="77777777" w:rsidR="00F8698B" w:rsidRDefault="002A6C1A">
      <w:pPr>
        <w:ind w:firstLine="480"/>
        <w:rPr>
          <w:rFonts w:ascii="宋体" w:hAnsi="宋体"/>
          <w:sz w:val="24"/>
        </w:rPr>
      </w:pPr>
      <w:r>
        <w:rPr>
          <w:rFonts w:ascii="宋体" w:hAnsi="宋体" w:hint="eastAsia"/>
          <w:sz w:val="24"/>
        </w:rPr>
        <w:t>经核查，保荐机构认为：</w:t>
      </w:r>
    </w:p>
    <w:p w14:paraId="1F161D35" w14:textId="77777777" w:rsidR="00F8698B" w:rsidRDefault="002A6C1A">
      <w:pPr>
        <w:ind w:firstLine="480"/>
        <w:rPr>
          <w:rFonts w:ascii="宋体" w:hAnsi="宋体"/>
          <w:sz w:val="24"/>
        </w:rPr>
      </w:pPr>
      <w:r>
        <w:rPr>
          <w:rFonts w:ascii="宋体" w:hAnsi="宋体" w:hint="eastAsia"/>
          <w:sz w:val="24"/>
        </w:rPr>
        <w:t>1、本次限售股份上市流通符合《中华人民共和国公司法》《上市公司证券发行管理办法》《上海证券交易所股票上市规则》等有关规定。</w:t>
      </w:r>
    </w:p>
    <w:p w14:paraId="63C89972" w14:textId="48B31F5B" w:rsidR="00F8698B" w:rsidRDefault="002A6C1A">
      <w:pPr>
        <w:ind w:firstLine="480"/>
        <w:rPr>
          <w:rFonts w:ascii="宋体" w:hAnsi="宋体"/>
          <w:sz w:val="24"/>
        </w:rPr>
      </w:pPr>
      <w:r>
        <w:rPr>
          <w:rFonts w:ascii="宋体" w:hAnsi="宋体" w:hint="eastAsia"/>
          <w:sz w:val="24"/>
        </w:rPr>
        <w:t>2、本次限售股份解除限售数量、上市流通时间等均符合有关法律法规和限</w:t>
      </w:r>
    </w:p>
    <w:p w14:paraId="21B39A8C" w14:textId="77777777" w:rsidR="00F8698B" w:rsidRDefault="002A6C1A" w:rsidP="0033012B">
      <w:pPr>
        <w:ind w:firstLineChars="0" w:firstLine="0"/>
        <w:rPr>
          <w:rFonts w:ascii="宋体" w:hAnsi="宋体"/>
          <w:sz w:val="24"/>
        </w:rPr>
      </w:pPr>
      <w:r>
        <w:rPr>
          <w:rFonts w:ascii="宋体" w:hAnsi="宋体" w:hint="eastAsia"/>
          <w:sz w:val="24"/>
        </w:rPr>
        <w:t>售承诺。</w:t>
      </w:r>
    </w:p>
    <w:p w14:paraId="023CACDA" w14:textId="77777777" w:rsidR="00F8698B" w:rsidRDefault="002A6C1A">
      <w:pPr>
        <w:ind w:firstLine="480"/>
        <w:rPr>
          <w:rFonts w:ascii="宋体" w:hAnsi="宋体"/>
          <w:sz w:val="24"/>
        </w:rPr>
      </w:pPr>
      <w:r>
        <w:rPr>
          <w:rFonts w:ascii="宋体" w:hAnsi="宋体" w:hint="eastAsia"/>
          <w:sz w:val="24"/>
        </w:rPr>
        <w:t>3、本次限售股份流通上市的信息披露真实、准确、完整。</w:t>
      </w:r>
    </w:p>
    <w:p w14:paraId="6CBFDF50" w14:textId="77777777" w:rsidR="00F8698B" w:rsidRDefault="002A6C1A">
      <w:pPr>
        <w:ind w:firstLine="480"/>
        <w:rPr>
          <w:rFonts w:ascii="宋体" w:hAnsi="宋体"/>
          <w:sz w:val="24"/>
        </w:rPr>
      </w:pPr>
      <w:r>
        <w:rPr>
          <w:rFonts w:ascii="宋体" w:hAnsi="宋体" w:hint="eastAsia"/>
          <w:sz w:val="24"/>
        </w:rPr>
        <w:t>保荐机构对交建股份本次非公开发行限售股份解禁上市流通无异议。</w:t>
      </w:r>
    </w:p>
    <w:p w14:paraId="17E70225" w14:textId="77777777" w:rsidR="00F8698B" w:rsidRDefault="002A6C1A">
      <w:pPr>
        <w:widowControl/>
        <w:shd w:val="clear" w:color="auto" w:fill="FFFFFF"/>
        <w:adjustRightInd/>
        <w:snapToGrid/>
        <w:spacing w:before="240" w:line="420" w:lineRule="atLeast"/>
        <w:ind w:firstLineChars="0" w:firstLine="0"/>
        <w:jc w:val="left"/>
        <w:rPr>
          <w:rFonts w:ascii="宋体" w:hAnsi="宋体"/>
          <w:sz w:val="24"/>
        </w:rPr>
      </w:pPr>
      <w:r>
        <w:rPr>
          <w:rFonts w:ascii="宋体" w:hAnsi="宋体" w:hint="eastAsia"/>
          <w:sz w:val="24"/>
        </w:rPr>
        <w:t>（以下无正文）</w:t>
      </w:r>
    </w:p>
    <w:p w14:paraId="1449F639" w14:textId="77777777" w:rsidR="00F8698B" w:rsidRDefault="00F8698B">
      <w:pPr>
        <w:ind w:firstLine="480"/>
        <w:rPr>
          <w:rFonts w:ascii="宋体" w:hAnsi="宋体"/>
          <w:sz w:val="24"/>
        </w:rPr>
      </w:pPr>
    </w:p>
    <w:p w14:paraId="7477A5B2" w14:textId="77777777" w:rsidR="00F8698B" w:rsidRDefault="002A6C1A">
      <w:pPr>
        <w:widowControl/>
        <w:adjustRightInd/>
        <w:snapToGrid/>
        <w:spacing w:line="240" w:lineRule="auto"/>
        <w:ind w:firstLineChars="0" w:firstLine="0"/>
        <w:jc w:val="left"/>
        <w:rPr>
          <w:rFonts w:ascii="宋体" w:hAnsi="宋体"/>
          <w:sz w:val="24"/>
        </w:rPr>
      </w:pPr>
      <w:r>
        <w:rPr>
          <w:rFonts w:ascii="宋体" w:hAnsi="宋体"/>
          <w:sz w:val="24"/>
        </w:rPr>
        <w:br w:type="page"/>
      </w:r>
    </w:p>
    <w:p w14:paraId="2D1C9853" w14:textId="77777777" w:rsidR="00F8698B" w:rsidRDefault="002A6C1A">
      <w:pPr>
        <w:ind w:firstLine="480"/>
        <w:rPr>
          <w:rFonts w:ascii="宋体" w:hAnsi="宋体"/>
          <w:sz w:val="24"/>
        </w:rPr>
      </w:pPr>
      <w:r>
        <w:rPr>
          <w:rFonts w:ascii="宋体" w:hAnsi="宋体" w:hint="eastAsia"/>
          <w:sz w:val="24"/>
        </w:rPr>
        <w:lastRenderedPageBreak/>
        <w:t>（以下无正文，为《华安证券股份有限公司关于安徽省交通建设股份有限公司非公开发行限售股上市流通的核查意见》之签署页）</w:t>
      </w:r>
    </w:p>
    <w:p w14:paraId="3D0C68F7" w14:textId="77777777" w:rsidR="00F8698B" w:rsidRDefault="00F8698B">
      <w:pPr>
        <w:ind w:firstLine="480"/>
        <w:rPr>
          <w:rFonts w:ascii="宋体" w:hAnsi="宋体"/>
          <w:sz w:val="24"/>
        </w:rPr>
      </w:pPr>
    </w:p>
    <w:p w14:paraId="2023AA24" w14:textId="77777777" w:rsidR="00F8698B" w:rsidRDefault="00F8698B">
      <w:pPr>
        <w:ind w:firstLine="480"/>
        <w:rPr>
          <w:rFonts w:ascii="宋体" w:hAnsi="宋体"/>
          <w:sz w:val="24"/>
        </w:rPr>
      </w:pPr>
    </w:p>
    <w:p w14:paraId="1342FBD3" w14:textId="77777777" w:rsidR="00F8698B" w:rsidRDefault="00F8698B">
      <w:pPr>
        <w:ind w:firstLine="480"/>
        <w:rPr>
          <w:rFonts w:ascii="宋体" w:hAnsi="宋体"/>
          <w:sz w:val="24"/>
        </w:rPr>
      </w:pPr>
    </w:p>
    <w:p w14:paraId="0BC391D7" w14:textId="77777777" w:rsidR="00F8698B" w:rsidRDefault="00F8698B">
      <w:pPr>
        <w:ind w:firstLine="480"/>
        <w:rPr>
          <w:rFonts w:ascii="宋体" w:hAnsi="宋体"/>
          <w:sz w:val="24"/>
        </w:rPr>
      </w:pPr>
    </w:p>
    <w:tbl>
      <w:tblPr>
        <w:tblW w:w="0" w:type="auto"/>
        <w:tblInd w:w="534" w:type="dxa"/>
        <w:tblLook w:val="04A0" w:firstRow="1" w:lastRow="0" w:firstColumn="1" w:lastColumn="0" w:noHBand="0" w:noVBand="1"/>
      </w:tblPr>
      <w:tblGrid>
        <w:gridCol w:w="2409"/>
        <w:gridCol w:w="1985"/>
        <w:gridCol w:w="454"/>
        <w:gridCol w:w="1985"/>
      </w:tblGrid>
      <w:tr w:rsidR="00F8698B" w14:paraId="0AB3E491" w14:textId="77777777">
        <w:trPr>
          <w:trHeight w:val="397"/>
        </w:trPr>
        <w:tc>
          <w:tcPr>
            <w:tcW w:w="2409" w:type="dxa"/>
            <w:shd w:val="clear" w:color="auto" w:fill="auto"/>
            <w:vAlign w:val="center"/>
          </w:tcPr>
          <w:p w14:paraId="68BEA3D1" w14:textId="77777777" w:rsidR="00F8698B" w:rsidRDefault="002A6C1A">
            <w:pPr>
              <w:ind w:firstLine="480"/>
              <w:jc w:val="left"/>
              <w:rPr>
                <w:rFonts w:ascii="宋体" w:hAnsi="宋体" w:cs="宋体"/>
                <w:kern w:val="0"/>
                <w:sz w:val="24"/>
              </w:rPr>
            </w:pPr>
            <w:r>
              <w:rPr>
                <w:rFonts w:ascii="宋体" w:hAnsi="宋体" w:cs="宋体"/>
                <w:kern w:val="0"/>
                <w:sz w:val="24"/>
              </w:rPr>
              <w:t>保荐</w:t>
            </w:r>
            <w:r>
              <w:rPr>
                <w:rFonts w:ascii="宋体" w:hAnsi="宋体" w:cs="宋体" w:hint="eastAsia"/>
                <w:kern w:val="0"/>
                <w:sz w:val="24"/>
              </w:rPr>
              <w:t>代表人</w:t>
            </w:r>
            <w:r>
              <w:rPr>
                <w:rFonts w:ascii="宋体" w:hAnsi="宋体" w:cs="宋体"/>
                <w:kern w:val="0"/>
                <w:sz w:val="24"/>
              </w:rPr>
              <w:t>：</w:t>
            </w:r>
          </w:p>
        </w:tc>
        <w:tc>
          <w:tcPr>
            <w:tcW w:w="1985" w:type="dxa"/>
            <w:tcBorders>
              <w:bottom w:val="single" w:sz="4" w:space="0" w:color="auto"/>
            </w:tcBorders>
            <w:shd w:val="clear" w:color="auto" w:fill="auto"/>
            <w:vAlign w:val="bottom"/>
          </w:tcPr>
          <w:p w14:paraId="749F8A66" w14:textId="77777777" w:rsidR="00F8698B" w:rsidRDefault="00F8698B">
            <w:pPr>
              <w:ind w:firstLine="480"/>
              <w:jc w:val="center"/>
              <w:rPr>
                <w:rFonts w:ascii="宋体" w:hAnsi="宋体" w:cs="宋体"/>
                <w:kern w:val="0"/>
                <w:sz w:val="24"/>
              </w:rPr>
            </w:pPr>
          </w:p>
        </w:tc>
        <w:tc>
          <w:tcPr>
            <w:tcW w:w="454" w:type="dxa"/>
          </w:tcPr>
          <w:p w14:paraId="278D6677" w14:textId="77777777" w:rsidR="00F8698B" w:rsidRDefault="00F8698B">
            <w:pPr>
              <w:ind w:firstLine="480"/>
              <w:jc w:val="center"/>
              <w:rPr>
                <w:rFonts w:ascii="宋体" w:hAnsi="宋体" w:cs="宋体"/>
                <w:kern w:val="0"/>
                <w:sz w:val="24"/>
              </w:rPr>
            </w:pPr>
          </w:p>
        </w:tc>
        <w:tc>
          <w:tcPr>
            <w:tcW w:w="1985" w:type="dxa"/>
            <w:tcBorders>
              <w:bottom w:val="single" w:sz="4" w:space="0" w:color="auto"/>
            </w:tcBorders>
          </w:tcPr>
          <w:p w14:paraId="76A09CFF" w14:textId="77777777" w:rsidR="00F8698B" w:rsidRDefault="00F8698B">
            <w:pPr>
              <w:ind w:firstLine="480"/>
              <w:jc w:val="center"/>
              <w:rPr>
                <w:rFonts w:ascii="宋体" w:hAnsi="宋体" w:cs="宋体"/>
                <w:kern w:val="0"/>
                <w:sz w:val="24"/>
              </w:rPr>
            </w:pPr>
          </w:p>
        </w:tc>
      </w:tr>
      <w:tr w:rsidR="00F8698B" w14:paraId="340E8BA3" w14:textId="77777777">
        <w:trPr>
          <w:trHeight w:val="397"/>
        </w:trPr>
        <w:tc>
          <w:tcPr>
            <w:tcW w:w="2409" w:type="dxa"/>
            <w:shd w:val="clear" w:color="auto" w:fill="auto"/>
            <w:vAlign w:val="center"/>
          </w:tcPr>
          <w:p w14:paraId="325440F4" w14:textId="77777777" w:rsidR="00F8698B" w:rsidRDefault="00F8698B">
            <w:pPr>
              <w:spacing w:beforeLines="50" w:before="156"/>
              <w:ind w:firstLine="480"/>
              <w:jc w:val="left"/>
              <w:rPr>
                <w:rFonts w:ascii="宋体" w:hAnsi="宋体" w:cs="宋体"/>
                <w:kern w:val="0"/>
                <w:sz w:val="24"/>
              </w:rPr>
            </w:pPr>
          </w:p>
        </w:tc>
        <w:tc>
          <w:tcPr>
            <w:tcW w:w="1985" w:type="dxa"/>
            <w:tcBorders>
              <w:top w:val="single" w:sz="4" w:space="0" w:color="auto"/>
            </w:tcBorders>
            <w:shd w:val="clear" w:color="auto" w:fill="auto"/>
            <w:vAlign w:val="center"/>
          </w:tcPr>
          <w:p w14:paraId="654CA5E8" w14:textId="77777777" w:rsidR="00F8698B" w:rsidRDefault="002A6C1A">
            <w:pPr>
              <w:spacing w:beforeLines="50" w:before="156"/>
              <w:ind w:firstLine="480"/>
              <w:rPr>
                <w:rFonts w:ascii="宋体" w:hAnsi="宋体" w:cs="宋体"/>
                <w:kern w:val="0"/>
                <w:sz w:val="24"/>
              </w:rPr>
            </w:pPr>
            <w:r>
              <w:rPr>
                <w:rFonts w:ascii="宋体" w:hAnsi="宋体" w:cs="宋体" w:hint="eastAsia"/>
                <w:kern w:val="0"/>
                <w:sz w:val="24"/>
              </w:rPr>
              <w:t>林斗志</w:t>
            </w:r>
          </w:p>
        </w:tc>
        <w:tc>
          <w:tcPr>
            <w:tcW w:w="454" w:type="dxa"/>
          </w:tcPr>
          <w:p w14:paraId="4885AA3E" w14:textId="77777777" w:rsidR="00F8698B" w:rsidRDefault="00F8698B">
            <w:pPr>
              <w:spacing w:beforeLines="50" w:before="156"/>
              <w:ind w:firstLine="480"/>
              <w:jc w:val="left"/>
              <w:rPr>
                <w:rFonts w:ascii="宋体" w:hAnsi="宋体" w:cs="宋体"/>
                <w:kern w:val="0"/>
                <w:sz w:val="24"/>
              </w:rPr>
            </w:pPr>
          </w:p>
        </w:tc>
        <w:tc>
          <w:tcPr>
            <w:tcW w:w="1985" w:type="dxa"/>
            <w:tcBorders>
              <w:top w:val="single" w:sz="4" w:space="0" w:color="auto"/>
            </w:tcBorders>
            <w:vAlign w:val="center"/>
          </w:tcPr>
          <w:p w14:paraId="4AE0FB1E" w14:textId="77777777" w:rsidR="00F8698B" w:rsidRDefault="002A6C1A">
            <w:pPr>
              <w:spacing w:beforeLines="50" w:before="156"/>
              <w:ind w:firstLine="480"/>
              <w:rPr>
                <w:rFonts w:ascii="宋体" w:hAnsi="宋体" w:cs="宋体"/>
                <w:kern w:val="0"/>
                <w:sz w:val="24"/>
              </w:rPr>
            </w:pPr>
            <w:r>
              <w:rPr>
                <w:rFonts w:ascii="宋体" w:hAnsi="宋体" w:cs="宋体" w:hint="eastAsia"/>
                <w:kern w:val="0"/>
                <w:sz w:val="24"/>
              </w:rPr>
              <w:t>李骘</w:t>
            </w:r>
          </w:p>
        </w:tc>
      </w:tr>
    </w:tbl>
    <w:p w14:paraId="2D0FA89C" w14:textId="77777777" w:rsidR="00F8698B" w:rsidRDefault="00F8698B">
      <w:pPr>
        <w:widowControl/>
        <w:ind w:firstLine="480"/>
        <w:jc w:val="left"/>
        <w:rPr>
          <w:rFonts w:ascii="宋体" w:hAnsi="宋体" w:cs="宋体"/>
          <w:kern w:val="0"/>
          <w:sz w:val="24"/>
        </w:rPr>
      </w:pPr>
    </w:p>
    <w:p w14:paraId="4CC42B95" w14:textId="77777777" w:rsidR="00F8698B" w:rsidRDefault="00F8698B">
      <w:pPr>
        <w:widowControl/>
        <w:ind w:firstLine="480"/>
        <w:jc w:val="left"/>
        <w:rPr>
          <w:rFonts w:ascii="宋体" w:hAnsi="宋体" w:cs="宋体"/>
          <w:kern w:val="0"/>
          <w:sz w:val="24"/>
        </w:rPr>
      </w:pPr>
    </w:p>
    <w:p w14:paraId="1CC8D4D6" w14:textId="77777777" w:rsidR="00F8698B" w:rsidRDefault="00F869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after="100" w:afterAutospacing="1"/>
        <w:ind w:right="-58" w:firstLine="480"/>
        <w:jc w:val="right"/>
        <w:rPr>
          <w:rFonts w:ascii="宋体" w:hAnsi="宋体" w:cs="宋体"/>
          <w:sz w:val="24"/>
        </w:rPr>
      </w:pPr>
    </w:p>
    <w:p w14:paraId="5F99EA2F" w14:textId="77777777" w:rsidR="00F8698B" w:rsidRDefault="002A6C1A" w:rsidP="006A4E99">
      <w:pPr>
        <w:spacing w:before="120"/>
        <w:ind w:right="720" w:firstLineChars="750" w:firstLine="1800"/>
        <w:jc w:val="right"/>
        <w:rPr>
          <w:rFonts w:ascii="宋体" w:hAnsi="宋体" w:cs="宋体"/>
          <w:sz w:val="24"/>
        </w:rPr>
      </w:pPr>
      <w:r>
        <w:rPr>
          <w:rFonts w:ascii="宋体" w:hAnsi="宋体" w:cs="宋体" w:hint="eastAsia"/>
          <w:sz w:val="24"/>
        </w:rPr>
        <w:t>华安证券股份有限公司</w:t>
      </w:r>
    </w:p>
    <w:p w14:paraId="30EFE1BC" w14:textId="6754B8C5" w:rsidR="00F8698B" w:rsidRDefault="006A4E99" w:rsidP="006A4E99">
      <w:pPr>
        <w:spacing w:beforeLines="50" w:before="156" w:afterLines="50" w:after="156"/>
        <w:ind w:rightChars="310" w:right="651" w:firstLine="480"/>
        <w:jc w:val="right"/>
        <w:rPr>
          <w:rFonts w:ascii="宋体" w:hAnsi="宋体"/>
          <w:sz w:val="24"/>
        </w:rPr>
      </w:pPr>
      <w:r>
        <w:rPr>
          <w:rFonts w:ascii="宋体" w:hAnsi="宋体" w:hint="eastAsia"/>
          <w:sz w:val="24"/>
        </w:rPr>
        <w:t>2</w:t>
      </w:r>
      <w:r>
        <w:rPr>
          <w:rFonts w:ascii="宋体" w:hAnsi="宋体"/>
          <w:sz w:val="24"/>
        </w:rPr>
        <w:t>021</w:t>
      </w:r>
      <w:r w:rsidR="002A6C1A">
        <w:rPr>
          <w:rFonts w:ascii="宋体" w:hAnsi="宋体"/>
          <w:sz w:val="24"/>
        </w:rPr>
        <w:t xml:space="preserve">年 </w:t>
      </w:r>
      <w:r>
        <w:rPr>
          <w:rFonts w:ascii="宋体" w:hAnsi="宋体"/>
          <w:sz w:val="24"/>
        </w:rPr>
        <w:t>12</w:t>
      </w:r>
      <w:r w:rsidR="002A6C1A">
        <w:rPr>
          <w:rFonts w:ascii="宋体" w:hAnsi="宋体"/>
          <w:sz w:val="24"/>
        </w:rPr>
        <w:t xml:space="preserve"> 月 </w:t>
      </w:r>
      <w:r>
        <w:rPr>
          <w:rFonts w:ascii="宋体" w:hAnsi="宋体"/>
          <w:sz w:val="24"/>
        </w:rPr>
        <w:t>29</w:t>
      </w:r>
      <w:r w:rsidR="002A6C1A">
        <w:rPr>
          <w:rFonts w:ascii="宋体" w:hAnsi="宋体"/>
          <w:sz w:val="24"/>
        </w:rPr>
        <w:t xml:space="preserve"> 日</w:t>
      </w:r>
    </w:p>
    <w:sectPr w:rsidR="00F869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3B1E" w14:textId="77777777" w:rsidR="00D66EDB" w:rsidRDefault="00D66EDB">
      <w:pPr>
        <w:spacing w:line="240" w:lineRule="auto"/>
        <w:ind w:firstLine="420"/>
      </w:pPr>
      <w:r>
        <w:separator/>
      </w:r>
    </w:p>
  </w:endnote>
  <w:endnote w:type="continuationSeparator" w:id="0">
    <w:p w14:paraId="446F22A8" w14:textId="77777777" w:rsidR="00D66EDB" w:rsidRDefault="00D66ED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00C" w14:textId="77777777" w:rsidR="00F8698B" w:rsidRDefault="00F8698B">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848" w14:textId="77777777" w:rsidR="00F8698B" w:rsidRDefault="00F8698B">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19C1" w14:textId="77777777" w:rsidR="00F8698B" w:rsidRDefault="00F8698B">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70DC" w14:textId="77777777" w:rsidR="00D66EDB" w:rsidRDefault="00D66EDB">
      <w:pPr>
        <w:ind w:firstLine="420"/>
      </w:pPr>
      <w:r>
        <w:separator/>
      </w:r>
    </w:p>
  </w:footnote>
  <w:footnote w:type="continuationSeparator" w:id="0">
    <w:p w14:paraId="46675128" w14:textId="77777777" w:rsidR="00D66EDB" w:rsidRDefault="00D66ED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B866" w14:textId="77777777" w:rsidR="00F8698B" w:rsidRDefault="00F8698B">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1C21" w14:textId="77777777" w:rsidR="00F8698B" w:rsidRDefault="00F8698B">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0D5E" w14:textId="77777777" w:rsidR="00F8698B" w:rsidRDefault="00F8698B">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CE"/>
    <w:rsid w:val="00023B58"/>
    <w:rsid w:val="00035A73"/>
    <w:rsid w:val="0004742F"/>
    <w:rsid w:val="00072161"/>
    <w:rsid w:val="0012241C"/>
    <w:rsid w:val="00146460"/>
    <w:rsid w:val="001A014E"/>
    <w:rsid w:val="001B38E3"/>
    <w:rsid w:val="0020252C"/>
    <w:rsid w:val="002578A0"/>
    <w:rsid w:val="002978FF"/>
    <w:rsid w:val="002A6C1A"/>
    <w:rsid w:val="002E78A9"/>
    <w:rsid w:val="003009FD"/>
    <w:rsid w:val="00321F1D"/>
    <w:rsid w:val="0033012B"/>
    <w:rsid w:val="00332E6A"/>
    <w:rsid w:val="003573EE"/>
    <w:rsid w:val="003B7EF8"/>
    <w:rsid w:val="003F6E28"/>
    <w:rsid w:val="00402CD0"/>
    <w:rsid w:val="004258A8"/>
    <w:rsid w:val="0049585B"/>
    <w:rsid w:val="004D6AAD"/>
    <w:rsid w:val="00535A91"/>
    <w:rsid w:val="00536DE6"/>
    <w:rsid w:val="00546A3E"/>
    <w:rsid w:val="005D0773"/>
    <w:rsid w:val="005D777E"/>
    <w:rsid w:val="005E6953"/>
    <w:rsid w:val="00602D85"/>
    <w:rsid w:val="006123F5"/>
    <w:rsid w:val="00614B5E"/>
    <w:rsid w:val="00624447"/>
    <w:rsid w:val="00634B5E"/>
    <w:rsid w:val="00645D2A"/>
    <w:rsid w:val="00666A90"/>
    <w:rsid w:val="00683FB1"/>
    <w:rsid w:val="006A4E99"/>
    <w:rsid w:val="006B08A4"/>
    <w:rsid w:val="006B5609"/>
    <w:rsid w:val="006E0658"/>
    <w:rsid w:val="007146EA"/>
    <w:rsid w:val="00753B63"/>
    <w:rsid w:val="00754FB1"/>
    <w:rsid w:val="007A3726"/>
    <w:rsid w:val="007B7928"/>
    <w:rsid w:val="007E1FE5"/>
    <w:rsid w:val="007F2584"/>
    <w:rsid w:val="00823D4A"/>
    <w:rsid w:val="00964A98"/>
    <w:rsid w:val="009928EA"/>
    <w:rsid w:val="00996CF7"/>
    <w:rsid w:val="00996DC5"/>
    <w:rsid w:val="009B081C"/>
    <w:rsid w:val="00A15335"/>
    <w:rsid w:val="00A542AE"/>
    <w:rsid w:val="00A65F3F"/>
    <w:rsid w:val="00AA483F"/>
    <w:rsid w:val="00AA673C"/>
    <w:rsid w:val="00AF3E42"/>
    <w:rsid w:val="00B3098C"/>
    <w:rsid w:val="00B52D14"/>
    <w:rsid w:val="00B556DC"/>
    <w:rsid w:val="00B87422"/>
    <w:rsid w:val="00BA7449"/>
    <w:rsid w:val="00C123A5"/>
    <w:rsid w:val="00C674AF"/>
    <w:rsid w:val="00CA26E6"/>
    <w:rsid w:val="00CC0220"/>
    <w:rsid w:val="00CF1870"/>
    <w:rsid w:val="00D25B88"/>
    <w:rsid w:val="00D355A1"/>
    <w:rsid w:val="00D37790"/>
    <w:rsid w:val="00D66EDB"/>
    <w:rsid w:val="00D83A27"/>
    <w:rsid w:val="00D94D73"/>
    <w:rsid w:val="00DA2888"/>
    <w:rsid w:val="00DA4E7F"/>
    <w:rsid w:val="00DB5EA1"/>
    <w:rsid w:val="00DC3B54"/>
    <w:rsid w:val="00E1203E"/>
    <w:rsid w:val="00E272F6"/>
    <w:rsid w:val="00ED6BCE"/>
    <w:rsid w:val="00F1520C"/>
    <w:rsid w:val="00F40410"/>
    <w:rsid w:val="00F57F5A"/>
    <w:rsid w:val="00F74A27"/>
    <w:rsid w:val="00F82802"/>
    <w:rsid w:val="00F8698B"/>
    <w:rsid w:val="75C8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CE666"/>
  <w15:docId w15:val="{8DE851C6-4B72-41ED-81F4-D2119641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outlineLvl w:val="0"/>
    </w:pPr>
    <w:rPr>
      <w:rFonts w:eastAsia="黑体"/>
      <w:b/>
      <w:bCs/>
      <w:color w:val="000000" w:themeColor="text1"/>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黑体"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pPr>
      <w:spacing w:line="240" w:lineRule="auto"/>
    </w:pPr>
    <w:rPr>
      <w:sz w:val="18"/>
      <w:szCs w:val="18"/>
    </w:rPr>
  </w:style>
  <w:style w:type="paragraph" w:styleId="a6">
    <w:name w:val="footer"/>
    <w:basedOn w:val="a"/>
    <w:link w:val="a7"/>
    <w:uiPriority w:val="99"/>
    <w:unhideWhenUsed/>
    <w:pPr>
      <w:tabs>
        <w:tab w:val="center" w:pos="4153"/>
        <w:tab w:val="right" w:pos="8306"/>
      </w:tabs>
      <w:spacing w:line="240" w:lineRule="auto"/>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pacing w:line="240" w:lineRule="auto"/>
      <w:jc w:val="center"/>
    </w:pPr>
    <w:rPr>
      <w:sz w:val="18"/>
      <w:szCs w:val="18"/>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eastAsia="黑体"/>
      <w:b/>
      <w:bCs/>
      <w:color w:val="000000" w:themeColor="text1"/>
      <w:kern w:val="44"/>
      <w:sz w:val="44"/>
      <w:szCs w:val="44"/>
    </w:rPr>
  </w:style>
  <w:style w:type="character" w:customStyle="1" w:styleId="20">
    <w:name w:val="标题 2 字符"/>
    <w:basedOn w:val="a0"/>
    <w:link w:val="2"/>
    <w:uiPriority w:val="9"/>
    <w:semiHidden/>
    <w:rPr>
      <w:rFonts w:asciiTheme="majorHAnsi" w:eastAsia="黑体" w:hAnsiTheme="majorHAnsi" w:cstheme="majorBidi"/>
      <w:bCs/>
      <w:sz w:val="36"/>
      <w:szCs w:val="32"/>
    </w:r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paragraph" w:styleId="ab">
    <w:name w:val="List Paragraph"/>
    <w:basedOn w:val="a"/>
    <w:uiPriority w:val="34"/>
    <w:qFormat/>
    <w:pPr>
      <w:adjustRightInd/>
      <w:snapToGrid/>
      <w:spacing w:line="240" w:lineRule="auto"/>
      <w:ind w:firstLine="420"/>
    </w:pPr>
  </w:style>
  <w:style w:type="paragraph" w:customStyle="1" w:styleId="11">
    <w:name w:val="表格1"/>
    <w:basedOn w:val="a"/>
    <w:qFormat/>
    <w:pPr>
      <w:autoSpaceDE w:val="0"/>
      <w:autoSpaceDN w:val="0"/>
      <w:spacing w:line="240" w:lineRule="auto"/>
      <w:ind w:firstLineChars="0" w:firstLine="0"/>
      <w:jc w:val="center"/>
    </w:pPr>
    <w:rPr>
      <w:color w:val="000000"/>
    </w:rPr>
  </w:style>
  <w:style w:type="character" w:customStyle="1" w:styleId="a5">
    <w:name w:val="批注框文本 字符"/>
    <w:basedOn w:val="a0"/>
    <w:link w:val="a4"/>
    <w:uiPriority w:val="99"/>
    <w:semiHidden/>
    <w:rPr>
      <w:rFonts w:ascii="Times New Roman" w:eastAsia="宋体" w:hAnsi="Times New Roman" w:cs="Times New Roman"/>
      <w:sz w:val="18"/>
      <w:szCs w:val="18"/>
    </w:rPr>
  </w:style>
  <w:style w:type="character" w:styleId="ac">
    <w:name w:val="annotation reference"/>
    <w:basedOn w:val="a0"/>
    <w:uiPriority w:val="99"/>
    <w:semiHidden/>
    <w:unhideWhenUsed/>
    <w:rPr>
      <w:sz w:val="21"/>
      <w:szCs w:val="21"/>
    </w:rPr>
  </w:style>
  <w:style w:type="paragraph" w:styleId="ad">
    <w:name w:val="Revision"/>
    <w:hidden/>
    <w:uiPriority w:val="99"/>
    <w:semiHidden/>
    <w:rsid w:val="00B556D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2070D3-3059-4775-BF5C-F27BD61851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明伟 薛</dc:creator>
  <cp:lastModifiedBy>林 玲</cp:lastModifiedBy>
  <cp:revision>172</cp:revision>
  <cp:lastPrinted>2021-12-20T01:51:00Z</cp:lastPrinted>
  <dcterms:created xsi:type="dcterms:W3CDTF">2021-11-09T02:29:00Z</dcterms:created>
  <dcterms:modified xsi:type="dcterms:W3CDTF">2021-12-29T06:38:00Z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8131F2E0EA214BA78377265DA281C4BB</vt:lpwstr>
  </property>
</Properties>
</file>