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48CEE" w14:textId="77777777" w:rsidR="00415B7B" w:rsidRDefault="00415B7B" w:rsidP="00415B7B">
      <w:pPr>
        <w:spacing w:line="360" w:lineRule="auto"/>
        <w:rPr>
          <w:sz w:val="24"/>
          <w:szCs w:val="24"/>
        </w:rPr>
      </w:pPr>
      <w:r>
        <w:rPr>
          <w:rFonts w:hint="eastAsia"/>
          <w:sz w:val="24"/>
          <w:szCs w:val="24"/>
        </w:rPr>
        <w:t>证券代码：603815           证券简称：</w:t>
      </w:r>
      <w:proofErr w:type="gramStart"/>
      <w:r>
        <w:rPr>
          <w:rFonts w:hint="eastAsia"/>
          <w:sz w:val="24"/>
          <w:szCs w:val="24"/>
        </w:rPr>
        <w:t>交建股份</w:t>
      </w:r>
      <w:proofErr w:type="gramEnd"/>
      <w:r>
        <w:rPr>
          <w:rFonts w:hint="eastAsia"/>
          <w:sz w:val="24"/>
          <w:szCs w:val="24"/>
        </w:rPr>
        <w:t xml:space="preserve">       公告编号：2021-</w:t>
      </w:r>
      <w:r w:rsidR="00846568">
        <w:rPr>
          <w:rFonts w:hint="eastAsia"/>
          <w:sz w:val="24"/>
          <w:szCs w:val="24"/>
        </w:rPr>
        <w:t>043</w:t>
      </w:r>
    </w:p>
    <w:p w14:paraId="592F5390" w14:textId="77777777" w:rsidR="0091013F" w:rsidRDefault="0091013F">
      <w:pPr>
        <w:pStyle w:val="a5"/>
        <w:jc w:val="center"/>
        <w:rPr>
          <w:rFonts w:asciiTheme="minorEastAsia" w:eastAsiaTheme="minorEastAsia" w:hAnsiTheme="minorEastAsia" w:cstheme="minorEastAsia"/>
          <w:b/>
          <w:bCs/>
          <w:kern w:val="2"/>
          <w:sz w:val="32"/>
          <w:szCs w:val="36"/>
          <w:lang w:val="en-US" w:bidi="ar-SA"/>
        </w:rPr>
      </w:pPr>
    </w:p>
    <w:p w14:paraId="07A591A2" w14:textId="77777777" w:rsidR="0091013F" w:rsidRDefault="00415B7B">
      <w:pPr>
        <w:pStyle w:val="a5"/>
        <w:spacing w:line="360" w:lineRule="auto"/>
        <w:jc w:val="center"/>
        <w:rPr>
          <w:rFonts w:asciiTheme="minorEastAsia" w:eastAsiaTheme="minorEastAsia" w:hAnsiTheme="minorEastAsia" w:cstheme="minorEastAsia"/>
          <w:b/>
          <w:bCs/>
          <w:kern w:val="2"/>
          <w:sz w:val="36"/>
          <w:szCs w:val="36"/>
          <w:lang w:val="en-US" w:bidi="ar-SA"/>
        </w:rPr>
      </w:pPr>
      <w:r>
        <w:rPr>
          <w:rFonts w:asciiTheme="minorEastAsia" w:eastAsiaTheme="minorEastAsia" w:hAnsiTheme="minorEastAsia" w:cstheme="minorEastAsia" w:hint="eastAsia"/>
          <w:b/>
          <w:bCs/>
          <w:kern w:val="2"/>
          <w:sz w:val="36"/>
          <w:szCs w:val="36"/>
          <w:lang w:val="en-US" w:bidi="ar-SA"/>
        </w:rPr>
        <w:t>安徽省交通建设</w:t>
      </w:r>
      <w:r w:rsidR="002F1F02">
        <w:rPr>
          <w:rFonts w:asciiTheme="minorEastAsia" w:eastAsiaTheme="minorEastAsia" w:hAnsiTheme="minorEastAsia" w:cstheme="minorEastAsia" w:hint="eastAsia"/>
          <w:b/>
          <w:bCs/>
          <w:kern w:val="2"/>
          <w:sz w:val="36"/>
          <w:szCs w:val="36"/>
          <w:lang w:val="en-US" w:bidi="ar-SA"/>
        </w:rPr>
        <w:t>股份有限公司</w:t>
      </w:r>
    </w:p>
    <w:p w14:paraId="75D0B0EA" w14:textId="77777777" w:rsidR="0091013F" w:rsidRDefault="002F1F02">
      <w:pPr>
        <w:pStyle w:val="a5"/>
        <w:spacing w:line="360" w:lineRule="auto"/>
        <w:jc w:val="center"/>
        <w:rPr>
          <w:rFonts w:asciiTheme="minorEastAsia" w:eastAsiaTheme="minorEastAsia" w:hAnsiTheme="minorEastAsia" w:cstheme="minorEastAsia"/>
          <w:b/>
          <w:bCs/>
          <w:kern w:val="2"/>
          <w:sz w:val="36"/>
          <w:szCs w:val="36"/>
          <w:lang w:val="en-US" w:bidi="ar-SA"/>
        </w:rPr>
      </w:pPr>
      <w:r>
        <w:rPr>
          <w:rFonts w:asciiTheme="minorEastAsia" w:eastAsiaTheme="minorEastAsia" w:hAnsiTheme="minorEastAsia" w:cstheme="minorEastAsia" w:hint="eastAsia"/>
          <w:b/>
          <w:bCs/>
          <w:kern w:val="2"/>
          <w:sz w:val="36"/>
          <w:szCs w:val="36"/>
          <w:lang w:val="en-US" w:bidi="ar-SA"/>
        </w:rPr>
        <w:t>关于变更公司注册资本</w:t>
      </w:r>
      <w:r w:rsidR="00415B7B">
        <w:rPr>
          <w:rFonts w:asciiTheme="minorEastAsia" w:eastAsiaTheme="minorEastAsia" w:hAnsiTheme="minorEastAsia" w:cstheme="minorEastAsia" w:hint="eastAsia"/>
          <w:b/>
          <w:bCs/>
          <w:kern w:val="2"/>
          <w:sz w:val="36"/>
          <w:szCs w:val="36"/>
          <w:lang w:val="en-US" w:bidi="ar-SA"/>
        </w:rPr>
        <w:t>及</w:t>
      </w:r>
      <w:r>
        <w:rPr>
          <w:rFonts w:asciiTheme="minorEastAsia" w:eastAsiaTheme="minorEastAsia" w:hAnsiTheme="minorEastAsia" w:cstheme="minorEastAsia" w:hint="eastAsia"/>
          <w:b/>
          <w:bCs/>
          <w:kern w:val="2"/>
          <w:sz w:val="36"/>
          <w:szCs w:val="36"/>
          <w:lang w:val="en-US" w:bidi="ar-SA"/>
        </w:rPr>
        <w:t>修订</w:t>
      </w:r>
      <w:r w:rsidR="00415B7B">
        <w:rPr>
          <w:rFonts w:asciiTheme="minorEastAsia" w:eastAsiaTheme="minorEastAsia" w:hAnsiTheme="minorEastAsia" w:cstheme="minorEastAsia" w:hint="eastAsia"/>
          <w:b/>
          <w:bCs/>
          <w:kern w:val="2"/>
          <w:sz w:val="36"/>
          <w:szCs w:val="36"/>
          <w:lang w:val="en-US" w:bidi="ar-SA"/>
        </w:rPr>
        <w:t>《</w:t>
      </w:r>
      <w:r>
        <w:rPr>
          <w:rFonts w:asciiTheme="minorEastAsia" w:eastAsiaTheme="minorEastAsia" w:hAnsiTheme="minorEastAsia" w:cstheme="minorEastAsia"/>
          <w:b/>
          <w:bCs/>
          <w:kern w:val="2"/>
          <w:sz w:val="36"/>
          <w:szCs w:val="36"/>
          <w:lang w:val="en-US" w:bidi="ar-SA"/>
        </w:rPr>
        <w:t>公司章程</w:t>
      </w:r>
      <w:r w:rsidR="00415B7B">
        <w:rPr>
          <w:rFonts w:asciiTheme="minorEastAsia" w:eastAsiaTheme="minorEastAsia" w:hAnsiTheme="minorEastAsia" w:cstheme="minorEastAsia" w:hint="eastAsia"/>
          <w:b/>
          <w:bCs/>
          <w:kern w:val="2"/>
          <w:sz w:val="36"/>
          <w:szCs w:val="36"/>
          <w:lang w:val="en-US" w:bidi="ar-SA"/>
        </w:rPr>
        <w:t>》</w:t>
      </w:r>
      <w:r>
        <w:rPr>
          <w:rFonts w:asciiTheme="minorEastAsia" w:eastAsiaTheme="minorEastAsia" w:hAnsiTheme="minorEastAsia" w:cstheme="minorEastAsia" w:hint="eastAsia"/>
          <w:b/>
          <w:bCs/>
          <w:kern w:val="2"/>
          <w:sz w:val="36"/>
          <w:szCs w:val="36"/>
          <w:lang w:val="en-US" w:bidi="ar-SA"/>
        </w:rPr>
        <w:t>的公告</w:t>
      </w:r>
    </w:p>
    <w:p w14:paraId="622002A2" w14:textId="77777777" w:rsidR="0091013F" w:rsidRDefault="002F1F02" w:rsidP="00D67A7D">
      <w:pPr>
        <w:pStyle w:val="a5"/>
        <w:rPr>
          <w:rFonts w:asciiTheme="minorEastAsia" w:eastAsiaTheme="minorEastAsia" w:hAnsiTheme="minorEastAsia" w:cstheme="minorEastAsia" w:hint="eastAsia"/>
          <w:b/>
          <w:bCs/>
          <w:kern w:val="2"/>
          <w:sz w:val="32"/>
          <w:szCs w:val="36"/>
          <w:lang w:val="en-US" w:bidi="ar-SA"/>
        </w:rPr>
      </w:pPr>
      <w:r>
        <w:rPr>
          <w:rFonts w:asciiTheme="minorEastAsia" w:eastAsiaTheme="minorEastAsia" w:hAnsiTheme="minorEastAsia" w:cstheme="minorEastAsia"/>
          <w:b/>
          <w:bCs/>
          <w:noProof/>
          <w:kern w:val="2"/>
          <w:sz w:val="32"/>
          <w:szCs w:val="36"/>
          <w:lang w:val="en-US" w:bidi="ar-SA"/>
        </w:rPr>
        <mc:AlternateContent>
          <mc:Choice Requires="wps">
            <w:drawing>
              <wp:anchor distT="0" distB="0" distL="0" distR="0" simplePos="0" relativeHeight="251659264" behindDoc="0" locked="0" layoutInCell="1" allowOverlap="1" wp14:anchorId="4DDC5005" wp14:editId="17F6A623">
                <wp:simplePos x="0" y="0"/>
                <wp:positionH relativeFrom="page">
                  <wp:posOffset>1143000</wp:posOffset>
                </wp:positionH>
                <wp:positionV relativeFrom="paragraph">
                  <wp:posOffset>106680</wp:posOffset>
                </wp:positionV>
                <wp:extent cx="5359400" cy="714375"/>
                <wp:effectExtent l="9525" t="11430" r="12700" b="7620"/>
                <wp:wrapTopAndBottom/>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400" cy="714375"/>
                        </a:xfrm>
                        <a:prstGeom prst="rect">
                          <a:avLst/>
                        </a:prstGeom>
                        <a:noFill/>
                        <a:ln w="9525">
                          <a:solidFill>
                            <a:srgbClr val="000000"/>
                          </a:solidFill>
                          <a:prstDash val="solid"/>
                          <a:miter lim="800000"/>
                        </a:ln>
                      </wps:spPr>
                      <wps:txbx>
                        <w:txbxContent>
                          <w:p w14:paraId="3915C9A3" w14:textId="77777777" w:rsidR="0091013F" w:rsidRDefault="002F1F02">
                            <w:pPr>
                              <w:pStyle w:val="a5"/>
                              <w:spacing w:before="115" w:line="352" w:lineRule="auto"/>
                              <w:ind w:left="147" w:firstLine="480"/>
                            </w:pPr>
                            <w:r>
                              <w:t>本公司及董事会全体成员保证信息披露内容的真实、准确和完整，没有虚假记载、误导性陈述或重大遗漏。</w:t>
                            </w:r>
                          </w:p>
                        </w:txbxContent>
                      </wps:txbx>
                      <wps:bodyPr rot="0" vert="horz" wrap="square" lIns="0" tIns="0" rIns="0" bIns="0" anchor="t" anchorCtr="0" upright="1">
                        <a:noAutofit/>
                      </wps:bodyPr>
                    </wps:wsp>
                  </a:graphicData>
                </a:graphic>
              </wp:anchor>
            </w:drawing>
          </mc:Choice>
          <mc:Fallback>
            <w:pict>
              <v:shapetype w14:anchorId="4DDC5005" id="_x0000_t202" coordsize="21600,21600" o:spt="202" path="m,l,21600r21600,l21600,xe">
                <v:stroke joinstyle="miter"/>
                <v:path gradientshapeok="t" o:connecttype="rect"/>
              </v:shapetype>
              <v:shape id="文本框 2" o:spid="_x0000_s1026" type="#_x0000_t202" style="position:absolute;margin-left:90pt;margin-top:8.4pt;width:422pt;height:56.2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" filled="f">
                <v:textbox inset="0,0,0,0">
                  <w:txbxContent>
                    <w:p w14:paraId="3915C9A3" w14:textId="77777777" w:rsidR="0091013F" w:rsidRDefault="002F1F02">
                      <w:pPr>
                        <w:pStyle w:val="a5"/>
                        <w:spacing w:before="115" w:line="352" w:lineRule="auto"/>
                        <w:ind w:left="147" w:firstLine="480"/>
                      </w:pPr>
                      <w:r>
                        <w:t>本公司及董事会全体成员保证信息披露内容的真实、准确和完整，没有虚假记载、误导性陈述或重大遗漏。</w:t>
                      </w:r>
                    </w:p>
                  </w:txbxContent>
                </v:textbox>
                <w10:wrap type="topAndBottom" anchorx="page"/>
              </v:shape>
            </w:pict>
          </mc:Fallback>
        </mc:AlternateContent>
      </w:r>
    </w:p>
    <w:p w14:paraId="0111E3FC" w14:textId="77777777" w:rsidR="00477E18" w:rsidRPr="00D67A7D" w:rsidRDefault="00477E18" w:rsidP="00D67A7D">
      <w:pPr>
        <w:pStyle w:val="a5"/>
        <w:spacing w:line="480" w:lineRule="exact"/>
        <w:ind w:left="221" w:right="238" w:firstLineChars="200" w:firstLine="480"/>
        <w:jc w:val="both"/>
        <w:rPr>
          <w:rFonts w:asciiTheme="minorEastAsia" w:eastAsiaTheme="minorEastAsia" w:hAnsiTheme="minorEastAsia"/>
        </w:rPr>
      </w:pPr>
      <w:r w:rsidRPr="00D67A7D">
        <w:rPr>
          <w:rFonts w:asciiTheme="minorEastAsia" w:eastAsiaTheme="minorEastAsia" w:hAnsiTheme="minorEastAsia" w:hint="eastAsia"/>
        </w:rPr>
        <w:t>经中国证券监督管理委员会</w:t>
      </w:r>
      <w:r w:rsidRPr="00D67A7D">
        <w:rPr>
          <w:rFonts w:asciiTheme="minorEastAsia" w:eastAsiaTheme="minorEastAsia" w:hAnsiTheme="minorEastAsia"/>
        </w:rPr>
        <w:t>《关于核准安徽省交通建设股份有限公司非公开发行股票的批复》（证监许可〔2021〕18号）</w:t>
      </w:r>
      <w:r w:rsidRPr="00D67A7D">
        <w:rPr>
          <w:rFonts w:asciiTheme="minorEastAsia" w:eastAsiaTheme="minorEastAsia" w:hAnsiTheme="minorEastAsia" w:hint="eastAsia"/>
        </w:rPr>
        <w:t>核准，安徽省交通建设股份有限公司（以下简称“公司”或“交建股份”）非公开发行股票数量</w:t>
      </w:r>
      <w:r w:rsidRPr="00D67A7D">
        <w:rPr>
          <w:rFonts w:asciiTheme="minorEastAsia" w:eastAsiaTheme="minorEastAsia" w:hAnsiTheme="minorEastAsia"/>
        </w:rPr>
        <w:t>119,924,235</w:t>
      </w:r>
      <w:r w:rsidRPr="00D67A7D">
        <w:rPr>
          <w:rFonts w:asciiTheme="minorEastAsia" w:eastAsiaTheme="minorEastAsia" w:hAnsiTheme="minorEastAsia" w:hint="eastAsia"/>
        </w:rPr>
        <w:t>股，发行后公司总股本为</w:t>
      </w:r>
      <w:r w:rsidRPr="00D67A7D">
        <w:rPr>
          <w:rFonts w:asciiTheme="minorEastAsia" w:eastAsiaTheme="minorEastAsia" w:hAnsiTheme="minorEastAsia"/>
        </w:rPr>
        <w:t>618,924,235</w:t>
      </w:r>
      <w:r w:rsidRPr="00D67A7D">
        <w:rPr>
          <w:rFonts w:asciiTheme="minorEastAsia" w:eastAsiaTheme="minorEastAsia" w:hAnsiTheme="minorEastAsia" w:hint="eastAsia"/>
        </w:rPr>
        <w:t>股。本次发行新增股份已于</w:t>
      </w:r>
      <w:r w:rsidRPr="00D67A7D">
        <w:rPr>
          <w:rFonts w:asciiTheme="minorEastAsia" w:eastAsiaTheme="minorEastAsia" w:hAnsiTheme="minorEastAsia"/>
        </w:rPr>
        <w:t>2021年</w:t>
      </w:r>
      <w:r w:rsidRPr="00D67A7D">
        <w:rPr>
          <w:rFonts w:asciiTheme="minorEastAsia" w:eastAsiaTheme="minorEastAsia" w:hAnsiTheme="minorEastAsia" w:hint="eastAsia"/>
        </w:rPr>
        <w:t>7</w:t>
      </w:r>
      <w:r w:rsidRPr="00D67A7D">
        <w:rPr>
          <w:rFonts w:asciiTheme="minorEastAsia" w:eastAsiaTheme="minorEastAsia" w:hAnsiTheme="minorEastAsia"/>
        </w:rPr>
        <w:t>月</w:t>
      </w:r>
      <w:r w:rsidRPr="00D67A7D">
        <w:rPr>
          <w:rFonts w:asciiTheme="minorEastAsia" w:eastAsiaTheme="minorEastAsia" w:hAnsiTheme="minorEastAsia" w:hint="eastAsia"/>
        </w:rPr>
        <w:t>5</w:t>
      </w:r>
      <w:r w:rsidRPr="00D67A7D">
        <w:rPr>
          <w:rFonts w:asciiTheme="minorEastAsia" w:eastAsiaTheme="minorEastAsia" w:hAnsiTheme="minorEastAsia"/>
        </w:rPr>
        <w:t>日在</w:t>
      </w:r>
      <w:r w:rsidRPr="00D67A7D">
        <w:rPr>
          <w:rFonts w:asciiTheme="minorEastAsia" w:eastAsiaTheme="minorEastAsia" w:hAnsiTheme="minorEastAsia" w:hint="eastAsia"/>
        </w:rPr>
        <w:t>中国证券登记结算有限责任公司</w:t>
      </w:r>
      <w:r w:rsidRPr="00D67A7D">
        <w:rPr>
          <w:rFonts w:asciiTheme="minorEastAsia" w:eastAsiaTheme="minorEastAsia" w:hAnsiTheme="minorEastAsia"/>
        </w:rPr>
        <w:t>上海分公司办理完毕登记托管相关事宜。</w:t>
      </w:r>
    </w:p>
    <w:p w14:paraId="2663F9F0" w14:textId="77777777" w:rsidR="00477E18" w:rsidRPr="00D67A7D" w:rsidRDefault="00477E18" w:rsidP="006E1061">
      <w:pPr>
        <w:pStyle w:val="a5"/>
        <w:spacing w:afterLines="100" w:after="240" w:line="480" w:lineRule="exact"/>
        <w:ind w:left="221" w:right="238" w:firstLineChars="200" w:firstLine="480"/>
        <w:jc w:val="both"/>
        <w:rPr>
          <w:rFonts w:asciiTheme="minorEastAsia" w:eastAsiaTheme="minorEastAsia" w:hAnsiTheme="minorEastAsia"/>
        </w:rPr>
      </w:pPr>
      <w:r w:rsidRPr="00D67A7D">
        <w:rPr>
          <w:rFonts w:asciiTheme="minorEastAsia" w:eastAsiaTheme="minorEastAsia" w:hAnsiTheme="minorEastAsia"/>
        </w:rPr>
        <w:t>根据《中华人民共和国公司法》</w:t>
      </w:r>
      <w:r w:rsidRPr="00D67A7D">
        <w:rPr>
          <w:rFonts w:asciiTheme="minorEastAsia" w:eastAsiaTheme="minorEastAsia" w:hAnsiTheme="minorEastAsia" w:hint="eastAsia"/>
        </w:rPr>
        <w:t>、</w:t>
      </w:r>
      <w:r w:rsidRPr="00D67A7D">
        <w:rPr>
          <w:rFonts w:asciiTheme="minorEastAsia" w:eastAsiaTheme="minorEastAsia" w:hAnsiTheme="minorEastAsia"/>
        </w:rPr>
        <w:t>《中华人民共和国证券法》</w:t>
      </w:r>
      <w:r w:rsidRPr="00D67A7D">
        <w:rPr>
          <w:rFonts w:asciiTheme="minorEastAsia" w:eastAsiaTheme="minorEastAsia" w:hAnsiTheme="minorEastAsia" w:hint="eastAsia"/>
        </w:rPr>
        <w:t>、</w:t>
      </w:r>
      <w:r w:rsidRPr="00D67A7D">
        <w:rPr>
          <w:rFonts w:asciiTheme="minorEastAsia" w:eastAsiaTheme="minorEastAsia" w:hAnsiTheme="minorEastAsia"/>
        </w:rPr>
        <w:t>《上市公司章程指引（2019 修订）》等法律、法规、规范性文件的规定，本次非公开发行股票完成后</w:t>
      </w:r>
      <w:r w:rsidRPr="00D67A7D">
        <w:rPr>
          <w:rFonts w:asciiTheme="minorEastAsia" w:eastAsiaTheme="minorEastAsia" w:hAnsiTheme="minorEastAsia" w:hint="eastAsia"/>
        </w:rPr>
        <w:t>，</w:t>
      </w:r>
      <w:r w:rsidRPr="00D67A7D">
        <w:rPr>
          <w:rFonts w:asciiTheme="minorEastAsia" w:eastAsiaTheme="minorEastAsia" w:hAnsiTheme="minorEastAsia"/>
        </w:rPr>
        <w:t>公司注册资本发生了变化</w:t>
      </w:r>
      <w:r w:rsidRPr="00D67A7D">
        <w:rPr>
          <w:rFonts w:asciiTheme="minorEastAsia" w:eastAsiaTheme="minorEastAsia" w:hAnsiTheme="minorEastAsia" w:hint="eastAsia"/>
        </w:rPr>
        <w:t>，现拟对原《公司章程》涉及公司总股本、注册资本相关条款进行修订，</w:t>
      </w:r>
      <w:r w:rsidRPr="00D67A7D">
        <w:rPr>
          <w:rFonts w:asciiTheme="minorEastAsia" w:eastAsiaTheme="minorEastAsia" w:hAnsiTheme="minorEastAsia"/>
        </w:rPr>
        <w:t>具体</w:t>
      </w:r>
      <w:r w:rsidRPr="00D67A7D">
        <w:rPr>
          <w:rFonts w:asciiTheme="minorEastAsia" w:eastAsiaTheme="minorEastAsia" w:hAnsiTheme="minorEastAsia" w:hint="eastAsia"/>
        </w:rPr>
        <w:t>修订</w:t>
      </w:r>
      <w:r w:rsidRPr="00D67A7D">
        <w:rPr>
          <w:rFonts w:asciiTheme="minorEastAsia" w:eastAsiaTheme="minorEastAsia" w:hAnsiTheme="minorEastAsia"/>
        </w:rPr>
        <w:t>内容</w:t>
      </w:r>
      <w:r w:rsidRPr="00D67A7D">
        <w:rPr>
          <w:rFonts w:asciiTheme="minorEastAsia" w:eastAsiaTheme="minorEastAsia" w:hAnsiTheme="minorEastAsia" w:hint="eastAsia"/>
        </w:rPr>
        <w:t>如</w:t>
      </w:r>
      <w:r w:rsidRPr="00D67A7D">
        <w:rPr>
          <w:rFonts w:asciiTheme="minorEastAsia" w:eastAsiaTheme="minorEastAsia" w:hAnsiTheme="minorEastAsia"/>
        </w:rPr>
        <w:t>下：</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6"/>
        <w:gridCol w:w="3508"/>
        <w:gridCol w:w="3712"/>
      </w:tblGrid>
      <w:tr w:rsidR="00477E18" w:rsidRPr="001B126F" w14:paraId="3D8ADDB3" w14:textId="77777777" w:rsidTr="006E1061">
        <w:trPr>
          <w:trHeight w:val="501"/>
        </w:trPr>
        <w:tc>
          <w:tcPr>
            <w:tcW w:w="1306" w:type="dxa"/>
            <w:vAlign w:val="center"/>
          </w:tcPr>
          <w:p w14:paraId="6478394A" w14:textId="77777777" w:rsidR="00477E18" w:rsidRPr="001B126F" w:rsidRDefault="00477E18" w:rsidP="00935783">
            <w:pPr>
              <w:pStyle w:val="TableParagraph"/>
              <w:spacing w:beforeLines="50" w:before="120" w:line="360" w:lineRule="auto"/>
              <w:ind w:left="159" w:right="153"/>
              <w:jc w:val="center"/>
              <w:rPr>
                <w:rFonts w:asciiTheme="minorEastAsia" w:hAnsiTheme="minorEastAsia"/>
                <w:b/>
                <w:sz w:val="24"/>
                <w:szCs w:val="24"/>
              </w:rPr>
            </w:pPr>
            <w:r w:rsidRPr="001B126F">
              <w:rPr>
                <w:rFonts w:asciiTheme="minorEastAsia" w:hAnsiTheme="minorEastAsia"/>
                <w:b/>
                <w:sz w:val="24"/>
                <w:szCs w:val="24"/>
              </w:rPr>
              <w:t>条款</w:t>
            </w:r>
          </w:p>
        </w:tc>
        <w:tc>
          <w:tcPr>
            <w:tcW w:w="3508" w:type="dxa"/>
            <w:vAlign w:val="center"/>
          </w:tcPr>
          <w:p w14:paraId="733AADB3" w14:textId="77777777" w:rsidR="00477E18" w:rsidRPr="001B126F" w:rsidRDefault="00477E18" w:rsidP="00935783">
            <w:pPr>
              <w:pStyle w:val="TableParagraph"/>
              <w:spacing w:beforeLines="50" w:before="120" w:line="360" w:lineRule="auto"/>
              <w:ind w:left="0" w:right="1299"/>
              <w:jc w:val="center"/>
              <w:rPr>
                <w:rFonts w:asciiTheme="minorEastAsia" w:hAnsiTheme="minorEastAsia"/>
                <w:b/>
                <w:sz w:val="24"/>
                <w:szCs w:val="24"/>
              </w:rPr>
            </w:pPr>
            <w:r w:rsidRPr="001B126F">
              <w:rPr>
                <w:rFonts w:asciiTheme="minorEastAsia" w:hAnsiTheme="minorEastAsia"/>
                <w:b/>
                <w:sz w:val="24"/>
                <w:szCs w:val="24"/>
              </w:rPr>
              <w:t>原章程</w:t>
            </w:r>
            <w:r w:rsidRPr="001B126F">
              <w:rPr>
                <w:rFonts w:asciiTheme="minorEastAsia" w:hAnsiTheme="minorEastAsia" w:hint="eastAsia"/>
                <w:b/>
                <w:sz w:val="24"/>
                <w:szCs w:val="24"/>
              </w:rPr>
              <w:t>条款</w:t>
            </w:r>
            <w:r w:rsidRPr="001B126F">
              <w:rPr>
                <w:rFonts w:asciiTheme="minorEastAsia" w:hAnsiTheme="minorEastAsia"/>
                <w:b/>
                <w:sz w:val="24"/>
                <w:szCs w:val="24"/>
              </w:rPr>
              <w:t>内容</w:t>
            </w:r>
          </w:p>
        </w:tc>
        <w:tc>
          <w:tcPr>
            <w:tcW w:w="3712" w:type="dxa"/>
            <w:vAlign w:val="center"/>
          </w:tcPr>
          <w:p w14:paraId="2D269E12" w14:textId="77777777" w:rsidR="00477E18" w:rsidRPr="001B126F" w:rsidRDefault="00477E18" w:rsidP="00935783">
            <w:pPr>
              <w:pStyle w:val="TableParagraph"/>
              <w:spacing w:beforeLines="50" w:before="120" w:line="360" w:lineRule="auto"/>
              <w:jc w:val="center"/>
              <w:rPr>
                <w:rFonts w:asciiTheme="minorEastAsia" w:hAnsiTheme="minorEastAsia"/>
                <w:b/>
                <w:sz w:val="24"/>
                <w:szCs w:val="24"/>
              </w:rPr>
            </w:pPr>
            <w:r w:rsidRPr="001B126F">
              <w:rPr>
                <w:rFonts w:asciiTheme="minorEastAsia" w:hAnsiTheme="minorEastAsia"/>
                <w:b/>
                <w:sz w:val="24"/>
                <w:szCs w:val="24"/>
              </w:rPr>
              <w:t>修改后章程</w:t>
            </w:r>
            <w:r w:rsidRPr="001B126F">
              <w:rPr>
                <w:rFonts w:asciiTheme="minorEastAsia" w:hAnsiTheme="minorEastAsia" w:hint="eastAsia"/>
                <w:b/>
                <w:sz w:val="24"/>
                <w:szCs w:val="24"/>
              </w:rPr>
              <w:t>条款</w:t>
            </w:r>
            <w:r w:rsidRPr="001B126F">
              <w:rPr>
                <w:rFonts w:asciiTheme="minorEastAsia" w:hAnsiTheme="minorEastAsia"/>
                <w:b/>
                <w:sz w:val="24"/>
                <w:szCs w:val="24"/>
              </w:rPr>
              <w:t>内容</w:t>
            </w:r>
          </w:p>
        </w:tc>
      </w:tr>
      <w:tr w:rsidR="00477E18" w:rsidRPr="001B126F" w14:paraId="3581050C" w14:textId="77777777" w:rsidTr="006E1061">
        <w:trPr>
          <w:trHeight w:val="340"/>
        </w:trPr>
        <w:tc>
          <w:tcPr>
            <w:tcW w:w="1306" w:type="dxa"/>
            <w:vAlign w:val="center"/>
          </w:tcPr>
          <w:p w14:paraId="1367E89B" w14:textId="77777777" w:rsidR="00477E18" w:rsidRPr="001B126F" w:rsidRDefault="00477E18" w:rsidP="00477E18">
            <w:pPr>
              <w:pStyle w:val="TableParagraph"/>
              <w:spacing w:beforeLines="50" w:before="120" w:line="360" w:lineRule="auto"/>
              <w:ind w:left="108" w:rightChars="60" w:right="132"/>
              <w:jc w:val="both"/>
              <w:rPr>
                <w:rFonts w:asciiTheme="minorEastAsia" w:hAnsiTheme="minorEastAsia"/>
                <w:sz w:val="24"/>
                <w:szCs w:val="24"/>
              </w:rPr>
            </w:pPr>
            <w:r w:rsidRPr="001B126F">
              <w:rPr>
                <w:rFonts w:asciiTheme="minorEastAsia" w:hAnsiTheme="minorEastAsia"/>
                <w:sz w:val="24"/>
                <w:szCs w:val="24"/>
              </w:rPr>
              <w:t>第</w:t>
            </w:r>
            <w:r w:rsidRPr="001B126F">
              <w:rPr>
                <w:rFonts w:asciiTheme="minorEastAsia" w:hAnsiTheme="minorEastAsia" w:hint="eastAsia"/>
                <w:sz w:val="24"/>
                <w:szCs w:val="24"/>
              </w:rPr>
              <w:t>六</w:t>
            </w:r>
            <w:r w:rsidRPr="001B126F">
              <w:rPr>
                <w:rFonts w:asciiTheme="minorEastAsia" w:hAnsiTheme="minorEastAsia"/>
                <w:sz w:val="24"/>
                <w:szCs w:val="24"/>
              </w:rPr>
              <w:t>条</w:t>
            </w:r>
          </w:p>
        </w:tc>
        <w:tc>
          <w:tcPr>
            <w:tcW w:w="3508" w:type="dxa"/>
            <w:vAlign w:val="center"/>
          </w:tcPr>
          <w:p w14:paraId="14534E37" w14:textId="77777777" w:rsidR="00477E18" w:rsidRPr="001B126F" w:rsidRDefault="00477E18" w:rsidP="00DD3C83">
            <w:pPr>
              <w:pStyle w:val="TableParagraph"/>
              <w:spacing w:beforeLines="50" w:before="120" w:line="360" w:lineRule="auto"/>
              <w:ind w:left="108" w:rightChars="60" w:right="132"/>
              <w:rPr>
                <w:rFonts w:asciiTheme="minorEastAsia" w:hAnsiTheme="minorEastAsia" w:cs="Times New Roman"/>
                <w:kern w:val="2"/>
                <w:sz w:val="24"/>
                <w:szCs w:val="24"/>
                <w:lang w:val="en-US" w:bidi="ar-SA"/>
              </w:rPr>
            </w:pPr>
            <w:r w:rsidRPr="001B126F">
              <w:rPr>
                <w:rFonts w:asciiTheme="minorEastAsia" w:hAnsiTheme="minorEastAsia" w:cs="Times New Roman"/>
                <w:kern w:val="2"/>
                <w:sz w:val="24"/>
                <w:szCs w:val="24"/>
                <w:lang w:val="en-US" w:bidi="ar-SA"/>
              </w:rPr>
              <w:t>公司注册资本为人民币</w:t>
            </w:r>
            <w:r w:rsidRPr="001B126F">
              <w:rPr>
                <w:rFonts w:asciiTheme="minorEastAsia" w:hAnsiTheme="minorEastAsia" w:cs="Times New Roman" w:hint="eastAsia"/>
                <w:kern w:val="2"/>
                <w:sz w:val="24"/>
                <w:szCs w:val="24"/>
                <w:lang w:val="en-US" w:bidi="ar-SA"/>
              </w:rPr>
              <w:t>499,000,000</w:t>
            </w:r>
            <w:r w:rsidRPr="001B126F">
              <w:rPr>
                <w:rFonts w:asciiTheme="minorEastAsia" w:hAnsiTheme="minorEastAsia" w:cs="Times New Roman"/>
                <w:kern w:val="2"/>
                <w:sz w:val="24"/>
                <w:szCs w:val="24"/>
                <w:lang w:val="en-US" w:bidi="ar-SA"/>
              </w:rPr>
              <w:t>元。</w:t>
            </w:r>
          </w:p>
        </w:tc>
        <w:tc>
          <w:tcPr>
            <w:tcW w:w="3712" w:type="dxa"/>
            <w:vAlign w:val="center"/>
          </w:tcPr>
          <w:p w14:paraId="5AEC4788" w14:textId="77777777" w:rsidR="00477E18" w:rsidRPr="001B126F" w:rsidRDefault="00477E18" w:rsidP="00DD3C83">
            <w:pPr>
              <w:pStyle w:val="TableParagraph"/>
              <w:spacing w:beforeLines="50" w:before="120" w:line="360" w:lineRule="auto"/>
              <w:ind w:left="108" w:rightChars="60" w:right="132"/>
              <w:rPr>
                <w:rFonts w:asciiTheme="minorEastAsia" w:hAnsiTheme="minorEastAsia" w:cs="Times New Roman"/>
                <w:kern w:val="2"/>
                <w:sz w:val="24"/>
                <w:szCs w:val="24"/>
                <w:lang w:val="en-US" w:bidi="ar-SA"/>
              </w:rPr>
            </w:pPr>
            <w:r w:rsidRPr="001B126F">
              <w:rPr>
                <w:rFonts w:asciiTheme="minorEastAsia" w:hAnsiTheme="minorEastAsia" w:cs="Times New Roman"/>
                <w:kern w:val="2"/>
                <w:sz w:val="24"/>
                <w:szCs w:val="24"/>
                <w:lang w:val="en-US" w:bidi="ar-SA"/>
              </w:rPr>
              <w:t>公司注册资本为人民币</w:t>
            </w:r>
            <w:r w:rsidRPr="001B126F">
              <w:rPr>
                <w:rFonts w:asciiTheme="minorEastAsia" w:hAnsiTheme="minorEastAsia"/>
                <w:color w:val="000000" w:themeColor="text1"/>
                <w:sz w:val="24"/>
                <w:szCs w:val="24"/>
              </w:rPr>
              <w:t>618,924,235</w:t>
            </w:r>
            <w:r w:rsidRPr="001B126F">
              <w:rPr>
                <w:rFonts w:asciiTheme="minorEastAsia" w:hAnsiTheme="minorEastAsia" w:cs="Times New Roman"/>
                <w:kern w:val="2"/>
                <w:sz w:val="24"/>
                <w:szCs w:val="24"/>
                <w:lang w:val="en-US" w:bidi="ar-SA"/>
              </w:rPr>
              <w:t>元。</w:t>
            </w:r>
          </w:p>
        </w:tc>
      </w:tr>
      <w:tr w:rsidR="00477E18" w:rsidRPr="001B126F" w14:paraId="1D804B3B" w14:textId="77777777" w:rsidTr="006E1061">
        <w:trPr>
          <w:trHeight w:val="340"/>
        </w:trPr>
        <w:tc>
          <w:tcPr>
            <w:tcW w:w="1306" w:type="dxa"/>
            <w:vAlign w:val="center"/>
          </w:tcPr>
          <w:p w14:paraId="31AB72A1" w14:textId="77777777" w:rsidR="00477E18" w:rsidRPr="001B126F" w:rsidRDefault="00477E18" w:rsidP="00477E18">
            <w:pPr>
              <w:pStyle w:val="TableParagraph"/>
              <w:spacing w:beforeLines="50" w:before="120" w:line="360" w:lineRule="auto"/>
              <w:ind w:left="108" w:rightChars="60" w:right="132"/>
              <w:jc w:val="both"/>
              <w:rPr>
                <w:rFonts w:asciiTheme="minorEastAsia" w:hAnsiTheme="minorEastAsia"/>
                <w:sz w:val="24"/>
                <w:szCs w:val="24"/>
              </w:rPr>
            </w:pPr>
            <w:r w:rsidRPr="001B126F">
              <w:rPr>
                <w:rFonts w:asciiTheme="minorEastAsia" w:hAnsiTheme="minorEastAsia"/>
                <w:sz w:val="24"/>
                <w:szCs w:val="24"/>
              </w:rPr>
              <w:t>第</w:t>
            </w:r>
            <w:r w:rsidRPr="001B126F">
              <w:rPr>
                <w:rFonts w:asciiTheme="minorEastAsia" w:hAnsiTheme="minorEastAsia" w:hint="eastAsia"/>
                <w:sz w:val="24"/>
                <w:szCs w:val="24"/>
              </w:rPr>
              <w:t>十九</w:t>
            </w:r>
            <w:r w:rsidRPr="001B126F">
              <w:rPr>
                <w:rFonts w:asciiTheme="minorEastAsia" w:hAnsiTheme="minorEastAsia"/>
                <w:sz w:val="24"/>
                <w:szCs w:val="24"/>
              </w:rPr>
              <w:t>条</w:t>
            </w:r>
          </w:p>
        </w:tc>
        <w:tc>
          <w:tcPr>
            <w:tcW w:w="3508" w:type="dxa"/>
            <w:vAlign w:val="center"/>
          </w:tcPr>
          <w:p w14:paraId="19595917" w14:textId="77777777" w:rsidR="00477E18" w:rsidRPr="001B126F" w:rsidRDefault="00477E18" w:rsidP="00DD3C83">
            <w:pPr>
              <w:pStyle w:val="TableParagraph"/>
              <w:spacing w:beforeLines="50" w:before="120" w:line="360" w:lineRule="auto"/>
              <w:ind w:left="108" w:rightChars="60" w:right="132"/>
              <w:rPr>
                <w:rFonts w:asciiTheme="minorEastAsia" w:hAnsiTheme="minorEastAsia" w:cs="Times New Roman"/>
                <w:kern w:val="2"/>
                <w:sz w:val="24"/>
                <w:szCs w:val="24"/>
                <w:lang w:val="en-US" w:bidi="ar-SA"/>
              </w:rPr>
            </w:pPr>
            <w:r w:rsidRPr="001B126F">
              <w:rPr>
                <w:rFonts w:asciiTheme="minorEastAsia" w:hAnsiTheme="minorEastAsia" w:cs="Times New Roman"/>
                <w:kern w:val="2"/>
                <w:sz w:val="24"/>
                <w:szCs w:val="24"/>
                <w:lang w:val="en-US" w:bidi="ar-SA"/>
              </w:rPr>
              <w:t>公司</w:t>
            </w:r>
            <w:r w:rsidRPr="001B126F">
              <w:rPr>
                <w:rFonts w:asciiTheme="minorEastAsia" w:hAnsiTheme="minorEastAsia" w:cs="Times New Roman" w:hint="eastAsia"/>
                <w:kern w:val="2"/>
                <w:sz w:val="24"/>
                <w:szCs w:val="24"/>
                <w:lang w:val="en-US" w:bidi="ar-SA"/>
              </w:rPr>
              <w:t>股份总数为</w:t>
            </w:r>
            <w:r w:rsidRPr="001B126F">
              <w:rPr>
                <w:rFonts w:asciiTheme="minorEastAsia" w:hAnsiTheme="minorEastAsia" w:cs="Arial" w:hint="eastAsia"/>
                <w:snapToGrid w:val="0"/>
                <w:sz w:val="24"/>
              </w:rPr>
              <w:t>49,900</w:t>
            </w:r>
            <w:r w:rsidRPr="001B126F">
              <w:rPr>
                <w:rFonts w:asciiTheme="minorEastAsia" w:hAnsiTheme="minorEastAsia" w:cs="Times New Roman" w:hint="eastAsia"/>
                <w:kern w:val="2"/>
                <w:sz w:val="24"/>
                <w:szCs w:val="24"/>
                <w:lang w:val="en-US" w:bidi="ar-SA"/>
              </w:rPr>
              <w:t>万</w:t>
            </w:r>
            <w:r w:rsidRPr="001B126F">
              <w:rPr>
                <w:rFonts w:asciiTheme="minorEastAsia" w:hAnsiTheme="minorEastAsia" w:cs="Times New Roman"/>
                <w:kern w:val="2"/>
                <w:sz w:val="24"/>
                <w:szCs w:val="24"/>
                <w:lang w:val="en-US" w:bidi="ar-SA"/>
              </w:rPr>
              <w:t>股，全部为人民币普通股股票。</w:t>
            </w:r>
          </w:p>
        </w:tc>
        <w:tc>
          <w:tcPr>
            <w:tcW w:w="3712" w:type="dxa"/>
            <w:vAlign w:val="center"/>
          </w:tcPr>
          <w:p w14:paraId="13BB8F97" w14:textId="77777777" w:rsidR="00477E18" w:rsidRPr="001B126F" w:rsidRDefault="00477E18" w:rsidP="00DD3C83">
            <w:pPr>
              <w:pStyle w:val="TableParagraph"/>
              <w:spacing w:beforeLines="50" w:before="120" w:line="360" w:lineRule="auto"/>
              <w:ind w:left="108" w:rightChars="60" w:right="132"/>
              <w:rPr>
                <w:rFonts w:asciiTheme="minorEastAsia" w:hAnsiTheme="minorEastAsia" w:cs="Times New Roman"/>
                <w:kern w:val="2"/>
                <w:sz w:val="24"/>
                <w:szCs w:val="24"/>
                <w:lang w:val="en-US" w:bidi="ar-SA"/>
              </w:rPr>
            </w:pPr>
            <w:r w:rsidRPr="001B126F">
              <w:rPr>
                <w:rFonts w:asciiTheme="minorEastAsia" w:hAnsiTheme="minorEastAsia" w:cs="Times New Roman"/>
                <w:kern w:val="2"/>
                <w:sz w:val="24"/>
                <w:szCs w:val="24"/>
                <w:lang w:val="en-US" w:bidi="ar-SA"/>
              </w:rPr>
              <w:t>公司</w:t>
            </w:r>
            <w:r w:rsidRPr="001B126F">
              <w:rPr>
                <w:rFonts w:asciiTheme="minorEastAsia" w:hAnsiTheme="minorEastAsia" w:cs="Times New Roman" w:hint="eastAsia"/>
                <w:kern w:val="2"/>
                <w:sz w:val="24"/>
                <w:szCs w:val="24"/>
                <w:lang w:val="en-US" w:bidi="ar-SA"/>
              </w:rPr>
              <w:t>股份总数为</w:t>
            </w:r>
            <w:r w:rsidRPr="001B126F">
              <w:rPr>
                <w:rFonts w:asciiTheme="minorEastAsia" w:hAnsiTheme="minorEastAsia"/>
                <w:color w:val="000000" w:themeColor="text1"/>
                <w:sz w:val="24"/>
                <w:szCs w:val="24"/>
              </w:rPr>
              <w:t>618,924,235</w:t>
            </w:r>
            <w:r w:rsidRPr="001B126F">
              <w:rPr>
                <w:rFonts w:asciiTheme="minorEastAsia" w:hAnsiTheme="minorEastAsia" w:cs="Times New Roman"/>
                <w:kern w:val="2"/>
                <w:sz w:val="24"/>
                <w:szCs w:val="24"/>
                <w:lang w:val="en-US" w:bidi="ar-SA"/>
              </w:rPr>
              <w:t>股，全部为人民币普通股股票。</w:t>
            </w:r>
          </w:p>
        </w:tc>
      </w:tr>
    </w:tbl>
    <w:p w14:paraId="7BEED1EC" w14:textId="77777777" w:rsidR="00477E18" w:rsidRPr="001B126F" w:rsidRDefault="00477E18" w:rsidP="00D67A7D">
      <w:pPr>
        <w:pStyle w:val="a5"/>
        <w:spacing w:line="480" w:lineRule="exact"/>
        <w:ind w:left="221" w:right="238" w:firstLineChars="200" w:firstLine="480"/>
        <w:jc w:val="both"/>
        <w:rPr>
          <w:rFonts w:asciiTheme="minorEastAsia" w:eastAsiaTheme="minorEastAsia" w:hAnsiTheme="minorEastAsia"/>
        </w:rPr>
      </w:pPr>
      <w:r w:rsidRPr="001B126F">
        <w:rPr>
          <w:rFonts w:asciiTheme="minorEastAsia" w:eastAsiaTheme="minorEastAsia" w:hAnsiTheme="minorEastAsia"/>
        </w:rPr>
        <w:t>除上述</w:t>
      </w:r>
      <w:r w:rsidRPr="001B126F">
        <w:rPr>
          <w:rFonts w:asciiTheme="minorEastAsia" w:eastAsiaTheme="minorEastAsia" w:hAnsiTheme="minorEastAsia" w:hint="eastAsia"/>
        </w:rPr>
        <w:t>修订</w:t>
      </w:r>
      <w:r w:rsidRPr="001B126F">
        <w:rPr>
          <w:rFonts w:asciiTheme="minorEastAsia" w:eastAsiaTheme="minorEastAsia" w:hAnsiTheme="minorEastAsia"/>
        </w:rPr>
        <w:t>的条款外，《</w:t>
      </w:r>
      <w:r w:rsidRPr="001B126F">
        <w:rPr>
          <w:rFonts w:asciiTheme="minorEastAsia" w:eastAsiaTheme="minorEastAsia" w:hAnsiTheme="minorEastAsia" w:hint="eastAsia"/>
        </w:rPr>
        <w:t>安徽省交通建设</w:t>
      </w:r>
      <w:r w:rsidRPr="001B126F">
        <w:rPr>
          <w:rFonts w:asciiTheme="minorEastAsia" w:eastAsiaTheme="minorEastAsia" w:hAnsiTheme="minorEastAsia"/>
        </w:rPr>
        <w:t>股份有限公司</w:t>
      </w:r>
      <w:r w:rsidRPr="001B126F">
        <w:rPr>
          <w:rFonts w:asciiTheme="minorEastAsia" w:eastAsiaTheme="minorEastAsia" w:hAnsiTheme="minorEastAsia" w:hint="eastAsia"/>
        </w:rPr>
        <w:t>公司</w:t>
      </w:r>
      <w:r w:rsidRPr="001B126F">
        <w:rPr>
          <w:rFonts w:asciiTheme="minorEastAsia" w:eastAsiaTheme="minorEastAsia" w:hAnsiTheme="minorEastAsia"/>
        </w:rPr>
        <w:t>章程》中其他条款保持不变。</w:t>
      </w:r>
      <w:r w:rsidR="00B44E8E">
        <w:rPr>
          <w:rFonts w:asciiTheme="minorEastAsia" w:eastAsiaTheme="minorEastAsia" w:hAnsiTheme="minorEastAsia" w:hint="eastAsia"/>
        </w:rPr>
        <w:t>修订后的《公司章程》详见上海证券交易所网站</w:t>
      </w:r>
      <w:r w:rsidR="00B44E8E" w:rsidRPr="00AE7FA5">
        <w:rPr>
          <w:rFonts w:asciiTheme="minorEastAsia" w:eastAsiaTheme="minorEastAsia" w:hAnsiTheme="minorEastAsia"/>
        </w:rPr>
        <w:t>(</w:t>
      </w:r>
      <w:r w:rsidR="00B44E8E" w:rsidRPr="00B44E8E">
        <w:rPr>
          <w:rFonts w:asciiTheme="minorEastAsia" w:eastAsiaTheme="minorEastAsia" w:hAnsiTheme="minorEastAsia"/>
        </w:rPr>
        <w:t>www.sse.com.cn</w:t>
      </w:r>
      <w:r w:rsidR="00B44E8E" w:rsidRPr="00AE7FA5">
        <w:rPr>
          <w:rFonts w:asciiTheme="minorEastAsia" w:eastAsiaTheme="minorEastAsia" w:hAnsiTheme="minorEastAsia"/>
        </w:rPr>
        <w:t>)</w:t>
      </w:r>
      <w:r w:rsidR="00B44E8E">
        <w:rPr>
          <w:rFonts w:asciiTheme="minorEastAsia" w:eastAsiaTheme="minorEastAsia" w:hAnsiTheme="minorEastAsia"/>
        </w:rPr>
        <w:t>披露的</w:t>
      </w:r>
      <w:r w:rsidR="00B44E8E">
        <w:rPr>
          <w:rFonts w:asciiTheme="minorEastAsia" w:eastAsiaTheme="minorEastAsia" w:hAnsiTheme="minorEastAsia" w:hint="eastAsia"/>
        </w:rPr>
        <w:t>《公司章程》</w:t>
      </w:r>
    </w:p>
    <w:p w14:paraId="13F852CF" w14:textId="77777777" w:rsidR="00477E18" w:rsidRDefault="00477E18" w:rsidP="00D67A7D">
      <w:pPr>
        <w:pStyle w:val="a5"/>
        <w:spacing w:line="480" w:lineRule="exact"/>
        <w:ind w:left="221" w:right="238" w:firstLineChars="200" w:firstLine="480"/>
        <w:jc w:val="both"/>
        <w:rPr>
          <w:rFonts w:asciiTheme="minorEastAsia" w:eastAsiaTheme="minorEastAsia" w:hAnsiTheme="minorEastAsia"/>
        </w:rPr>
      </w:pPr>
      <w:r w:rsidRPr="00477E18">
        <w:rPr>
          <w:rFonts w:asciiTheme="minorEastAsia" w:eastAsiaTheme="minorEastAsia" w:hAnsiTheme="minorEastAsia" w:hint="eastAsia"/>
        </w:rPr>
        <w:t>以上《公司章程》的修订事宜，已经公司第</w:t>
      </w:r>
      <w:r>
        <w:rPr>
          <w:rFonts w:asciiTheme="minorEastAsia" w:eastAsiaTheme="minorEastAsia" w:hAnsiTheme="minorEastAsia" w:hint="eastAsia"/>
        </w:rPr>
        <w:t>二</w:t>
      </w:r>
      <w:r w:rsidRPr="00477E18">
        <w:rPr>
          <w:rFonts w:asciiTheme="minorEastAsia" w:eastAsiaTheme="minorEastAsia" w:hAnsiTheme="minorEastAsia" w:hint="eastAsia"/>
        </w:rPr>
        <w:t>届董事会第</w:t>
      </w:r>
      <w:r>
        <w:rPr>
          <w:rFonts w:asciiTheme="minorEastAsia" w:eastAsiaTheme="minorEastAsia" w:hAnsiTheme="minorEastAsia" w:hint="eastAsia"/>
        </w:rPr>
        <w:t>十六</w:t>
      </w:r>
      <w:r w:rsidRPr="00477E18">
        <w:rPr>
          <w:rFonts w:asciiTheme="minorEastAsia" w:eastAsiaTheme="minorEastAsia" w:hAnsiTheme="minorEastAsia" w:hint="eastAsia"/>
        </w:rPr>
        <w:t>次会议审议并通过。修改后的《公司章程》以工商行政管理部门核准的内容为准。</w:t>
      </w:r>
    </w:p>
    <w:p w14:paraId="388D7D48" w14:textId="77777777" w:rsidR="00477E18" w:rsidRPr="001B126F" w:rsidRDefault="00477E18" w:rsidP="00D67A7D">
      <w:pPr>
        <w:spacing w:line="480" w:lineRule="exact"/>
        <w:ind w:right="238" w:firstLineChars="200" w:firstLine="480"/>
        <w:jc w:val="both"/>
        <w:rPr>
          <w:rFonts w:asciiTheme="minorEastAsia" w:eastAsiaTheme="minorEastAsia" w:hAnsiTheme="minorEastAsia"/>
          <w:sz w:val="24"/>
          <w:szCs w:val="24"/>
        </w:rPr>
      </w:pPr>
      <w:r w:rsidRPr="001B126F">
        <w:rPr>
          <w:rFonts w:asciiTheme="minorEastAsia" w:eastAsiaTheme="minorEastAsia" w:hAnsiTheme="minorEastAsia" w:hint="eastAsia"/>
          <w:sz w:val="24"/>
          <w:szCs w:val="24"/>
        </w:rPr>
        <w:lastRenderedPageBreak/>
        <w:t>根据公司</w:t>
      </w:r>
      <w:r w:rsidR="00B44E8E">
        <w:rPr>
          <w:rFonts w:asciiTheme="minorEastAsia" w:eastAsiaTheme="minorEastAsia" w:hAnsiTheme="minorEastAsia" w:hint="eastAsia"/>
          <w:sz w:val="24"/>
          <w:szCs w:val="24"/>
        </w:rPr>
        <w:t>于2020年8月7日召开的</w:t>
      </w:r>
      <w:r w:rsidRPr="001B126F">
        <w:rPr>
          <w:rFonts w:asciiTheme="minorEastAsia" w:eastAsiaTheme="minorEastAsia" w:hAnsiTheme="minorEastAsia"/>
          <w:sz w:val="24"/>
          <w:szCs w:val="24"/>
        </w:rPr>
        <w:t>2020年第二次临时股东大会</w:t>
      </w:r>
      <w:r w:rsidRPr="001B126F">
        <w:rPr>
          <w:rFonts w:asciiTheme="minorEastAsia" w:eastAsiaTheme="minorEastAsia" w:hAnsiTheme="minorEastAsia" w:hint="eastAsia"/>
          <w:sz w:val="24"/>
          <w:szCs w:val="24"/>
        </w:rPr>
        <w:t>审议通过的《关于提请股东大会授权董事会办理本次非公开发行股票相关事宜的议案》，股东大会已同意授权公司董事会办理本次非公开发行股票相关事宜，授权内容包括：“</w:t>
      </w:r>
      <w:r w:rsidRPr="001B126F">
        <w:rPr>
          <w:rFonts w:asciiTheme="minorEastAsia" w:eastAsiaTheme="minorEastAsia" w:hAnsiTheme="minorEastAsia"/>
          <w:sz w:val="24"/>
          <w:szCs w:val="24"/>
        </w:rPr>
        <w:t>在本次非公开发行完成后，根据非公开发行实施结果，授权董事会对公司章程中关于公司注册资本、股本数等有关条款进行修改，并授权董事会及其委派人员办理工商变更登记</w:t>
      </w:r>
      <w:r w:rsidRPr="001B126F">
        <w:rPr>
          <w:rFonts w:asciiTheme="minorEastAsia" w:eastAsiaTheme="minorEastAsia" w:hAnsiTheme="minorEastAsia" w:hint="eastAsia"/>
          <w:sz w:val="24"/>
          <w:szCs w:val="24"/>
        </w:rPr>
        <w:t>”</w:t>
      </w:r>
      <w:r w:rsidR="005F0F1A">
        <w:rPr>
          <w:rFonts w:asciiTheme="minorEastAsia" w:eastAsiaTheme="minorEastAsia" w:hAnsiTheme="minorEastAsia" w:hint="eastAsia"/>
          <w:sz w:val="24"/>
          <w:szCs w:val="24"/>
        </w:rPr>
        <w:t>，</w:t>
      </w:r>
      <w:r w:rsidR="005F0F1A" w:rsidRPr="005F0F1A">
        <w:rPr>
          <w:rFonts w:asciiTheme="minorEastAsia" w:eastAsiaTheme="minorEastAsia" w:hAnsiTheme="minorEastAsia" w:hint="eastAsia"/>
          <w:sz w:val="24"/>
          <w:szCs w:val="24"/>
        </w:rPr>
        <w:t>授权自公司股东大会审议通过之日起12个月内有效。</w:t>
      </w:r>
      <w:r w:rsidRPr="001B126F">
        <w:rPr>
          <w:rFonts w:asciiTheme="minorEastAsia" w:eastAsiaTheme="minorEastAsia" w:hAnsiTheme="minorEastAsia" w:hint="eastAsia"/>
          <w:sz w:val="24"/>
          <w:szCs w:val="24"/>
        </w:rPr>
        <w:t>鉴于公司股东大会已对董事会进行授权，因此本次修改公司章程无需再提交公司股东大会审议。</w:t>
      </w:r>
    </w:p>
    <w:p w14:paraId="539F894B" w14:textId="77777777" w:rsidR="00D67A7D" w:rsidRDefault="00D67A7D" w:rsidP="00D67A7D">
      <w:pPr>
        <w:pStyle w:val="a5"/>
        <w:spacing w:line="480" w:lineRule="exact"/>
        <w:ind w:left="221" w:right="238" w:firstLineChars="200" w:firstLine="480"/>
        <w:jc w:val="both"/>
        <w:rPr>
          <w:color w:val="000000" w:themeColor="text1"/>
        </w:rPr>
      </w:pPr>
    </w:p>
    <w:p w14:paraId="270C01D5" w14:textId="6CE6217C" w:rsidR="0091013F" w:rsidRDefault="002F1F02" w:rsidP="00D67A7D">
      <w:pPr>
        <w:pStyle w:val="a5"/>
        <w:spacing w:line="480" w:lineRule="exact"/>
        <w:ind w:left="221" w:right="238" w:firstLineChars="200" w:firstLine="480"/>
        <w:jc w:val="both"/>
        <w:rPr>
          <w:rFonts w:ascii="Times New Roman" w:hAnsi="Times New Roman" w:cs="Times New Roman"/>
        </w:rPr>
      </w:pPr>
      <w:r>
        <w:rPr>
          <w:rFonts w:hint="eastAsia"/>
          <w:color w:val="000000" w:themeColor="text1"/>
        </w:rPr>
        <w:t>特此公告</w:t>
      </w:r>
      <w:r w:rsidR="00D65F54">
        <w:rPr>
          <w:rFonts w:hint="eastAsia"/>
          <w:color w:val="000000" w:themeColor="text1"/>
        </w:rPr>
        <w:t>。</w:t>
      </w:r>
    </w:p>
    <w:p w14:paraId="12AF1795" w14:textId="77777777" w:rsidR="0091013F" w:rsidRDefault="0091013F">
      <w:pPr>
        <w:pStyle w:val="a5"/>
      </w:pPr>
    </w:p>
    <w:p w14:paraId="62286261" w14:textId="77777777" w:rsidR="0091013F" w:rsidRDefault="0091013F">
      <w:pPr>
        <w:pStyle w:val="a5"/>
      </w:pPr>
    </w:p>
    <w:p w14:paraId="4253065E" w14:textId="77777777" w:rsidR="00D0271D" w:rsidRDefault="00D0271D" w:rsidP="00D0271D">
      <w:pPr>
        <w:pStyle w:val="Default"/>
        <w:spacing w:line="360" w:lineRule="auto"/>
        <w:ind w:firstLineChars="200" w:firstLine="480"/>
        <w:jc w:val="right"/>
        <w:rPr>
          <w:rFonts w:hAnsi="宋体"/>
          <w:bCs/>
        </w:rPr>
      </w:pPr>
      <w:r>
        <w:rPr>
          <w:rFonts w:hAnsi="宋体" w:hint="eastAsia"/>
          <w:bCs/>
        </w:rPr>
        <w:t>安徽省交通建设股份有限公司董事会</w:t>
      </w:r>
    </w:p>
    <w:p w14:paraId="062829E8" w14:textId="77777777" w:rsidR="0091013F" w:rsidRDefault="00D0271D" w:rsidP="00D0271D">
      <w:pPr>
        <w:pStyle w:val="a5"/>
        <w:spacing w:before="12"/>
        <w:jc w:val="right"/>
        <w:rPr>
          <w:rFonts w:ascii="Times New Roman" w:hAnsi="Times New Roman" w:cs="Times New Roman"/>
        </w:rPr>
      </w:pPr>
      <w:r>
        <w:rPr>
          <w:rFonts w:hint="eastAsia"/>
          <w:bCs/>
        </w:rPr>
        <w:t>2021年</w:t>
      </w:r>
      <w:r w:rsidR="00C963E3">
        <w:rPr>
          <w:rFonts w:hint="eastAsia"/>
          <w:bCs/>
        </w:rPr>
        <w:t>7</w:t>
      </w:r>
      <w:r>
        <w:rPr>
          <w:rFonts w:hint="eastAsia"/>
          <w:bCs/>
        </w:rPr>
        <w:t>月</w:t>
      </w:r>
      <w:r w:rsidR="00326918">
        <w:rPr>
          <w:rFonts w:hint="eastAsia"/>
          <w:bCs/>
        </w:rPr>
        <w:t>9</w:t>
      </w:r>
      <w:r>
        <w:rPr>
          <w:rFonts w:hint="eastAsia"/>
          <w:bCs/>
        </w:rPr>
        <w:t>日</w:t>
      </w:r>
    </w:p>
    <w:sectPr w:rsidR="0091013F">
      <w:footerReference w:type="default" r:id="rId7"/>
      <w:pgSz w:w="11910" w:h="16840"/>
      <w:pgMar w:top="1420" w:right="1560" w:bottom="1320" w:left="1580" w:header="0" w:footer="11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B2DB3" w14:textId="77777777" w:rsidR="007402C5" w:rsidRDefault="007402C5">
      <w:r>
        <w:separator/>
      </w:r>
    </w:p>
  </w:endnote>
  <w:endnote w:type="continuationSeparator" w:id="0">
    <w:p w14:paraId="1125A5F9" w14:textId="77777777" w:rsidR="007402C5" w:rsidRDefault="0074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72B05" w14:textId="77777777" w:rsidR="0091013F" w:rsidRDefault="002F1F02">
    <w:pPr>
      <w:pStyle w:val="a5"/>
      <w:spacing w:line="14" w:lineRule="auto"/>
      <w:rPr>
        <w:sz w:val="12"/>
      </w:rPr>
    </w:pPr>
    <w:r>
      <w:rPr>
        <w:noProof/>
        <w:lang w:val="en-US" w:bidi="ar-SA"/>
      </w:rPr>
      <mc:AlternateContent>
        <mc:Choice Requires="wps">
          <w:drawing>
            <wp:anchor distT="0" distB="0" distL="114300" distR="114300" simplePos="0" relativeHeight="251659264" behindDoc="1" locked="0" layoutInCell="1" allowOverlap="1" wp14:anchorId="3ED13BE2" wp14:editId="7BF31FBE">
              <wp:simplePos x="0" y="0"/>
              <wp:positionH relativeFrom="page">
                <wp:posOffset>3698240</wp:posOffset>
              </wp:positionH>
              <wp:positionV relativeFrom="page">
                <wp:posOffset>9999345</wp:posOffset>
              </wp:positionV>
              <wp:extent cx="167005" cy="15240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wps:spPr>
                    <wps:txbx>
                      <w:txbxContent>
                        <w:p w14:paraId="755E20CE" w14:textId="77777777" w:rsidR="0091013F" w:rsidRDefault="002F1F02">
                          <w:pPr>
                            <w:spacing w:before="12"/>
                            <w:ind w:left="40"/>
                            <w:rPr>
                              <w:rFonts w:ascii="Times New Roman"/>
                              <w:sz w:val="18"/>
                            </w:rPr>
                          </w:pPr>
                          <w:r>
                            <w:fldChar w:fldCharType="begin"/>
                          </w:r>
                          <w:r>
                            <w:rPr>
                              <w:rFonts w:ascii="Times New Roman"/>
                              <w:sz w:val="18"/>
                            </w:rPr>
                            <w:instrText xml:space="preserve"> PAGE </w:instrText>
                          </w:r>
                          <w:r>
                            <w:fldChar w:fldCharType="separate"/>
                          </w:r>
                          <w:r w:rsidR="00326918">
                            <w:rPr>
                              <w:rFonts w:ascii="Times New Roman"/>
                              <w:noProof/>
                              <w:sz w:val="18"/>
                            </w:rPr>
                            <w:t>2</w:t>
                          </w:r>
                          <w:r>
                            <w:fldChar w:fldCharType="end"/>
                          </w:r>
                        </w:p>
                      </w:txbxContent>
                    </wps:txbx>
                    <wps:bodyPr rot="0" vert="horz" wrap="square" lIns="0" tIns="0" rIns="0" bIns="0" anchor="t" anchorCtr="0" upright="1">
                      <a:noAutofit/>
                    </wps:bodyPr>
                  </wps:wsp>
                </a:graphicData>
              </a:graphic>
            </wp:anchor>
          </w:drawing>
        </mc:Choice>
        <mc:Fallback>
          <w:pict>
            <v:shapetype w14:anchorId="3ED13BE2" id="_x0000_t202" coordsize="21600,21600" o:spt="202" path="m,l,21600r21600,l21600,xe">
              <v:stroke joinstyle="miter"/>
              <v:path gradientshapeok="t" o:connecttype="rect"/>
            </v:shapetype>
            <v:shape id="Text Box 1" o:spid="_x0000_s1027" type="#_x0000_t202" style="position:absolute;margin-left:291.2pt;margin-top:787.35pt;width:13.15pt;height:12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" filled="f" stroked="f">
              <v:textbox inset="0,0,0,0">
                <w:txbxContent>
                  <w:p w14:paraId="755E20CE" w14:textId="77777777" w:rsidR="0091013F" w:rsidRDefault="002F1F02">
                    <w:pPr>
                      <w:spacing w:before="12"/>
                      <w:ind w:left="40"/>
                      <w:rPr>
                        <w:rFonts w:ascii="Times New Roman"/>
                        <w:sz w:val="18"/>
                      </w:rPr>
                    </w:pPr>
                    <w:r>
                      <w:fldChar w:fldCharType="begin"/>
                    </w:r>
                    <w:r>
                      <w:rPr>
                        <w:rFonts w:ascii="Times New Roman"/>
                        <w:sz w:val="18"/>
                      </w:rPr>
                      <w:instrText xml:space="preserve"> PAGE </w:instrText>
                    </w:r>
                    <w:r>
                      <w:fldChar w:fldCharType="separate"/>
                    </w:r>
                    <w:r w:rsidR="00326918">
                      <w:rPr>
                        <w:rFonts w:ascii="Times New Roman"/>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C9112" w14:textId="77777777" w:rsidR="007402C5" w:rsidRDefault="007402C5">
      <w:r>
        <w:separator/>
      </w:r>
    </w:p>
  </w:footnote>
  <w:footnote w:type="continuationSeparator" w:id="0">
    <w:p w14:paraId="742546EC" w14:textId="77777777" w:rsidR="007402C5" w:rsidRDefault="00740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849"/>
    <w:rsid w:val="000003DB"/>
    <w:rsid w:val="000030EA"/>
    <w:rsid w:val="0000393E"/>
    <w:rsid w:val="00006799"/>
    <w:rsid w:val="00052A71"/>
    <w:rsid w:val="00066477"/>
    <w:rsid w:val="000A0479"/>
    <w:rsid w:val="000A6D5B"/>
    <w:rsid w:val="000B6430"/>
    <w:rsid w:val="000C0FB8"/>
    <w:rsid w:val="000D56C1"/>
    <w:rsid w:val="00135CFA"/>
    <w:rsid w:val="00155AA5"/>
    <w:rsid w:val="00157141"/>
    <w:rsid w:val="0017420C"/>
    <w:rsid w:val="001B1E6D"/>
    <w:rsid w:val="00200439"/>
    <w:rsid w:val="0028338F"/>
    <w:rsid w:val="00291B35"/>
    <w:rsid w:val="002E023F"/>
    <w:rsid w:val="002E2975"/>
    <w:rsid w:val="002F1F02"/>
    <w:rsid w:val="002F3484"/>
    <w:rsid w:val="003231D2"/>
    <w:rsid w:val="00326918"/>
    <w:rsid w:val="0034260D"/>
    <w:rsid w:val="00345B7C"/>
    <w:rsid w:val="00350E54"/>
    <w:rsid w:val="003727B0"/>
    <w:rsid w:val="003E5B99"/>
    <w:rsid w:val="003F1100"/>
    <w:rsid w:val="00406C01"/>
    <w:rsid w:val="00415B7B"/>
    <w:rsid w:val="00416BC3"/>
    <w:rsid w:val="00477E18"/>
    <w:rsid w:val="004F1BF6"/>
    <w:rsid w:val="00523F31"/>
    <w:rsid w:val="00530F6A"/>
    <w:rsid w:val="00565AC5"/>
    <w:rsid w:val="0057721E"/>
    <w:rsid w:val="00580EB3"/>
    <w:rsid w:val="005B06D5"/>
    <w:rsid w:val="005B0B6A"/>
    <w:rsid w:val="005C164A"/>
    <w:rsid w:val="005C46C0"/>
    <w:rsid w:val="005F0F1A"/>
    <w:rsid w:val="00603A08"/>
    <w:rsid w:val="00651ABB"/>
    <w:rsid w:val="0066786B"/>
    <w:rsid w:val="00674FA1"/>
    <w:rsid w:val="006A1150"/>
    <w:rsid w:val="006A748C"/>
    <w:rsid w:val="006B3DFD"/>
    <w:rsid w:val="006E1061"/>
    <w:rsid w:val="007009E1"/>
    <w:rsid w:val="0070367D"/>
    <w:rsid w:val="00727818"/>
    <w:rsid w:val="007402C5"/>
    <w:rsid w:val="007538CD"/>
    <w:rsid w:val="00764677"/>
    <w:rsid w:val="007A3992"/>
    <w:rsid w:val="007C3526"/>
    <w:rsid w:val="007E5A02"/>
    <w:rsid w:val="00804F2D"/>
    <w:rsid w:val="00846568"/>
    <w:rsid w:val="008572FA"/>
    <w:rsid w:val="008669C7"/>
    <w:rsid w:val="00883BA8"/>
    <w:rsid w:val="00887DBE"/>
    <w:rsid w:val="008911EA"/>
    <w:rsid w:val="008A5967"/>
    <w:rsid w:val="008D4FA9"/>
    <w:rsid w:val="008F4AA2"/>
    <w:rsid w:val="0091013F"/>
    <w:rsid w:val="00943CE3"/>
    <w:rsid w:val="00960CB9"/>
    <w:rsid w:val="009A12D7"/>
    <w:rsid w:val="009C1143"/>
    <w:rsid w:val="009D0E43"/>
    <w:rsid w:val="00A34E28"/>
    <w:rsid w:val="00A450F5"/>
    <w:rsid w:val="00A65CB1"/>
    <w:rsid w:val="00AF414F"/>
    <w:rsid w:val="00B02B7F"/>
    <w:rsid w:val="00B21EFE"/>
    <w:rsid w:val="00B30C40"/>
    <w:rsid w:val="00B44E8E"/>
    <w:rsid w:val="00B93E5E"/>
    <w:rsid w:val="00BB62FC"/>
    <w:rsid w:val="00BE4658"/>
    <w:rsid w:val="00C53F37"/>
    <w:rsid w:val="00C5568C"/>
    <w:rsid w:val="00C663DA"/>
    <w:rsid w:val="00C665B5"/>
    <w:rsid w:val="00C963E3"/>
    <w:rsid w:val="00CA1993"/>
    <w:rsid w:val="00CC6F86"/>
    <w:rsid w:val="00CD31CC"/>
    <w:rsid w:val="00CF284A"/>
    <w:rsid w:val="00D0271D"/>
    <w:rsid w:val="00D204BC"/>
    <w:rsid w:val="00D24340"/>
    <w:rsid w:val="00D406DB"/>
    <w:rsid w:val="00D601D8"/>
    <w:rsid w:val="00D63360"/>
    <w:rsid w:val="00D65804"/>
    <w:rsid w:val="00D65F54"/>
    <w:rsid w:val="00D67A7D"/>
    <w:rsid w:val="00D85F82"/>
    <w:rsid w:val="00DA6849"/>
    <w:rsid w:val="00DB1382"/>
    <w:rsid w:val="00DD3C83"/>
    <w:rsid w:val="00DE5D85"/>
    <w:rsid w:val="00DF21CF"/>
    <w:rsid w:val="00E17972"/>
    <w:rsid w:val="00E70138"/>
    <w:rsid w:val="00E85A85"/>
    <w:rsid w:val="00EB2FFF"/>
    <w:rsid w:val="00EB6DB0"/>
    <w:rsid w:val="00ED06DE"/>
    <w:rsid w:val="00F070B1"/>
    <w:rsid w:val="00F276F8"/>
    <w:rsid w:val="00F33028"/>
    <w:rsid w:val="00F56563"/>
    <w:rsid w:val="00F929C0"/>
    <w:rsid w:val="25DB76E3"/>
    <w:rsid w:val="5DE7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EDEDB7"/>
  <w15:docId w15:val="{DFECDF01-E94A-4E2D-8AAE-99AE6F822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link w:val="a6"/>
    <w:uiPriority w:val="1"/>
    <w:qFormat/>
    <w:rPr>
      <w:sz w:val="24"/>
      <w:szCs w:val="24"/>
    </w:r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rPr>
      <w:b/>
      <w:b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1">
    <w:name w:val="List Paragraph"/>
    <w:basedOn w:val="a"/>
    <w:uiPriority w:val="1"/>
    <w:qFormat/>
  </w:style>
  <w:style w:type="paragraph" w:customStyle="1" w:styleId="TableParagraph">
    <w:name w:val="Table Paragraph"/>
    <w:basedOn w:val="a"/>
    <w:uiPriority w:val="1"/>
    <w:qFormat/>
    <w:pPr>
      <w:ind w:left="107"/>
    </w:pPr>
  </w:style>
  <w:style w:type="character" w:customStyle="1" w:styleId="a4">
    <w:name w:val="批注文字 字符"/>
    <w:basedOn w:val="a0"/>
    <w:link w:val="a3"/>
    <w:uiPriority w:val="99"/>
    <w:semiHidden/>
    <w:rPr>
      <w:rFonts w:ascii="宋体" w:eastAsia="宋体" w:hAnsi="宋体" w:cs="宋体"/>
      <w:lang w:val="zh-CN" w:eastAsia="zh-CN" w:bidi="zh-CN"/>
    </w:rPr>
  </w:style>
  <w:style w:type="character" w:customStyle="1" w:styleId="ae">
    <w:name w:val="批注主题 字符"/>
    <w:basedOn w:val="a4"/>
    <w:link w:val="ad"/>
    <w:uiPriority w:val="99"/>
    <w:semiHidden/>
    <w:qFormat/>
    <w:rPr>
      <w:rFonts w:ascii="宋体" w:eastAsia="宋体" w:hAnsi="宋体" w:cs="宋体"/>
      <w:b/>
      <w:bCs/>
      <w:lang w:val="zh-CN" w:eastAsia="zh-CN" w:bidi="zh-CN"/>
    </w:rPr>
  </w:style>
  <w:style w:type="character" w:customStyle="1" w:styleId="a8">
    <w:name w:val="批注框文本 字符"/>
    <w:basedOn w:val="a0"/>
    <w:link w:val="a7"/>
    <w:uiPriority w:val="99"/>
    <w:semiHidden/>
    <w:qFormat/>
    <w:rPr>
      <w:rFonts w:ascii="宋体" w:eastAsia="宋体" w:hAnsi="宋体" w:cs="宋体"/>
      <w:sz w:val="18"/>
      <w:szCs w:val="18"/>
      <w:lang w:val="zh-CN" w:eastAsia="zh-CN" w:bidi="zh-CN"/>
    </w:rPr>
  </w:style>
  <w:style w:type="character" w:customStyle="1" w:styleId="ac">
    <w:name w:val="页眉 字符"/>
    <w:basedOn w:val="a0"/>
    <w:link w:val="ab"/>
    <w:uiPriority w:val="99"/>
    <w:rPr>
      <w:rFonts w:ascii="宋体" w:eastAsia="宋体" w:hAnsi="宋体" w:cs="宋体"/>
      <w:sz w:val="18"/>
      <w:szCs w:val="18"/>
      <w:lang w:val="zh-CN" w:eastAsia="zh-CN" w:bidi="zh-CN"/>
    </w:rPr>
  </w:style>
  <w:style w:type="character" w:customStyle="1" w:styleId="aa">
    <w:name w:val="页脚 字符"/>
    <w:basedOn w:val="a0"/>
    <w:link w:val="a9"/>
    <w:uiPriority w:val="99"/>
    <w:rPr>
      <w:rFonts w:ascii="宋体" w:eastAsia="宋体" w:hAnsi="宋体" w:cs="宋体"/>
      <w:sz w:val="18"/>
      <w:szCs w:val="18"/>
      <w:lang w:val="zh-CN" w:eastAsia="zh-CN" w:bidi="zh-CN"/>
    </w:rPr>
  </w:style>
  <w:style w:type="character" w:customStyle="1" w:styleId="apple-converted-space">
    <w:name w:val="apple-converted-space"/>
    <w:basedOn w:val="a0"/>
  </w:style>
  <w:style w:type="character" w:customStyle="1" w:styleId="a6">
    <w:name w:val="正文文本 字符"/>
    <w:basedOn w:val="a0"/>
    <w:link w:val="a5"/>
    <w:uiPriority w:val="1"/>
    <w:rPr>
      <w:rFonts w:ascii="宋体" w:eastAsia="宋体" w:hAnsi="宋体" w:cs="宋体"/>
      <w:sz w:val="24"/>
      <w:szCs w:val="24"/>
      <w:lang w:val="zh-CN" w:eastAsia="zh-CN" w:bidi="zh-CN"/>
    </w:rPr>
  </w:style>
  <w:style w:type="paragraph" w:customStyle="1" w:styleId="Default">
    <w:name w:val="Default"/>
    <w:qFormat/>
    <w:rsid w:val="00D0271D"/>
    <w:pPr>
      <w:widowControl w:val="0"/>
      <w:autoSpaceDE w:val="0"/>
      <w:autoSpaceDN w:val="0"/>
      <w:adjustRightInd w:val="0"/>
    </w:pPr>
    <w:rPr>
      <w:rFonts w:ascii="宋体" w:eastAsia="宋体"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林 玲</cp:lastModifiedBy>
  <cp:revision>15</cp:revision>
  <dcterms:created xsi:type="dcterms:W3CDTF">2020-09-25T03:36:00Z</dcterms:created>
  <dcterms:modified xsi:type="dcterms:W3CDTF">2021-07-08T06:55:00Z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Microsoft® Office Word 2007</vt:lpwstr>
  </property>
  <property fmtid="{D5CDD505-2E9C-101B-9397-08002B2CF9AE}" pid="4" name="LastSaved">
    <vt:filetime>2018-08-06T00:00:00Z</vt:filetime>
  </property>
  <property fmtid="{D5CDD505-2E9C-101B-9397-08002B2CF9AE}" pid="5" name="KSOProductBuildVer">
    <vt:lpwstr>2052-11.1.0.10495</vt:lpwstr>
  </property>
  <property fmtid="{D5CDD505-2E9C-101B-9397-08002B2CF9AE}" pid="6" name="ICV">
    <vt:lpwstr>ABBCCC9EFC2247AC8795A3C720E1544C</vt:lpwstr>
  </property>
</Properties>
</file>