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C386B" w14:textId="77777777" w:rsidR="00415B7B" w:rsidRPr="00ED32CF" w:rsidRDefault="00415B7B" w:rsidP="00415B7B">
      <w:pPr>
        <w:spacing w:line="360" w:lineRule="auto"/>
        <w:rPr>
          <w:sz w:val="24"/>
          <w:szCs w:val="24"/>
        </w:rPr>
      </w:pPr>
      <w:r w:rsidRPr="00ED32CF">
        <w:rPr>
          <w:rFonts w:hint="eastAsia"/>
          <w:sz w:val="24"/>
          <w:szCs w:val="24"/>
        </w:rPr>
        <w:t>证券代码：603815           证券简称：交建股份       公告编号：2021-</w:t>
      </w:r>
      <w:r w:rsidR="00FB3008" w:rsidRPr="00ED32CF">
        <w:rPr>
          <w:rFonts w:hint="eastAsia"/>
          <w:sz w:val="24"/>
          <w:szCs w:val="24"/>
        </w:rPr>
        <w:t>044</w:t>
      </w:r>
    </w:p>
    <w:p w14:paraId="796D5A67" w14:textId="77777777" w:rsidR="0091013F" w:rsidRPr="00ED32CF" w:rsidRDefault="0091013F">
      <w:pPr>
        <w:pStyle w:val="a5"/>
        <w:jc w:val="center"/>
        <w:rPr>
          <w:rFonts w:asciiTheme="minorEastAsia" w:eastAsiaTheme="minorEastAsia" w:hAnsiTheme="minorEastAsia" w:cstheme="minorEastAsia"/>
          <w:b/>
          <w:bCs/>
          <w:kern w:val="2"/>
          <w:sz w:val="32"/>
          <w:szCs w:val="36"/>
          <w:lang w:val="en-US" w:bidi="ar-SA"/>
        </w:rPr>
      </w:pPr>
    </w:p>
    <w:p w14:paraId="7332133B" w14:textId="77777777" w:rsidR="0091013F" w:rsidRPr="00ED32CF" w:rsidRDefault="00415B7B">
      <w:pPr>
        <w:pStyle w:val="a5"/>
        <w:spacing w:line="360" w:lineRule="auto"/>
        <w:jc w:val="center"/>
        <w:rPr>
          <w:rFonts w:asciiTheme="minorEastAsia" w:eastAsiaTheme="minorEastAsia" w:hAnsiTheme="minorEastAsia" w:cstheme="minorEastAsia"/>
          <w:b/>
          <w:bCs/>
          <w:kern w:val="2"/>
          <w:sz w:val="36"/>
          <w:szCs w:val="36"/>
          <w:lang w:val="en-US" w:bidi="ar-SA"/>
        </w:rPr>
      </w:pPr>
      <w:r w:rsidRPr="00ED32CF">
        <w:rPr>
          <w:rFonts w:asciiTheme="minorEastAsia" w:eastAsiaTheme="minorEastAsia" w:hAnsiTheme="minorEastAsia" w:cstheme="minorEastAsia" w:hint="eastAsia"/>
          <w:b/>
          <w:bCs/>
          <w:kern w:val="2"/>
          <w:sz w:val="36"/>
          <w:szCs w:val="36"/>
          <w:lang w:val="en-US" w:bidi="ar-SA"/>
        </w:rPr>
        <w:t>安徽省交通建设</w:t>
      </w:r>
      <w:r w:rsidR="002F1F02" w:rsidRPr="00ED32CF">
        <w:rPr>
          <w:rFonts w:asciiTheme="minorEastAsia" w:eastAsiaTheme="minorEastAsia" w:hAnsiTheme="minorEastAsia" w:cstheme="minorEastAsia" w:hint="eastAsia"/>
          <w:b/>
          <w:bCs/>
          <w:kern w:val="2"/>
          <w:sz w:val="36"/>
          <w:szCs w:val="36"/>
          <w:lang w:val="en-US" w:bidi="ar-SA"/>
        </w:rPr>
        <w:t>股份有限公司</w:t>
      </w:r>
    </w:p>
    <w:p w14:paraId="6318BB56" w14:textId="77777777" w:rsidR="0024758C" w:rsidRPr="00ED32CF" w:rsidRDefault="0024758C">
      <w:pPr>
        <w:pStyle w:val="a5"/>
        <w:spacing w:line="360" w:lineRule="auto"/>
        <w:jc w:val="center"/>
        <w:rPr>
          <w:rFonts w:asciiTheme="minorEastAsia" w:eastAsiaTheme="minorEastAsia" w:hAnsiTheme="minorEastAsia" w:cstheme="minorEastAsia"/>
          <w:b/>
          <w:bCs/>
          <w:kern w:val="2"/>
          <w:sz w:val="36"/>
          <w:szCs w:val="36"/>
          <w:lang w:val="en-US" w:bidi="ar-SA"/>
        </w:rPr>
      </w:pPr>
      <w:r w:rsidRPr="00ED32CF">
        <w:rPr>
          <w:rFonts w:asciiTheme="minorEastAsia" w:eastAsiaTheme="minorEastAsia" w:hAnsiTheme="minorEastAsia" w:cstheme="minorEastAsia" w:hint="eastAsia"/>
          <w:b/>
          <w:bCs/>
          <w:kern w:val="2"/>
          <w:sz w:val="36"/>
          <w:szCs w:val="36"/>
          <w:lang w:val="en-US" w:bidi="ar-SA"/>
        </w:rPr>
        <w:t>关于使用募集资金置换预先投入募投项目自筹资金的</w:t>
      </w:r>
    </w:p>
    <w:p w14:paraId="46D7CAA7" w14:textId="77777777" w:rsidR="0091013F" w:rsidRPr="00ED32CF" w:rsidRDefault="002F1F02">
      <w:pPr>
        <w:pStyle w:val="a5"/>
        <w:spacing w:line="360" w:lineRule="auto"/>
        <w:jc w:val="center"/>
        <w:rPr>
          <w:rFonts w:asciiTheme="minorEastAsia" w:eastAsiaTheme="minorEastAsia" w:hAnsiTheme="minorEastAsia" w:cstheme="minorEastAsia"/>
          <w:b/>
          <w:bCs/>
          <w:kern w:val="2"/>
          <w:sz w:val="36"/>
          <w:szCs w:val="36"/>
          <w:lang w:val="en-US" w:bidi="ar-SA"/>
        </w:rPr>
      </w:pPr>
      <w:r w:rsidRPr="00ED32CF">
        <w:rPr>
          <w:rFonts w:asciiTheme="minorEastAsia" w:eastAsiaTheme="minorEastAsia" w:hAnsiTheme="minorEastAsia" w:cstheme="minorEastAsia" w:hint="eastAsia"/>
          <w:b/>
          <w:bCs/>
          <w:kern w:val="2"/>
          <w:sz w:val="36"/>
          <w:szCs w:val="36"/>
          <w:lang w:val="en-US" w:bidi="ar-SA"/>
        </w:rPr>
        <w:t>公告</w:t>
      </w:r>
    </w:p>
    <w:p w14:paraId="5F863E89" w14:textId="77777777" w:rsidR="0091013F" w:rsidRPr="00ED32CF" w:rsidRDefault="002F1F02">
      <w:pPr>
        <w:pStyle w:val="a5"/>
        <w:jc w:val="center"/>
        <w:rPr>
          <w:rFonts w:asciiTheme="minorEastAsia" w:eastAsiaTheme="minorEastAsia" w:hAnsiTheme="minorEastAsia" w:cstheme="minorEastAsia"/>
          <w:b/>
          <w:bCs/>
          <w:kern w:val="2"/>
          <w:sz w:val="32"/>
          <w:szCs w:val="36"/>
          <w:lang w:val="en-US" w:bidi="ar-SA"/>
        </w:rPr>
      </w:pPr>
      <w:r w:rsidRPr="00ED32CF">
        <w:rPr>
          <w:rFonts w:asciiTheme="minorEastAsia" w:eastAsiaTheme="minorEastAsia" w:hAnsiTheme="minorEastAsia" w:cstheme="minorEastAsia"/>
          <w:b/>
          <w:bCs/>
          <w:noProof/>
          <w:kern w:val="2"/>
          <w:sz w:val="32"/>
          <w:szCs w:val="36"/>
          <w:lang w:val="en-US" w:bidi="ar-SA"/>
        </w:rPr>
        <mc:AlternateContent>
          <mc:Choice Requires="wps">
            <w:drawing>
              <wp:anchor distT="0" distB="0" distL="0" distR="0" simplePos="0" relativeHeight="251659264" behindDoc="0" locked="0" layoutInCell="1" allowOverlap="1" wp14:anchorId="4711F024" wp14:editId="16367B82">
                <wp:simplePos x="0" y="0"/>
                <wp:positionH relativeFrom="page">
                  <wp:posOffset>1143000</wp:posOffset>
                </wp:positionH>
                <wp:positionV relativeFrom="paragraph">
                  <wp:posOffset>106680</wp:posOffset>
                </wp:positionV>
                <wp:extent cx="5359400" cy="714375"/>
                <wp:effectExtent l="9525" t="11430" r="1270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714375"/>
                        </a:xfrm>
                        <a:prstGeom prst="rect">
                          <a:avLst/>
                        </a:prstGeom>
                        <a:noFill/>
                        <a:ln w="9525">
                          <a:solidFill>
                            <a:srgbClr val="000000"/>
                          </a:solidFill>
                          <a:prstDash val="solid"/>
                          <a:miter lim="800000"/>
                        </a:ln>
                      </wps:spPr>
                      <wps:txbx>
                        <w:txbxContent>
                          <w:p w14:paraId="09CCDF01" w14:textId="77777777" w:rsidR="0091013F" w:rsidRDefault="002F1F02">
                            <w:pPr>
                              <w:pStyle w:val="a5"/>
                              <w:spacing w:before="115" w:line="352" w:lineRule="auto"/>
                              <w:ind w:left="147" w:firstLine="480"/>
                            </w:pPr>
                            <w:r>
                              <w:t>本公司及董事会全体成员保证信息披露内容的真实、准确和完整，没有虚假记载、误导性陈述或重大遗漏。</w:t>
                            </w:r>
                          </w:p>
                        </w:txbxContent>
                      </wps:txbx>
                      <wps:bodyPr rot="0" vert="horz" wrap="square" lIns="0" tIns="0" rIns="0" bIns="0" anchor="t" anchorCtr="0" upright="1">
                        <a:noAutofit/>
                      </wps:bodyPr>
                    </wps:wsp>
                  </a:graphicData>
                </a:graphic>
              </wp:anchor>
            </w:drawing>
          </mc:Choice>
          <mc:Fallback>
            <w:pict>
              <v:shapetype w14:anchorId="4711F024" id="_x0000_t202" coordsize="21600,21600" o:spt="202" path="m,l,21600r21600,l21600,xe">
                <v:stroke joinstyle="miter"/>
                <v:path gradientshapeok="t" o:connecttype="rect"/>
              </v:shapetype>
              <v:shape id="文本框 2" o:spid="_x0000_s1026" type="#_x0000_t202" style="position:absolute;left:0;text-align:left;margin-left:90pt;margin-top:8.4pt;width:422pt;height:56.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" filled="f">
                <v:textbox inset="0,0,0,0">
                  <w:txbxContent>
                    <w:p w14:paraId="09CCDF01" w14:textId="77777777" w:rsidR="0091013F" w:rsidRDefault="002F1F02">
                      <w:pPr>
                        <w:pStyle w:val="a5"/>
                        <w:spacing w:before="115" w:line="352" w:lineRule="auto"/>
                        <w:ind w:left="147" w:firstLine="480"/>
                      </w:pPr>
                      <w:r>
                        <w:t>本公司及董事会全体成员保证信息披露内容的真实、准确和完整，没有虚假记载、误导性陈述或重大遗漏。</w:t>
                      </w:r>
                    </w:p>
                  </w:txbxContent>
                </v:textbox>
                <w10:wrap type="topAndBottom" anchorx="page"/>
              </v:shape>
            </w:pict>
          </mc:Fallback>
        </mc:AlternateContent>
      </w:r>
    </w:p>
    <w:p w14:paraId="3C19EDC1" w14:textId="77777777" w:rsidR="0024758C" w:rsidRPr="00ED32CF" w:rsidRDefault="0024758C" w:rsidP="0024758C">
      <w:pPr>
        <w:spacing w:line="360" w:lineRule="auto"/>
        <w:ind w:firstLineChars="200" w:firstLine="480"/>
        <w:rPr>
          <w:sz w:val="24"/>
          <w:szCs w:val="24"/>
        </w:rPr>
      </w:pPr>
      <w:r w:rsidRPr="00ED32CF">
        <w:rPr>
          <w:rFonts w:hint="eastAsia"/>
          <w:sz w:val="24"/>
          <w:szCs w:val="24"/>
        </w:rPr>
        <w:t>重要内容提示：</w:t>
      </w:r>
    </w:p>
    <w:p w14:paraId="521B7D64" w14:textId="459719CA" w:rsidR="00477E18" w:rsidRPr="00212A8E" w:rsidRDefault="0024758C" w:rsidP="00212A8E">
      <w:pPr>
        <w:pStyle w:val="af1"/>
        <w:numPr>
          <w:ilvl w:val="0"/>
          <w:numId w:val="1"/>
        </w:numPr>
        <w:autoSpaceDE/>
        <w:autoSpaceDN/>
        <w:spacing w:line="360" w:lineRule="auto"/>
        <w:jc w:val="both"/>
        <w:rPr>
          <w:sz w:val="24"/>
          <w:szCs w:val="24"/>
        </w:rPr>
      </w:pPr>
      <w:r w:rsidRPr="00ED32CF">
        <w:rPr>
          <w:rFonts w:hint="eastAsia"/>
          <w:sz w:val="24"/>
          <w:szCs w:val="24"/>
        </w:rPr>
        <w:t>安徽省交通建设股份有限公司（以下简称“公司”或“交建股份</w:t>
      </w:r>
      <w:r w:rsidRPr="00ED32CF">
        <w:rPr>
          <w:sz w:val="24"/>
          <w:szCs w:val="24"/>
        </w:rPr>
        <w:t>”</w:t>
      </w:r>
      <w:r w:rsidRPr="00ED32CF">
        <w:rPr>
          <w:rFonts w:hint="eastAsia"/>
          <w:sz w:val="24"/>
          <w:szCs w:val="24"/>
        </w:rPr>
        <w:t>）使用募集资金</w:t>
      </w:r>
      <w:r w:rsidR="00A814C8" w:rsidRPr="00ED32CF">
        <w:rPr>
          <w:rFonts w:hint="eastAsia"/>
          <w:sz w:val="24"/>
          <w:szCs w:val="24"/>
        </w:rPr>
        <w:t>人民币</w:t>
      </w:r>
      <w:r w:rsidR="008307FA" w:rsidRPr="00ED32CF">
        <w:rPr>
          <w:sz w:val="24"/>
          <w:szCs w:val="24"/>
        </w:rPr>
        <w:t>23,254.53万元</w:t>
      </w:r>
      <w:r w:rsidRPr="00ED32CF">
        <w:rPr>
          <w:rFonts w:hint="eastAsia"/>
          <w:sz w:val="24"/>
          <w:szCs w:val="24"/>
        </w:rPr>
        <w:t>置换预先投入募投项目</w:t>
      </w:r>
      <w:r w:rsidR="00A814C8" w:rsidRPr="00ED32CF">
        <w:rPr>
          <w:rFonts w:hint="eastAsia"/>
          <w:sz w:val="24"/>
          <w:szCs w:val="24"/>
        </w:rPr>
        <w:t>的</w:t>
      </w:r>
      <w:r w:rsidRPr="00ED32CF">
        <w:rPr>
          <w:rFonts w:hint="eastAsia"/>
          <w:sz w:val="24"/>
          <w:szCs w:val="24"/>
        </w:rPr>
        <w:t>自筹资金</w:t>
      </w:r>
      <w:r w:rsidR="00A814C8" w:rsidRPr="00ED32CF">
        <w:rPr>
          <w:rFonts w:hint="eastAsia"/>
          <w:sz w:val="24"/>
          <w:szCs w:val="24"/>
        </w:rPr>
        <w:t>。</w:t>
      </w:r>
      <w:r w:rsidRPr="00ED32CF">
        <w:rPr>
          <w:rFonts w:hint="eastAsia"/>
          <w:sz w:val="24"/>
          <w:szCs w:val="24"/>
        </w:rPr>
        <w:t>此次置换距离募集资金到账时间未超过六个月。</w:t>
      </w:r>
    </w:p>
    <w:p w14:paraId="03A65247" w14:textId="77777777" w:rsidR="00A814C8" w:rsidRPr="00ED32CF" w:rsidRDefault="00A814C8" w:rsidP="00A814C8">
      <w:pPr>
        <w:adjustRightInd w:val="0"/>
        <w:snapToGrid w:val="0"/>
        <w:spacing w:beforeLines="50" w:before="120" w:afterLines="50" w:after="120" w:line="360" w:lineRule="auto"/>
        <w:ind w:firstLineChars="200" w:firstLine="482"/>
        <w:rPr>
          <w:rFonts w:asciiTheme="minorEastAsia" w:eastAsiaTheme="minorEastAsia" w:hAnsiTheme="minorEastAsia"/>
          <w:b/>
          <w:sz w:val="24"/>
          <w:szCs w:val="24"/>
        </w:rPr>
      </w:pPr>
      <w:r w:rsidRPr="00ED32CF">
        <w:rPr>
          <w:rFonts w:asciiTheme="minorEastAsia" w:eastAsiaTheme="minorEastAsia" w:hAnsiTheme="minorEastAsia" w:hint="eastAsia"/>
          <w:b/>
          <w:sz w:val="24"/>
          <w:szCs w:val="24"/>
        </w:rPr>
        <w:t>一、募集资金基本情况</w:t>
      </w:r>
    </w:p>
    <w:p w14:paraId="1EAF2551" w14:textId="77777777" w:rsidR="00A814C8" w:rsidRPr="00ED32CF" w:rsidRDefault="00A814C8" w:rsidP="00A814C8">
      <w:pPr>
        <w:spacing w:line="360" w:lineRule="auto"/>
        <w:ind w:firstLineChars="200" w:firstLine="480"/>
        <w:jc w:val="both"/>
        <w:rPr>
          <w:rFonts w:asciiTheme="minorEastAsia" w:eastAsiaTheme="minorEastAsia" w:hAnsiTheme="minorEastAsia"/>
          <w:sz w:val="24"/>
          <w:szCs w:val="24"/>
        </w:rPr>
      </w:pPr>
      <w:r w:rsidRPr="00ED32CF">
        <w:rPr>
          <w:rFonts w:asciiTheme="minorEastAsia" w:eastAsiaTheme="minorEastAsia" w:hAnsiTheme="minorEastAsia" w:hint="eastAsia"/>
          <w:sz w:val="24"/>
          <w:szCs w:val="24"/>
        </w:rPr>
        <w:t>经中国证券监督管理委员会《关于核准安徽省交通建设股份有限公司非公开发行股票的批复》（证监许可〔202</w:t>
      </w:r>
      <w:r w:rsidRPr="00ED32CF">
        <w:rPr>
          <w:rFonts w:asciiTheme="minorEastAsia" w:eastAsiaTheme="minorEastAsia" w:hAnsiTheme="minorEastAsia"/>
          <w:sz w:val="24"/>
          <w:szCs w:val="24"/>
        </w:rPr>
        <w:t>1</w:t>
      </w:r>
      <w:r w:rsidRPr="00ED32CF">
        <w:rPr>
          <w:rFonts w:asciiTheme="minorEastAsia" w:eastAsiaTheme="minorEastAsia" w:hAnsiTheme="minorEastAsia" w:hint="eastAsia"/>
          <w:sz w:val="24"/>
          <w:szCs w:val="24"/>
        </w:rPr>
        <w:t>〕18号）核准，交建股份非公开发行人民币普通股（A股）股票</w:t>
      </w:r>
      <w:r w:rsidRPr="00ED32CF">
        <w:rPr>
          <w:rFonts w:asciiTheme="minorEastAsia" w:eastAsiaTheme="minorEastAsia" w:hAnsiTheme="minorEastAsia"/>
          <w:sz w:val="24"/>
          <w:szCs w:val="24"/>
        </w:rPr>
        <w:t>119,924,235</w:t>
      </w:r>
      <w:r w:rsidRPr="00ED32CF">
        <w:rPr>
          <w:rFonts w:asciiTheme="minorEastAsia" w:eastAsiaTheme="minorEastAsia" w:hAnsiTheme="minorEastAsia" w:hint="eastAsia"/>
          <w:sz w:val="24"/>
          <w:szCs w:val="24"/>
        </w:rPr>
        <w:t>股，发行价为每股人民币</w:t>
      </w:r>
      <w:r w:rsidRPr="00ED32CF">
        <w:rPr>
          <w:rFonts w:asciiTheme="minorEastAsia" w:eastAsiaTheme="minorEastAsia" w:hAnsiTheme="minorEastAsia"/>
          <w:sz w:val="24"/>
          <w:szCs w:val="24"/>
        </w:rPr>
        <w:t>7.26</w:t>
      </w:r>
      <w:r w:rsidRPr="00ED32CF">
        <w:rPr>
          <w:rFonts w:asciiTheme="minorEastAsia" w:eastAsiaTheme="minorEastAsia" w:hAnsiTheme="minorEastAsia" w:hint="eastAsia"/>
          <w:sz w:val="24"/>
          <w:szCs w:val="24"/>
        </w:rPr>
        <w:t>元，募集资金总额</w:t>
      </w:r>
      <w:r w:rsidRPr="00ED32CF">
        <w:rPr>
          <w:rFonts w:asciiTheme="minorEastAsia" w:eastAsiaTheme="minorEastAsia" w:hAnsiTheme="minorEastAsia"/>
          <w:sz w:val="24"/>
          <w:szCs w:val="24"/>
        </w:rPr>
        <w:t>870,649,946.10</w:t>
      </w:r>
      <w:r w:rsidRPr="00ED32CF">
        <w:rPr>
          <w:rFonts w:asciiTheme="minorEastAsia" w:eastAsiaTheme="minorEastAsia" w:hAnsiTheme="minorEastAsia" w:hint="eastAsia"/>
          <w:sz w:val="24"/>
          <w:szCs w:val="24"/>
        </w:rPr>
        <w:t>元，扣除发行费用（不含税）</w:t>
      </w:r>
      <w:r w:rsidRPr="00ED32CF">
        <w:rPr>
          <w:rFonts w:asciiTheme="minorEastAsia" w:eastAsiaTheme="minorEastAsia" w:hAnsiTheme="minorEastAsia"/>
          <w:sz w:val="24"/>
          <w:szCs w:val="24"/>
        </w:rPr>
        <w:t>11,436,980.73</w:t>
      </w:r>
      <w:r w:rsidRPr="00ED32CF">
        <w:rPr>
          <w:rFonts w:asciiTheme="minorEastAsia" w:eastAsiaTheme="minorEastAsia" w:hAnsiTheme="minorEastAsia" w:hint="eastAsia"/>
          <w:sz w:val="24"/>
          <w:szCs w:val="24"/>
        </w:rPr>
        <w:t>元后，实际募集资金净额为</w:t>
      </w:r>
      <w:r w:rsidRPr="00ED32CF">
        <w:rPr>
          <w:rFonts w:asciiTheme="minorEastAsia" w:eastAsiaTheme="minorEastAsia" w:hAnsiTheme="minorEastAsia"/>
          <w:sz w:val="24"/>
          <w:szCs w:val="24"/>
        </w:rPr>
        <w:t>859,212,965.37</w:t>
      </w:r>
      <w:r w:rsidRPr="00ED32CF">
        <w:rPr>
          <w:rFonts w:asciiTheme="minorEastAsia" w:eastAsiaTheme="minorEastAsia" w:hAnsiTheme="minorEastAsia" w:hint="eastAsia"/>
          <w:sz w:val="24"/>
          <w:szCs w:val="24"/>
        </w:rPr>
        <w:t>元。容诚会计师事务所（特殊普通合伙）于202</w:t>
      </w:r>
      <w:r w:rsidRPr="00ED32CF">
        <w:rPr>
          <w:rFonts w:asciiTheme="minorEastAsia" w:eastAsiaTheme="minorEastAsia" w:hAnsiTheme="minorEastAsia"/>
          <w:sz w:val="24"/>
          <w:szCs w:val="24"/>
        </w:rPr>
        <w:t>1</w:t>
      </w:r>
      <w:r w:rsidRPr="00ED32CF">
        <w:rPr>
          <w:rFonts w:asciiTheme="minorEastAsia" w:eastAsiaTheme="minorEastAsia" w:hAnsiTheme="minorEastAsia" w:hint="eastAsia"/>
          <w:sz w:val="24"/>
          <w:szCs w:val="24"/>
        </w:rPr>
        <w:t>年</w:t>
      </w:r>
      <w:r w:rsidRPr="00ED32CF">
        <w:rPr>
          <w:rFonts w:asciiTheme="minorEastAsia" w:eastAsiaTheme="minorEastAsia" w:hAnsiTheme="minorEastAsia"/>
          <w:sz w:val="24"/>
          <w:szCs w:val="24"/>
        </w:rPr>
        <w:t>6</w:t>
      </w:r>
      <w:r w:rsidRPr="00ED32CF">
        <w:rPr>
          <w:rFonts w:asciiTheme="minorEastAsia" w:eastAsiaTheme="minorEastAsia" w:hAnsiTheme="minorEastAsia" w:hint="eastAsia"/>
          <w:sz w:val="24"/>
          <w:szCs w:val="24"/>
        </w:rPr>
        <w:t>月</w:t>
      </w:r>
      <w:r w:rsidRPr="00ED32CF">
        <w:rPr>
          <w:rFonts w:asciiTheme="minorEastAsia" w:eastAsiaTheme="minorEastAsia" w:hAnsiTheme="minorEastAsia"/>
          <w:sz w:val="24"/>
          <w:szCs w:val="24"/>
        </w:rPr>
        <w:t>18</w:t>
      </w:r>
      <w:r w:rsidRPr="00ED32CF">
        <w:rPr>
          <w:rFonts w:asciiTheme="minorEastAsia" w:eastAsiaTheme="minorEastAsia" w:hAnsiTheme="minorEastAsia" w:hint="eastAsia"/>
          <w:sz w:val="24"/>
          <w:szCs w:val="24"/>
        </w:rPr>
        <w:t>日对本次发行的资金到位情况进行了审验，并出具了《验资报告》（容诚验字[2021]230Z0133号）。</w:t>
      </w:r>
    </w:p>
    <w:p w14:paraId="40375EC1" w14:textId="77777777" w:rsidR="00A814C8" w:rsidRPr="00ED32CF" w:rsidRDefault="00A814C8" w:rsidP="00A814C8">
      <w:pPr>
        <w:spacing w:line="360" w:lineRule="auto"/>
        <w:ind w:firstLineChars="200" w:firstLine="480"/>
        <w:rPr>
          <w:rFonts w:asciiTheme="minorEastAsia" w:eastAsiaTheme="minorEastAsia" w:hAnsiTheme="minorEastAsia"/>
          <w:sz w:val="24"/>
          <w:szCs w:val="24"/>
        </w:rPr>
      </w:pPr>
      <w:r w:rsidRPr="00ED32CF">
        <w:rPr>
          <w:rFonts w:asciiTheme="minorEastAsia" w:eastAsiaTheme="minorEastAsia" w:hAnsiTheme="minorEastAsia" w:hint="eastAsia"/>
          <w:sz w:val="24"/>
          <w:szCs w:val="24"/>
        </w:rPr>
        <w:t>为规范公司募集资金管理，保护投资者权益，公司与保荐机构、募集资金专户开户银行分别签署了《募集资金专户存储三方监管协议》，开设了募集资金专项账户，对募集资金实施专户存储管理。</w:t>
      </w:r>
    </w:p>
    <w:p w14:paraId="273AF326" w14:textId="77777777" w:rsidR="00A814C8" w:rsidRPr="00ED32CF" w:rsidRDefault="00A814C8" w:rsidP="00A814C8">
      <w:pPr>
        <w:adjustRightInd w:val="0"/>
        <w:snapToGrid w:val="0"/>
        <w:spacing w:beforeLines="50" w:before="120" w:afterLines="50" w:after="120" w:line="360" w:lineRule="auto"/>
        <w:ind w:firstLineChars="200" w:firstLine="482"/>
        <w:rPr>
          <w:rFonts w:asciiTheme="minorEastAsia" w:eastAsiaTheme="minorEastAsia" w:hAnsiTheme="minorEastAsia"/>
          <w:sz w:val="24"/>
          <w:szCs w:val="24"/>
        </w:rPr>
      </w:pPr>
      <w:r w:rsidRPr="00ED32CF">
        <w:rPr>
          <w:rFonts w:asciiTheme="minorEastAsia" w:eastAsiaTheme="minorEastAsia" w:hAnsiTheme="minorEastAsia" w:hint="eastAsia"/>
          <w:b/>
          <w:bCs/>
          <w:sz w:val="24"/>
          <w:szCs w:val="24"/>
        </w:rPr>
        <w:t>二、募集资金投资项目的基本情况</w:t>
      </w:r>
    </w:p>
    <w:p w14:paraId="1B8EB4E6" w14:textId="77777777" w:rsidR="00A814C8" w:rsidRPr="00ED32CF" w:rsidRDefault="00A814C8" w:rsidP="00A814C8">
      <w:pPr>
        <w:widowControl/>
        <w:shd w:val="clear" w:color="auto" w:fill="FFFFFF"/>
        <w:spacing w:line="360" w:lineRule="auto"/>
        <w:ind w:firstLineChars="200" w:firstLine="480"/>
        <w:rPr>
          <w:rFonts w:asciiTheme="minorEastAsia" w:eastAsiaTheme="minorEastAsia" w:hAnsiTheme="minorEastAsia"/>
          <w:sz w:val="24"/>
        </w:rPr>
      </w:pPr>
      <w:r w:rsidRPr="00ED32CF">
        <w:rPr>
          <w:rFonts w:asciiTheme="minorEastAsia" w:eastAsiaTheme="minorEastAsia" w:hAnsiTheme="minorEastAsia" w:hint="eastAsia"/>
          <w:sz w:val="24"/>
        </w:rPr>
        <w:t>根据公司于2020年</w:t>
      </w:r>
      <w:r w:rsidRPr="00ED32CF">
        <w:rPr>
          <w:rFonts w:asciiTheme="minorEastAsia" w:eastAsiaTheme="minorEastAsia" w:hAnsiTheme="minorEastAsia"/>
          <w:sz w:val="24"/>
        </w:rPr>
        <w:t>7</w:t>
      </w:r>
      <w:r w:rsidRPr="00ED32CF">
        <w:rPr>
          <w:rFonts w:asciiTheme="minorEastAsia" w:eastAsiaTheme="minorEastAsia" w:hAnsiTheme="minorEastAsia" w:hint="eastAsia"/>
          <w:sz w:val="24"/>
        </w:rPr>
        <w:t>月</w:t>
      </w:r>
      <w:r w:rsidRPr="00ED32CF">
        <w:rPr>
          <w:rFonts w:asciiTheme="minorEastAsia" w:eastAsiaTheme="minorEastAsia" w:hAnsiTheme="minorEastAsia"/>
          <w:sz w:val="24"/>
        </w:rPr>
        <w:t>2</w:t>
      </w:r>
      <w:r w:rsidRPr="00ED32CF">
        <w:rPr>
          <w:rFonts w:asciiTheme="minorEastAsia" w:eastAsiaTheme="minorEastAsia" w:hAnsiTheme="minorEastAsia" w:hint="eastAsia"/>
          <w:sz w:val="24"/>
        </w:rPr>
        <w:t>1日披露的《安徽省交通建设股份有限公司非公开发行股票预案》，公司本次募集资金用于“界首市美丽乡村建设整市推进 PPP 项目”以及“偿还银行贷款”，具体投入如下：</w:t>
      </w:r>
    </w:p>
    <w:p w14:paraId="4CBEA8F5" w14:textId="77777777" w:rsidR="00A814C8" w:rsidRPr="00ED32CF" w:rsidRDefault="00A814C8" w:rsidP="00A814C8">
      <w:pPr>
        <w:widowControl/>
        <w:shd w:val="clear" w:color="auto" w:fill="FFFFFF"/>
        <w:spacing w:before="240" w:line="420" w:lineRule="atLeast"/>
        <w:jc w:val="right"/>
        <w:rPr>
          <w:rFonts w:asciiTheme="minorEastAsia" w:eastAsiaTheme="minorEastAsia" w:hAnsiTheme="minorEastAsia"/>
          <w:sz w:val="24"/>
        </w:rPr>
      </w:pPr>
      <w:r w:rsidRPr="00ED32CF">
        <w:rPr>
          <w:rFonts w:asciiTheme="minorEastAsia" w:eastAsiaTheme="minorEastAsia" w:hAnsiTheme="minorEastAsia" w:hint="eastAsia"/>
          <w:sz w:val="24"/>
        </w:rPr>
        <w:lastRenderedPageBreak/>
        <w:t>单位：万元</w:t>
      </w:r>
    </w:p>
    <w:tbl>
      <w:tblPr>
        <w:tblStyle w:val="1"/>
        <w:tblW w:w="5000" w:type="pct"/>
        <w:jc w:val="center"/>
        <w:tblLook w:val="04A0" w:firstRow="1" w:lastRow="0" w:firstColumn="1" w:lastColumn="0" w:noHBand="0" w:noVBand="1"/>
      </w:tblPr>
      <w:tblGrid>
        <w:gridCol w:w="705"/>
        <w:gridCol w:w="2232"/>
        <w:gridCol w:w="1788"/>
        <w:gridCol w:w="1880"/>
        <w:gridCol w:w="2381"/>
      </w:tblGrid>
      <w:tr w:rsidR="00A814C8" w:rsidRPr="006242F6" w14:paraId="07DC1558" w14:textId="77777777" w:rsidTr="006242F6">
        <w:trPr>
          <w:trHeight w:val="397"/>
          <w:jc w:val="center"/>
        </w:trPr>
        <w:tc>
          <w:tcPr>
            <w:tcW w:w="392" w:type="pct"/>
            <w:vAlign w:val="center"/>
            <w:hideMark/>
          </w:tcPr>
          <w:p w14:paraId="49648AD5" w14:textId="77777777" w:rsidR="00A814C8" w:rsidRPr="006242F6" w:rsidRDefault="00A814C8" w:rsidP="00C774C4">
            <w:pPr>
              <w:widowControl/>
              <w:spacing w:before="100" w:beforeAutospacing="1" w:after="100" w:afterAutospacing="1"/>
              <w:jc w:val="center"/>
              <w:rPr>
                <w:rFonts w:asciiTheme="minorEastAsia" w:eastAsiaTheme="minorEastAsia" w:hAnsiTheme="minorEastAsia"/>
                <w:b/>
                <w:bCs/>
                <w:szCs w:val="21"/>
              </w:rPr>
            </w:pPr>
            <w:r w:rsidRPr="006242F6">
              <w:rPr>
                <w:rFonts w:asciiTheme="minorEastAsia" w:eastAsiaTheme="minorEastAsia" w:hAnsiTheme="minorEastAsia"/>
                <w:b/>
                <w:bCs/>
                <w:szCs w:val="21"/>
              </w:rPr>
              <w:t>序号</w:t>
            </w:r>
          </w:p>
        </w:tc>
        <w:tc>
          <w:tcPr>
            <w:tcW w:w="1242" w:type="pct"/>
            <w:vAlign w:val="center"/>
            <w:hideMark/>
          </w:tcPr>
          <w:p w14:paraId="312EE053" w14:textId="77777777" w:rsidR="00A814C8" w:rsidRPr="006242F6" w:rsidRDefault="00A814C8" w:rsidP="00C774C4">
            <w:pPr>
              <w:widowControl/>
              <w:spacing w:before="100" w:beforeAutospacing="1" w:after="100" w:afterAutospacing="1"/>
              <w:jc w:val="center"/>
              <w:rPr>
                <w:rFonts w:asciiTheme="minorEastAsia" w:eastAsiaTheme="minorEastAsia" w:hAnsiTheme="minorEastAsia"/>
                <w:b/>
                <w:bCs/>
                <w:szCs w:val="21"/>
              </w:rPr>
            </w:pPr>
            <w:r w:rsidRPr="006242F6">
              <w:rPr>
                <w:rFonts w:asciiTheme="minorEastAsia" w:eastAsiaTheme="minorEastAsia" w:hAnsiTheme="minorEastAsia"/>
                <w:b/>
                <w:bCs/>
                <w:szCs w:val="21"/>
              </w:rPr>
              <w:t>项目名称</w:t>
            </w:r>
          </w:p>
        </w:tc>
        <w:tc>
          <w:tcPr>
            <w:tcW w:w="994" w:type="pct"/>
            <w:vAlign w:val="center"/>
            <w:hideMark/>
          </w:tcPr>
          <w:p w14:paraId="6E60ACE9" w14:textId="77777777" w:rsidR="00A814C8" w:rsidRPr="006242F6" w:rsidRDefault="00A814C8" w:rsidP="00C774C4">
            <w:pPr>
              <w:widowControl/>
              <w:spacing w:before="100" w:beforeAutospacing="1" w:after="100" w:afterAutospacing="1"/>
              <w:jc w:val="center"/>
              <w:rPr>
                <w:rFonts w:asciiTheme="minorEastAsia" w:eastAsiaTheme="minorEastAsia" w:hAnsiTheme="minorEastAsia"/>
                <w:b/>
                <w:bCs/>
                <w:szCs w:val="21"/>
              </w:rPr>
            </w:pPr>
            <w:r w:rsidRPr="006242F6">
              <w:rPr>
                <w:rFonts w:asciiTheme="minorEastAsia" w:eastAsiaTheme="minorEastAsia" w:hAnsiTheme="minorEastAsia"/>
                <w:b/>
                <w:bCs/>
                <w:szCs w:val="21"/>
              </w:rPr>
              <w:t>项目实施主体</w:t>
            </w:r>
          </w:p>
        </w:tc>
        <w:tc>
          <w:tcPr>
            <w:tcW w:w="1046" w:type="pct"/>
            <w:vAlign w:val="center"/>
            <w:hideMark/>
          </w:tcPr>
          <w:p w14:paraId="0DD661E8" w14:textId="77777777" w:rsidR="00A814C8" w:rsidRPr="006242F6" w:rsidRDefault="00A814C8" w:rsidP="00C774C4">
            <w:pPr>
              <w:widowControl/>
              <w:spacing w:before="100" w:beforeAutospacing="1" w:after="100" w:afterAutospacing="1"/>
              <w:jc w:val="center"/>
              <w:rPr>
                <w:rFonts w:asciiTheme="minorEastAsia" w:eastAsiaTheme="minorEastAsia" w:hAnsiTheme="minorEastAsia"/>
                <w:b/>
                <w:bCs/>
                <w:szCs w:val="21"/>
              </w:rPr>
            </w:pPr>
            <w:r w:rsidRPr="006242F6">
              <w:rPr>
                <w:rFonts w:asciiTheme="minorEastAsia" w:eastAsiaTheme="minorEastAsia" w:hAnsiTheme="minorEastAsia"/>
                <w:b/>
                <w:bCs/>
                <w:szCs w:val="21"/>
              </w:rPr>
              <w:t>项目投资总额</w:t>
            </w:r>
          </w:p>
        </w:tc>
        <w:tc>
          <w:tcPr>
            <w:tcW w:w="1325" w:type="pct"/>
            <w:vAlign w:val="center"/>
            <w:hideMark/>
          </w:tcPr>
          <w:p w14:paraId="7476AD1D" w14:textId="77777777" w:rsidR="00A814C8" w:rsidRPr="006242F6" w:rsidRDefault="00A814C8" w:rsidP="00C774C4">
            <w:pPr>
              <w:widowControl/>
              <w:spacing w:before="100" w:beforeAutospacing="1" w:after="100" w:afterAutospacing="1"/>
              <w:jc w:val="center"/>
              <w:rPr>
                <w:rFonts w:asciiTheme="minorEastAsia" w:eastAsiaTheme="minorEastAsia" w:hAnsiTheme="minorEastAsia"/>
                <w:b/>
                <w:bCs/>
                <w:szCs w:val="21"/>
              </w:rPr>
            </w:pPr>
            <w:r w:rsidRPr="006242F6">
              <w:rPr>
                <w:rFonts w:asciiTheme="minorEastAsia" w:eastAsiaTheme="minorEastAsia" w:hAnsiTheme="minorEastAsia"/>
                <w:b/>
                <w:bCs/>
                <w:szCs w:val="21"/>
              </w:rPr>
              <w:t>募集资金拟投入金额</w:t>
            </w:r>
          </w:p>
        </w:tc>
      </w:tr>
      <w:tr w:rsidR="00A814C8" w:rsidRPr="00ED32CF" w14:paraId="1435F92B" w14:textId="77777777" w:rsidTr="006242F6">
        <w:trPr>
          <w:trHeight w:val="397"/>
          <w:jc w:val="center"/>
        </w:trPr>
        <w:tc>
          <w:tcPr>
            <w:tcW w:w="392" w:type="pct"/>
            <w:vAlign w:val="center"/>
            <w:hideMark/>
          </w:tcPr>
          <w:p w14:paraId="212B8259"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szCs w:val="21"/>
              </w:rPr>
            </w:pPr>
            <w:r w:rsidRPr="00ED32CF">
              <w:rPr>
                <w:rFonts w:asciiTheme="minorEastAsia" w:eastAsiaTheme="minorEastAsia" w:hAnsiTheme="minorEastAsia"/>
                <w:szCs w:val="21"/>
              </w:rPr>
              <w:t>1</w:t>
            </w:r>
          </w:p>
        </w:tc>
        <w:tc>
          <w:tcPr>
            <w:tcW w:w="1242" w:type="pct"/>
            <w:vAlign w:val="center"/>
            <w:hideMark/>
          </w:tcPr>
          <w:p w14:paraId="1D345EB6"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szCs w:val="21"/>
              </w:rPr>
            </w:pPr>
            <w:r w:rsidRPr="00ED32CF">
              <w:rPr>
                <w:rFonts w:asciiTheme="minorEastAsia" w:eastAsiaTheme="minorEastAsia" w:hAnsiTheme="minorEastAsia"/>
                <w:szCs w:val="21"/>
              </w:rPr>
              <w:t>界首市美丽乡村建设 整市推进 PPP 项目</w:t>
            </w:r>
          </w:p>
        </w:tc>
        <w:tc>
          <w:tcPr>
            <w:tcW w:w="994" w:type="pct"/>
            <w:vAlign w:val="center"/>
            <w:hideMark/>
          </w:tcPr>
          <w:p w14:paraId="7D221F71"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szCs w:val="21"/>
              </w:rPr>
            </w:pPr>
            <w:r w:rsidRPr="00ED32CF">
              <w:rPr>
                <w:rFonts w:asciiTheme="minorEastAsia" w:eastAsiaTheme="minorEastAsia" w:hAnsiTheme="minorEastAsia"/>
                <w:szCs w:val="21"/>
              </w:rPr>
              <w:t>界首市齐美项目 管理有限公司</w:t>
            </w:r>
          </w:p>
        </w:tc>
        <w:tc>
          <w:tcPr>
            <w:tcW w:w="1046" w:type="pct"/>
            <w:vAlign w:val="center"/>
            <w:hideMark/>
          </w:tcPr>
          <w:p w14:paraId="211D1C27" w14:textId="77777777" w:rsidR="00A814C8" w:rsidRPr="00ED32CF" w:rsidRDefault="00A814C8" w:rsidP="00C774C4">
            <w:pPr>
              <w:widowControl/>
              <w:spacing w:before="100" w:beforeAutospacing="1" w:after="100" w:afterAutospacing="1"/>
              <w:jc w:val="right"/>
              <w:rPr>
                <w:rFonts w:asciiTheme="minorEastAsia" w:eastAsiaTheme="minorEastAsia" w:hAnsiTheme="minorEastAsia"/>
                <w:szCs w:val="21"/>
              </w:rPr>
            </w:pPr>
            <w:r w:rsidRPr="00ED32CF">
              <w:rPr>
                <w:rFonts w:asciiTheme="minorEastAsia" w:eastAsiaTheme="minorEastAsia" w:hAnsiTheme="minorEastAsia"/>
                <w:szCs w:val="21"/>
              </w:rPr>
              <w:t>164,865.405</w:t>
            </w:r>
          </w:p>
        </w:tc>
        <w:tc>
          <w:tcPr>
            <w:tcW w:w="1325" w:type="pct"/>
            <w:vAlign w:val="center"/>
            <w:hideMark/>
          </w:tcPr>
          <w:p w14:paraId="74CDBF6F" w14:textId="77777777" w:rsidR="00A814C8" w:rsidRPr="00ED32CF" w:rsidRDefault="00A814C8" w:rsidP="00C774C4">
            <w:pPr>
              <w:widowControl/>
              <w:spacing w:before="100" w:beforeAutospacing="1" w:after="100" w:afterAutospacing="1"/>
              <w:jc w:val="right"/>
              <w:rPr>
                <w:rFonts w:asciiTheme="minorEastAsia" w:eastAsiaTheme="minorEastAsia" w:hAnsiTheme="minorEastAsia"/>
                <w:szCs w:val="21"/>
              </w:rPr>
            </w:pPr>
            <w:r w:rsidRPr="00ED32CF">
              <w:rPr>
                <w:rFonts w:asciiTheme="minorEastAsia" w:eastAsiaTheme="minorEastAsia" w:hAnsiTheme="minorEastAsia"/>
                <w:szCs w:val="21"/>
              </w:rPr>
              <w:t>100,000.00</w:t>
            </w:r>
          </w:p>
        </w:tc>
      </w:tr>
      <w:tr w:rsidR="00A814C8" w:rsidRPr="00ED32CF" w14:paraId="3FBF8F2A" w14:textId="77777777" w:rsidTr="006242F6">
        <w:trPr>
          <w:trHeight w:val="397"/>
          <w:jc w:val="center"/>
        </w:trPr>
        <w:tc>
          <w:tcPr>
            <w:tcW w:w="392" w:type="pct"/>
            <w:vAlign w:val="center"/>
            <w:hideMark/>
          </w:tcPr>
          <w:p w14:paraId="75A49333"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szCs w:val="21"/>
              </w:rPr>
            </w:pPr>
            <w:r w:rsidRPr="00ED32CF">
              <w:rPr>
                <w:rFonts w:asciiTheme="minorEastAsia" w:eastAsiaTheme="minorEastAsia" w:hAnsiTheme="minorEastAsia"/>
                <w:szCs w:val="21"/>
              </w:rPr>
              <w:t>2</w:t>
            </w:r>
          </w:p>
        </w:tc>
        <w:tc>
          <w:tcPr>
            <w:tcW w:w="1242" w:type="pct"/>
            <w:vAlign w:val="center"/>
            <w:hideMark/>
          </w:tcPr>
          <w:p w14:paraId="45B00EA7"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szCs w:val="21"/>
              </w:rPr>
            </w:pPr>
            <w:r w:rsidRPr="00ED32CF">
              <w:rPr>
                <w:rFonts w:asciiTheme="minorEastAsia" w:eastAsiaTheme="minorEastAsia" w:hAnsiTheme="minorEastAsia"/>
                <w:szCs w:val="21"/>
              </w:rPr>
              <w:t>偿还银行贷款</w:t>
            </w:r>
          </w:p>
        </w:tc>
        <w:tc>
          <w:tcPr>
            <w:tcW w:w="994" w:type="pct"/>
            <w:vAlign w:val="center"/>
            <w:hideMark/>
          </w:tcPr>
          <w:p w14:paraId="0E2EF1B7"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szCs w:val="21"/>
              </w:rPr>
            </w:pPr>
            <w:r w:rsidRPr="00ED32CF">
              <w:rPr>
                <w:rFonts w:asciiTheme="minorEastAsia" w:eastAsiaTheme="minorEastAsia" w:hAnsiTheme="minorEastAsia"/>
                <w:szCs w:val="21"/>
              </w:rPr>
              <w:t>交建股份</w:t>
            </w:r>
          </w:p>
        </w:tc>
        <w:tc>
          <w:tcPr>
            <w:tcW w:w="1046" w:type="pct"/>
            <w:vAlign w:val="center"/>
            <w:hideMark/>
          </w:tcPr>
          <w:p w14:paraId="39FBB32D" w14:textId="77777777" w:rsidR="00A814C8" w:rsidRPr="00ED32CF" w:rsidRDefault="00A814C8" w:rsidP="00C774C4">
            <w:pPr>
              <w:widowControl/>
              <w:spacing w:before="100" w:beforeAutospacing="1" w:after="100" w:afterAutospacing="1"/>
              <w:jc w:val="right"/>
              <w:rPr>
                <w:rFonts w:asciiTheme="minorEastAsia" w:eastAsiaTheme="minorEastAsia" w:hAnsiTheme="minorEastAsia"/>
                <w:szCs w:val="21"/>
              </w:rPr>
            </w:pPr>
            <w:r w:rsidRPr="00ED32CF">
              <w:rPr>
                <w:rFonts w:asciiTheme="minorEastAsia" w:eastAsiaTheme="minorEastAsia" w:hAnsiTheme="minorEastAsia"/>
                <w:szCs w:val="21"/>
              </w:rPr>
              <w:t>20,000.00</w:t>
            </w:r>
          </w:p>
        </w:tc>
        <w:tc>
          <w:tcPr>
            <w:tcW w:w="1325" w:type="pct"/>
            <w:vAlign w:val="center"/>
            <w:hideMark/>
          </w:tcPr>
          <w:p w14:paraId="081599F2" w14:textId="77777777" w:rsidR="00A814C8" w:rsidRPr="00ED32CF" w:rsidRDefault="00A814C8" w:rsidP="00C774C4">
            <w:pPr>
              <w:widowControl/>
              <w:spacing w:before="100" w:beforeAutospacing="1" w:after="100" w:afterAutospacing="1"/>
              <w:jc w:val="right"/>
              <w:rPr>
                <w:rFonts w:asciiTheme="minorEastAsia" w:eastAsiaTheme="minorEastAsia" w:hAnsiTheme="minorEastAsia"/>
                <w:szCs w:val="21"/>
              </w:rPr>
            </w:pPr>
            <w:r w:rsidRPr="00ED32CF">
              <w:rPr>
                <w:rFonts w:asciiTheme="minorEastAsia" w:eastAsiaTheme="minorEastAsia" w:hAnsiTheme="minorEastAsia"/>
                <w:szCs w:val="21"/>
              </w:rPr>
              <w:t>20,000.00</w:t>
            </w:r>
          </w:p>
        </w:tc>
      </w:tr>
      <w:tr w:rsidR="00A814C8" w:rsidRPr="00ED32CF" w14:paraId="50F14911" w14:textId="77777777" w:rsidTr="006242F6">
        <w:trPr>
          <w:trHeight w:val="397"/>
          <w:jc w:val="center"/>
        </w:trPr>
        <w:tc>
          <w:tcPr>
            <w:tcW w:w="2629" w:type="pct"/>
            <w:gridSpan w:val="3"/>
            <w:vAlign w:val="center"/>
            <w:hideMark/>
          </w:tcPr>
          <w:p w14:paraId="32E40537" w14:textId="77777777" w:rsidR="00A814C8" w:rsidRPr="00ED32CF" w:rsidRDefault="00A814C8" w:rsidP="00C774C4">
            <w:pPr>
              <w:widowControl/>
              <w:spacing w:before="100" w:beforeAutospacing="1" w:after="100" w:afterAutospacing="1"/>
              <w:jc w:val="center"/>
              <w:rPr>
                <w:rFonts w:asciiTheme="minorEastAsia" w:eastAsiaTheme="minorEastAsia" w:hAnsiTheme="minorEastAsia"/>
                <w:b/>
                <w:szCs w:val="21"/>
              </w:rPr>
            </w:pPr>
            <w:r w:rsidRPr="00ED32CF">
              <w:rPr>
                <w:rFonts w:asciiTheme="minorEastAsia" w:eastAsiaTheme="minorEastAsia" w:hAnsiTheme="minorEastAsia"/>
                <w:b/>
                <w:szCs w:val="21"/>
              </w:rPr>
              <w:t>合计</w:t>
            </w:r>
          </w:p>
        </w:tc>
        <w:tc>
          <w:tcPr>
            <w:tcW w:w="1046" w:type="pct"/>
            <w:vAlign w:val="center"/>
            <w:hideMark/>
          </w:tcPr>
          <w:p w14:paraId="70A8E957" w14:textId="77777777" w:rsidR="00A814C8" w:rsidRPr="00ED32CF" w:rsidRDefault="00A814C8" w:rsidP="00C774C4">
            <w:pPr>
              <w:widowControl/>
              <w:spacing w:before="100" w:beforeAutospacing="1" w:after="100" w:afterAutospacing="1"/>
              <w:jc w:val="right"/>
              <w:rPr>
                <w:rFonts w:asciiTheme="minorEastAsia" w:eastAsiaTheme="minorEastAsia" w:hAnsiTheme="minorEastAsia"/>
                <w:b/>
                <w:szCs w:val="21"/>
              </w:rPr>
            </w:pPr>
            <w:r w:rsidRPr="00ED32CF">
              <w:rPr>
                <w:rFonts w:asciiTheme="minorEastAsia" w:eastAsiaTheme="minorEastAsia" w:hAnsiTheme="minorEastAsia"/>
                <w:b/>
                <w:szCs w:val="21"/>
              </w:rPr>
              <w:t>184,865.405</w:t>
            </w:r>
          </w:p>
        </w:tc>
        <w:tc>
          <w:tcPr>
            <w:tcW w:w="1325" w:type="pct"/>
            <w:vAlign w:val="center"/>
            <w:hideMark/>
          </w:tcPr>
          <w:p w14:paraId="1B0CB10F" w14:textId="77777777" w:rsidR="00A814C8" w:rsidRPr="00ED32CF" w:rsidRDefault="00A814C8" w:rsidP="00C774C4">
            <w:pPr>
              <w:widowControl/>
              <w:spacing w:before="100" w:beforeAutospacing="1" w:after="100" w:afterAutospacing="1"/>
              <w:jc w:val="right"/>
              <w:rPr>
                <w:rFonts w:asciiTheme="minorEastAsia" w:eastAsiaTheme="minorEastAsia" w:hAnsiTheme="minorEastAsia"/>
                <w:b/>
                <w:szCs w:val="21"/>
              </w:rPr>
            </w:pPr>
            <w:r w:rsidRPr="00ED32CF">
              <w:rPr>
                <w:rFonts w:asciiTheme="minorEastAsia" w:eastAsiaTheme="minorEastAsia" w:hAnsiTheme="minorEastAsia"/>
                <w:b/>
                <w:szCs w:val="21"/>
              </w:rPr>
              <w:t>120,000.00</w:t>
            </w:r>
          </w:p>
        </w:tc>
      </w:tr>
    </w:tbl>
    <w:p w14:paraId="538CE8FE" w14:textId="77777777" w:rsidR="00A814C8" w:rsidRPr="00ED32CF" w:rsidRDefault="00A814C8" w:rsidP="00B57E5C">
      <w:pPr>
        <w:widowControl/>
        <w:adjustRightInd w:val="0"/>
        <w:snapToGrid w:val="0"/>
        <w:spacing w:beforeLines="100" w:before="240" w:line="360" w:lineRule="auto"/>
        <w:ind w:firstLineChars="200" w:firstLine="480"/>
        <w:jc w:val="both"/>
        <w:rPr>
          <w:rFonts w:asciiTheme="minorEastAsia" w:eastAsiaTheme="minorEastAsia" w:hAnsiTheme="minorEastAsia"/>
          <w:sz w:val="24"/>
          <w:szCs w:val="24"/>
        </w:rPr>
      </w:pPr>
      <w:r w:rsidRPr="00ED32CF">
        <w:rPr>
          <w:rFonts w:asciiTheme="minorEastAsia" w:eastAsiaTheme="minorEastAsia" w:hAnsiTheme="minorEastAsia" w:hint="eastAsia"/>
          <w:sz w:val="24"/>
        </w:rPr>
        <w:t>公司已在《安徽省交通建设股份有限公司非公开发行股票预案》中对募集资金置换先期投入作出了安排：若本次募集资金净额低于上述项目拟投入募集资金金额，不足部分将由公司自行筹资解决。在不改变本次募投项目的前提下，公司董事会可根据项目的实际需求，对上述项目的募集资金投入顺序和金额进行适当调整。本次募集资金到位之前，公司将根据项目进度的实际情况以自筹资金先行投入，并在募集资金到位之后按照相关法规规定的程序予以置换。</w:t>
      </w:r>
    </w:p>
    <w:p w14:paraId="5FD32D9D" w14:textId="77777777" w:rsidR="00A814C8" w:rsidRPr="00ED32CF" w:rsidRDefault="00A814C8" w:rsidP="00A814C8">
      <w:pPr>
        <w:adjustRightInd w:val="0"/>
        <w:snapToGrid w:val="0"/>
        <w:spacing w:beforeLines="50" w:before="120" w:afterLines="50" w:after="120" w:line="360" w:lineRule="auto"/>
        <w:ind w:firstLineChars="200" w:firstLine="482"/>
        <w:rPr>
          <w:rFonts w:asciiTheme="minorEastAsia" w:eastAsiaTheme="minorEastAsia" w:hAnsiTheme="minorEastAsia"/>
          <w:sz w:val="24"/>
          <w:szCs w:val="24"/>
        </w:rPr>
      </w:pPr>
      <w:r w:rsidRPr="00ED32CF">
        <w:rPr>
          <w:rFonts w:asciiTheme="minorEastAsia" w:eastAsiaTheme="minorEastAsia" w:hAnsiTheme="minorEastAsia" w:hint="eastAsia"/>
          <w:b/>
          <w:bCs/>
          <w:sz w:val="24"/>
          <w:szCs w:val="24"/>
        </w:rPr>
        <w:t>三、</w:t>
      </w:r>
      <w:r w:rsidRPr="00ED32CF">
        <w:rPr>
          <w:rFonts w:hint="eastAsia"/>
          <w:b/>
          <w:bCs/>
          <w:sz w:val="24"/>
        </w:rPr>
        <w:t>募投项目先期投入及置换情况</w:t>
      </w:r>
    </w:p>
    <w:p w14:paraId="4389DBF7" w14:textId="77777777" w:rsidR="00A814C8" w:rsidRPr="00ED32CF" w:rsidRDefault="00A814C8" w:rsidP="003F118F">
      <w:pPr>
        <w:widowControl/>
        <w:adjustRightInd w:val="0"/>
        <w:snapToGrid w:val="0"/>
        <w:spacing w:beforeLines="50" w:before="120" w:line="360" w:lineRule="auto"/>
        <w:ind w:firstLineChars="200" w:firstLine="480"/>
        <w:jc w:val="both"/>
        <w:rPr>
          <w:rFonts w:asciiTheme="minorEastAsia" w:eastAsiaTheme="minorEastAsia" w:hAnsiTheme="minorEastAsia"/>
          <w:sz w:val="24"/>
        </w:rPr>
      </w:pPr>
      <w:r w:rsidRPr="00ED32CF">
        <w:rPr>
          <w:rFonts w:asciiTheme="minorEastAsia" w:eastAsiaTheme="minorEastAsia" w:hAnsiTheme="minorEastAsia" w:hint="eastAsia"/>
          <w:sz w:val="24"/>
        </w:rPr>
        <w:t>为保证募集资金投资项目的顺利进行，本次募集资金到位前，公司根据募投项目的进展情况以自筹资金进行了预先投入。</w:t>
      </w:r>
    </w:p>
    <w:p w14:paraId="1AC87D35" w14:textId="1DFB6E89" w:rsidR="00A814C8" w:rsidRPr="00ED32CF" w:rsidRDefault="00A814C8" w:rsidP="003F118F">
      <w:pPr>
        <w:widowControl/>
        <w:adjustRightInd w:val="0"/>
        <w:snapToGrid w:val="0"/>
        <w:spacing w:line="360" w:lineRule="auto"/>
        <w:ind w:firstLineChars="200" w:firstLine="480"/>
        <w:jc w:val="both"/>
        <w:rPr>
          <w:rFonts w:asciiTheme="minorEastAsia" w:eastAsiaTheme="minorEastAsia" w:hAnsiTheme="minorEastAsia"/>
          <w:sz w:val="24"/>
        </w:rPr>
      </w:pPr>
      <w:r w:rsidRPr="00ED32CF">
        <w:rPr>
          <w:rFonts w:asciiTheme="minorEastAsia" w:eastAsiaTheme="minorEastAsia" w:hAnsiTheme="minorEastAsia" w:hint="eastAsia"/>
          <w:sz w:val="24"/>
        </w:rPr>
        <w:t>根据容诚会计师事务所（特殊普通合伙）于2021年</w:t>
      </w:r>
      <w:r w:rsidRPr="00ED32CF">
        <w:rPr>
          <w:rFonts w:asciiTheme="minorEastAsia" w:eastAsiaTheme="minorEastAsia" w:hAnsiTheme="minorEastAsia"/>
          <w:sz w:val="24"/>
        </w:rPr>
        <w:t>7</w:t>
      </w:r>
      <w:r w:rsidRPr="00ED32CF">
        <w:rPr>
          <w:rFonts w:asciiTheme="minorEastAsia" w:eastAsiaTheme="minorEastAsia" w:hAnsiTheme="minorEastAsia" w:hint="eastAsia"/>
          <w:sz w:val="24"/>
        </w:rPr>
        <w:t>月7日出具的</w:t>
      </w:r>
      <w:r w:rsidR="00D65728" w:rsidRPr="00D65728">
        <w:rPr>
          <w:rFonts w:asciiTheme="minorEastAsia" w:eastAsiaTheme="minorEastAsia" w:hAnsiTheme="minorEastAsia" w:hint="eastAsia"/>
          <w:sz w:val="24"/>
        </w:rPr>
        <w:t>《关于安徽省交通建设股份有限公司以自筹资金预先投入募集资金投资项目的鉴证报告》</w:t>
      </w:r>
      <w:r w:rsidRPr="00ED32CF">
        <w:rPr>
          <w:rFonts w:asciiTheme="minorEastAsia" w:eastAsiaTheme="minorEastAsia" w:hAnsiTheme="minorEastAsia" w:hint="eastAsia"/>
          <w:sz w:val="24"/>
        </w:rPr>
        <w:t>（容诚专字[2021]230Z2076号）</w:t>
      </w:r>
      <w:r w:rsidR="00B15BAD" w:rsidRPr="00ED32CF">
        <w:rPr>
          <w:rFonts w:asciiTheme="minorEastAsia" w:eastAsiaTheme="minorEastAsia" w:hAnsiTheme="minorEastAsia" w:hint="eastAsia"/>
          <w:sz w:val="24"/>
        </w:rPr>
        <w:t>（以下简称“鉴证报告”</w:t>
      </w:r>
      <w:r w:rsidR="00E9454D" w:rsidRPr="00ED32CF">
        <w:rPr>
          <w:rFonts w:asciiTheme="minorEastAsia" w:eastAsiaTheme="minorEastAsia" w:hAnsiTheme="minorEastAsia" w:hint="eastAsia"/>
          <w:sz w:val="24"/>
        </w:rPr>
        <w:t>）</w:t>
      </w:r>
      <w:r w:rsidRPr="00ED32CF">
        <w:rPr>
          <w:rFonts w:asciiTheme="minorEastAsia" w:eastAsiaTheme="minorEastAsia" w:hAnsiTheme="minorEastAsia" w:hint="eastAsia"/>
          <w:sz w:val="24"/>
        </w:rPr>
        <w:t>，截至202</w:t>
      </w:r>
      <w:r w:rsidRPr="00ED32CF">
        <w:rPr>
          <w:rFonts w:asciiTheme="minorEastAsia" w:eastAsiaTheme="minorEastAsia" w:hAnsiTheme="minorEastAsia"/>
          <w:sz w:val="24"/>
        </w:rPr>
        <w:t>1</w:t>
      </w:r>
      <w:r w:rsidRPr="00ED32CF">
        <w:rPr>
          <w:rFonts w:asciiTheme="minorEastAsia" w:eastAsiaTheme="minorEastAsia" w:hAnsiTheme="minorEastAsia" w:hint="eastAsia"/>
          <w:sz w:val="24"/>
        </w:rPr>
        <w:t>年6月</w:t>
      </w:r>
      <w:r w:rsidR="00ED32CF" w:rsidRPr="00ED32CF">
        <w:rPr>
          <w:rFonts w:asciiTheme="minorEastAsia" w:eastAsiaTheme="minorEastAsia" w:hAnsiTheme="minorEastAsia" w:hint="eastAsia"/>
          <w:sz w:val="24"/>
        </w:rPr>
        <w:t>17</w:t>
      </w:r>
      <w:r w:rsidRPr="00ED32CF">
        <w:rPr>
          <w:rFonts w:asciiTheme="minorEastAsia" w:eastAsiaTheme="minorEastAsia" w:hAnsiTheme="minorEastAsia" w:hint="eastAsia"/>
          <w:sz w:val="24"/>
        </w:rPr>
        <w:t>日，本公司以自筹资金预先投入募集资金投资项目的实际投资金额为</w:t>
      </w:r>
      <w:r w:rsidR="008307FA" w:rsidRPr="00ED32CF">
        <w:rPr>
          <w:rFonts w:asciiTheme="minorEastAsia" w:eastAsiaTheme="minorEastAsia" w:hAnsiTheme="minorEastAsia"/>
          <w:sz w:val="24"/>
        </w:rPr>
        <w:t>23,254.53</w:t>
      </w:r>
      <w:r w:rsidRPr="00ED32CF">
        <w:rPr>
          <w:rFonts w:asciiTheme="minorEastAsia" w:eastAsiaTheme="minorEastAsia" w:hAnsiTheme="minorEastAsia" w:hint="eastAsia"/>
          <w:sz w:val="24"/>
        </w:rPr>
        <w:t>万元，具体情况如下：</w:t>
      </w:r>
    </w:p>
    <w:p w14:paraId="18781201" w14:textId="77777777" w:rsidR="00A814C8" w:rsidRPr="00ED32CF" w:rsidRDefault="00A814C8" w:rsidP="00B15BAD">
      <w:pPr>
        <w:widowControl/>
        <w:shd w:val="clear" w:color="auto" w:fill="FFFFFF"/>
        <w:spacing w:line="420" w:lineRule="atLeast"/>
        <w:jc w:val="right"/>
        <w:rPr>
          <w:sz w:val="24"/>
        </w:rPr>
      </w:pPr>
      <w:r w:rsidRPr="00ED32CF">
        <w:rPr>
          <w:rFonts w:hint="eastAsia"/>
          <w:sz w:val="24"/>
        </w:rPr>
        <w:t>单位：万元</w:t>
      </w:r>
    </w:p>
    <w:tbl>
      <w:tblPr>
        <w:tblStyle w:val="1"/>
        <w:tblW w:w="4915" w:type="pct"/>
        <w:tblLook w:val="04A0" w:firstRow="1" w:lastRow="0" w:firstColumn="1" w:lastColumn="0" w:noHBand="0" w:noVBand="1"/>
      </w:tblPr>
      <w:tblGrid>
        <w:gridCol w:w="689"/>
        <w:gridCol w:w="2922"/>
        <w:gridCol w:w="1795"/>
        <w:gridCol w:w="1632"/>
        <w:gridCol w:w="1795"/>
      </w:tblGrid>
      <w:tr w:rsidR="00A814C8" w:rsidRPr="00ED32CF" w14:paraId="287A1863" w14:textId="77777777" w:rsidTr="008C2CEB">
        <w:trPr>
          <w:trHeight w:val="397"/>
        </w:trPr>
        <w:tc>
          <w:tcPr>
            <w:tcW w:w="390" w:type="pct"/>
            <w:vAlign w:val="center"/>
            <w:hideMark/>
          </w:tcPr>
          <w:p w14:paraId="5157693C" w14:textId="77777777" w:rsidR="00A814C8" w:rsidRPr="008C2CEB" w:rsidRDefault="00A814C8" w:rsidP="00C774C4">
            <w:pPr>
              <w:widowControl/>
              <w:spacing w:before="100" w:beforeAutospacing="1" w:after="100" w:afterAutospacing="1"/>
              <w:jc w:val="center"/>
              <w:rPr>
                <w:b/>
                <w:bCs/>
                <w:szCs w:val="21"/>
              </w:rPr>
            </w:pPr>
            <w:r w:rsidRPr="008C2CEB">
              <w:rPr>
                <w:b/>
                <w:bCs/>
                <w:szCs w:val="21"/>
              </w:rPr>
              <w:t>序号</w:t>
            </w:r>
          </w:p>
        </w:tc>
        <w:tc>
          <w:tcPr>
            <w:tcW w:w="1654" w:type="pct"/>
            <w:vAlign w:val="center"/>
            <w:hideMark/>
          </w:tcPr>
          <w:p w14:paraId="216CF778" w14:textId="77777777" w:rsidR="00A814C8" w:rsidRPr="008C2CEB" w:rsidRDefault="00A814C8" w:rsidP="00C774C4">
            <w:pPr>
              <w:widowControl/>
              <w:spacing w:before="100" w:beforeAutospacing="1" w:after="100" w:afterAutospacing="1"/>
              <w:jc w:val="center"/>
              <w:rPr>
                <w:b/>
                <w:bCs/>
                <w:szCs w:val="21"/>
              </w:rPr>
            </w:pPr>
            <w:r w:rsidRPr="008C2CEB">
              <w:rPr>
                <w:b/>
                <w:bCs/>
                <w:szCs w:val="21"/>
              </w:rPr>
              <w:t>项目名称</w:t>
            </w:r>
          </w:p>
        </w:tc>
        <w:tc>
          <w:tcPr>
            <w:tcW w:w="1016" w:type="pct"/>
            <w:vAlign w:val="center"/>
            <w:hideMark/>
          </w:tcPr>
          <w:p w14:paraId="6C5E73CF" w14:textId="77777777" w:rsidR="00A814C8" w:rsidRPr="008C2CEB" w:rsidRDefault="00A814C8" w:rsidP="00C774C4">
            <w:pPr>
              <w:widowControl/>
              <w:spacing w:before="100" w:beforeAutospacing="1" w:after="100" w:afterAutospacing="1"/>
              <w:jc w:val="center"/>
              <w:rPr>
                <w:b/>
                <w:bCs/>
                <w:szCs w:val="21"/>
              </w:rPr>
            </w:pPr>
            <w:r w:rsidRPr="008C2CEB">
              <w:rPr>
                <w:b/>
                <w:bCs/>
                <w:szCs w:val="21"/>
              </w:rPr>
              <w:t>募集资金拟投入金额</w:t>
            </w:r>
          </w:p>
        </w:tc>
        <w:tc>
          <w:tcPr>
            <w:tcW w:w="924" w:type="pct"/>
            <w:vAlign w:val="center"/>
            <w:hideMark/>
          </w:tcPr>
          <w:p w14:paraId="7E8DB565" w14:textId="77777777" w:rsidR="00A814C8" w:rsidRPr="008C2CEB" w:rsidRDefault="00A814C8" w:rsidP="00C774C4">
            <w:pPr>
              <w:widowControl/>
              <w:spacing w:before="100" w:beforeAutospacing="1" w:after="100" w:afterAutospacing="1"/>
              <w:jc w:val="center"/>
              <w:rPr>
                <w:b/>
                <w:bCs/>
                <w:szCs w:val="21"/>
              </w:rPr>
            </w:pPr>
            <w:r w:rsidRPr="008C2CEB">
              <w:rPr>
                <w:b/>
                <w:bCs/>
                <w:szCs w:val="21"/>
              </w:rPr>
              <w:t>自筹资金预先投入金额</w:t>
            </w:r>
          </w:p>
        </w:tc>
        <w:tc>
          <w:tcPr>
            <w:tcW w:w="1016" w:type="pct"/>
            <w:vAlign w:val="center"/>
            <w:hideMark/>
          </w:tcPr>
          <w:p w14:paraId="1D74E4CC" w14:textId="77777777" w:rsidR="00A814C8" w:rsidRPr="008C2CEB" w:rsidRDefault="00A814C8" w:rsidP="00C774C4">
            <w:pPr>
              <w:widowControl/>
              <w:spacing w:before="100" w:beforeAutospacing="1" w:after="100" w:afterAutospacing="1"/>
              <w:jc w:val="center"/>
              <w:rPr>
                <w:b/>
                <w:bCs/>
                <w:szCs w:val="21"/>
              </w:rPr>
            </w:pPr>
            <w:r w:rsidRPr="008C2CEB">
              <w:rPr>
                <w:b/>
                <w:bCs/>
                <w:szCs w:val="21"/>
              </w:rPr>
              <w:t>本次募集资金拟置换金额</w:t>
            </w:r>
          </w:p>
        </w:tc>
      </w:tr>
      <w:tr w:rsidR="00A814C8" w:rsidRPr="00ED32CF" w14:paraId="7977B5B2" w14:textId="77777777" w:rsidTr="00C774C4">
        <w:trPr>
          <w:trHeight w:val="397"/>
        </w:trPr>
        <w:tc>
          <w:tcPr>
            <w:tcW w:w="390" w:type="pct"/>
            <w:vAlign w:val="center"/>
            <w:hideMark/>
          </w:tcPr>
          <w:p w14:paraId="6F06633B" w14:textId="77777777" w:rsidR="00A814C8" w:rsidRPr="00ED32CF" w:rsidRDefault="00A814C8" w:rsidP="00C774C4">
            <w:pPr>
              <w:widowControl/>
              <w:spacing w:before="100" w:beforeAutospacing="1" w:after="100" w:afterAutospacing="1"/>
              <w:jc w:val="center"/>
              <w:rPr>
                <w:szCs w:val="21"/>
              </w:rPr>
            </w:pPr>
            <w:r w:rsidRPr="00ED32CF">
              <w:rPr>
                <w:szCs w:val="21"/>
              </w:rPr>
              <w:t>1</w:t>
            </w:r>
          </w:p>
        </w:tc>
        <w:tc>
          <w:tcPr>
            <w:tcW w:w="1654" w:type="pct"/>
            <w:vAlign w:val="center"/>
            <w:hideMark/>
          </w:tcPr>
          <w:p w14:paraId="6319C365" w14:textId="77777777" w:rsidR="00A814C8" w:rsidRPr="00ED32CF" w:rsidRDefault="00A814C8" w:rsidP="00C774C4">
            <w:pPr>
              <w:widowControl/>
              <w:spacing w:before="100" w:beforeAutospacing="1" w:after="100" w:afterAutospacing="1"/>
              <w:jc w:val="center"/>
              <w:rPr>
                <w:szCs w:val="21"/>
              </w:rPr>
            </w:pPr>
            <w:r w:rsidRPr="00ED32CF">
              <w:rPr>
                <w:szCs w:val="21"/>
              </w:rPr>
              <w:t>界首市美丽乡村建设整市推进 PPP 项目</w:t>
            </w:r>
          </w:p>
        </w:tc>
        <w:tc>
          <w:tcPr>
            <w:tcW w:w="1016" w:type="pct"/>
            <w:vAlign w:val="center"/>
            <w:hideMark/>
          </w:tcPr>
          <w:p w14:paraId="6E69E85C" w14:textId="77777777" w:rsidR="00A814C8" w:rsidRPr="00ED32CF" w:rsidRDefault="00A814C8" w:rsidP="00C774C4">
            <w:pPr>
              <w:widowControl/>
              <w:spacing w:before="100" w:beforeAutospacing="1" w:after="100" w:afterAutospacing="1"/>
              <w:jc w:val="right"/>
              <w:rPr>
                <w:szCs w:val="21"/>
              </w:rPr>
            </w:pPr>
            <w:r w:rsidRPr="00ED32CF">
              <w:rPr>
                <w:szCs w:val="21"/>
              </w:rPr>
              <w:t>100,000.00</w:t>
            </w:r>
          </w:p>
        </w:tc>
        <w:tc>
          <w:tcPr>
            <w:tcW w:w="924" w:type="pct"/>
            <w:vAlign w:val="center"/>
            <w:hideMark/>
          </w:tcPr>
          <w:p w14:paraId="7003F61F" w14:textId="77777777" w:rsidR="00A814C8" w:rsidRPr="00ED32CF" w:rsidRDefault="008307FA" w:rsidP="00C774C4">
            <w:pPr>
              <w:widowControl/>
              <w:spacing w:before="100" w:beforeAutospacing="1" w:after="100" w:afterAutospacing="1"/>
              <w:jc w:val="right"/>
              <w:rPr>
                <w:szCs w:val="21"/>
              </w:rPr>
            </w:pPr>
            <w:r w:rsidRPr="00ED32CF">
              <w:rPr>
                <w:szCs w:val="21"/>
              </w:rPr>
              <w:t>23,254.53</w:t>
            </w:r>
          </w:p>
        </w:tc>
        <w:tc>
          <w:tcPr>
            <w:tcW w:w="1016" w:type="pct"/>
            <w:vAlign w:val="center"/>
            <w:hideMark/>
          </w:tcPr>
          <w:p w14:paraId="63060842" w14:textId="77777777" w:rsidR="00A814C8" w:rsidRPr="00ED32CF" w:rsidRDefault="008307FA" w:rsidP="00C774C4">
            <w:pPr>
              <w:widowControl/>
              <w:spacing w:before="100" w:beforeAutospacing="1" w:after="100" w:afterAutospacing="1"/>
              <w:jc w:val="right"/>
              <w:rPr>
                <w:szCs w:val="21"/>
              </w:rPr>
            </w:pPr>
            <w:r w:rsidRPr="00ED32CF">
              <w:rPr>
                <w:szCs w:val="21"/>
              </w:rPr>
              <w:t>23,254.53</w:t>
            </w:r>
          </w:p>
        </w:tc>
      </w:tr>
      <w:tr w:rsidR="00A814C8" w:rsidRPr="00ED32CF" w14:paraId="0A7BC74C" w14:textId="77777777" w:rsidTr="00C774C4">
        <w:trPr>
          <w:trHeight w:val="397"/>
        </w:trPr>
        <w:tc>
          <w:tcPr>
            <w:tcW w:w="390" w:type="pct"/>
            <w:vAlign w:val="center"/>
            <w:hideMark/>
          </w:tcPr>
          <w:p w14:paraId="0082792F" w14:textId="77777777" w:rsidR="00A814C8" w:rsidRPr="00ED32CF" w:rsidRDefault="00A814C8" w:rsidP="00C774C4">
            <w:pPr>
              <w:widowControl/>
              <w:spacing w:before="100" w:beforeAutospacing="1" w:after="100" w:afterAutospacing="1"/>
              <w:jc w:val="center"/>
              <w:rPr>
                <w:szCs w:val="21"/>
              </w:rPr>
            </w:pPr>
            <w:r w:rsidRPr="00ED32CF">
              <w:rPr>
                <w:szCs w:val="21"/>
              </w:rPr>
              <w:t>3</w:t>
            </w:r>
          </w:p>
        </w:tc>
        <w:tc>
          <w:tcPr>
            <w:tcW w:w="1654" w:type="pct"/>
            <w:vAlign w:val="center"/>
            <w:hideMark/>
          </w:tcPr>
          <w:p w14:paraId="286FBBF2" w14:textId="77777777" w:rsidR="00A814C8" w:rsidRPr="00ED32CF" w:rsidRDefault="00A814C8" w:rsidP="00C774C4">
            <w:pPr>
              <w:widowControl/>
              <w:spacing w:before="100" w:beforeAutospacing="1" w:after="100" w:afterAutospacing="1"/>
              <w:jc w:val="center"/>
              <w:rPr>
                <w:szCs w:val="21"/>
              </w:rPr>
            </w:pPr>
            <w:r w:rsidRPr="00ED32CF">
              <w:rPr>
                <w:szCs w:val="21"/>
              </w:rPr>
              <w:t>偿还银行贷款</w:t>
            </w:r>
          </w:p>
        </w:tc>
        <w:tc>
          <w:tcPr>
            <w:tcW w:w="1016" w:type="pct"/>
            <w:vAlign w:val="center"/>
            <w:hideMark/>
          </w:tcPr>
          <w:p w14:paraId="6189EB69" w14:textId="77777777" w:rsidR="00A814C8" w:rsidRPr="00ED32CF" w:rsidRDefault="00A814C8" w:rsidP="00C774C4">
            <w:pPr>
              <w:widowControl/>
              <w:spacing w:before="100" w:beforeAutospacing="1" w:after="100" w:afterAutospacing="1"/>
              <w:jc w:val="right"/>
              <w:rPr>
                <w:szCs w:val="21"/>
              </w:rPr>
            </w:pPr>
            <w:r w:rsidRPr="00ED32CF">
              <w:rPr>
                <w:szCs w:val="21"/>
              </w:rPr>
              <w:t>20,000.00</w:t>
            </w:r>
          </w:p>
        </w:tc>
        <w:tc>
          <w:tcPr>
            <w:tcW w:w="924" w:type="pct"/>
            <w:vAlign w:val="center"/>
          </w:tcPr>
          <w:p w14:paraId="0318FED7" w14:textId="77777777" w:rsidR="00A814C8" w:rsidRPr="00ED32CF" w:rsidRDefault="00A814C8" w:rsidP="00C774C4">
            <w:pPr>
              <w:widowControl/>
              <w:spacing w:before="100" w:beforeAutospacing="1" w:after="100" w:afterAutospacing="1"/>
              <w:jc w:val="right"/>
              <w:rPr>
                <w:szCs w:val="21"/>
              </w:rPr>
            </w:pPr>
          </w:p>
        </w:tc>
        <w:tc>
          <w:tcPr>
            <w:tcW w:w="1016" w:type="pct"/>
            <w:vAlign w:val="center"/>
          </w:tcPr>
          <w:p w14:paraId="70F5383F" w14:textId="77777777" w:rsidR="00A814C8" w:rsidRPr="00ED32CF" w:rsidRDefault="00A814C8" w:rsidP="00C774C4">
            <w:pPr>
              <w:widowControl/>
              <w:spacing w:before="100" w:beforeAutospacing="1" w:after="100" w:afterAutospacing="1"/>
              <w:jc w:val="right"/>
              <w:rPr>
                <w:szCs w:val="21"/>
              </w:rPr>
            </w:pPr>
          </w:p>
        </w:tc>
      </w:tr>
      <w:tr w:rsidR="00A814C8" w:rsidRPr="00ED32CF" w14:paraId="279003D4" w14:textId="77777777" w:rsidTr="00C774C4">
        <w:trPr>
          <w:trHeight w:val="397"/>
        </w:trPr>
        <w:tc>
          <w:tcPr>
            <w:tcW w:w="2044" w:type="pct"/>
            <w:gridSpan w:val="2"/>
            <w:vAlign w:val="center"/>
            <w:hideMark/>
          </w:tcPr>
          <w:p w14:paraId="49996322" w14:textId="77777777" w:rsidR="00A814C8" w:rsidRPr="00ED32CF" w:rsidRDefault="00A814C8" w:rsidP="00C774C4">
            <w:pPr>
              <w:widowControl/>
              <w:spacing w:before="100" w:beforeAutospacing="1" w:after="100" w:afterAutospacing="1"/>
              <w:jc w:val="center"/>
              <w:rPr>
                <w:b/>
                <w:szCs w:val="21"/>
              </w:rPr>
            </w:pPr>
            <w:r w:rsidRPr="00ED32CF">
              <w:rPr>
                <w:b/>
                <w:szCs w:val="21"/>
              </w:rPr>
              <w:t>合计</w:t>
            </w:r>
          </w:p>
        </w:tc>
        <w:tc>
          <w:tcPr>
            <w:tcW w:w="1016" w:type="pct"/>
            <w:vAlign w:val="center"/>
            <w:hideMark/>
          </w:tcPr>
          <w:p w14:paraId="1C7CF5DB" w14:textId="77777777" w:rsidR="00A814C8" w:rsidRPr="00ED32CF" w:rsidRDefault="00A814C8" w:rsidP="00C774C4">
            <w:pPr>
              <w:widowControl/>
              <w:spacing w:before="100" w:beforeAutospacing="1" w:after="100" w:afterAutospacing="1"/>
              <w:jc w:val="right"/>
              <w:rPr>
                <w:b/>
                <w:szCs w:val="21"/>
              </w:rPr>
            </w:pPr>
            <w:r w:rsidRPr="00ED32CF">
              <w:rPr>
                <w:b/>
                <w:szCs w:val="21"/>
              </w:rPr>
              <w:t>120,000.00</w:t>
            </w:r>
          </w:p>
        </w:tc>
        <w:tc>
          <w:tcPr>
            <w:tcW w:w="924" w:type="pct"/>
            <w:vAlign w:val="center"/>
            <w:hideMark/>
          </w:tcPr>
          <w:p w14:paraId="00F0989F" w14:textId="77777777" w:rsidR="00A814C8" w:rsidRPr="00ED32CF" w:rsidRDefault="008307FA" w:rsidP="00C774C4">
            <w:pPr>
              <w:widowControl/>
              <w:spacing w:before="100" w:beforeAutospacing="1" w:after="100" w:afterAutospacing="1"/>
              <w:jc w:val="right"/>
              <w:rPr>
                <w:b/>
                <w:szCs w:val="21"/>
              </w:rPr>
            </w:pPr>
            <w:r w:rsidRPr="00ED32CF">
              <w:rPr>
                <w:b/>
                <w:szCs w:val="21"/>
              </w:rPr>
              <w:t>23,254.53</w:t>
            </w:r>
          </w:p>
        </w:tc>
        <w:tc>
          <w:tcPr>
            <w:tcW w:w="1016" w:type="pct"/>
            <w:vAlign w:val="center"/>
            <w:hideMark/>
          </w:tcPr>
          <w:p w14:paraId="291BB8DF" w14:textId="77777777" w:rsidR="00A814C8" w:rsidRPr="00ED32CF" w:rsidRDefault="008307FA" w:rsidP="00C774C4">
            <w:pPr>
              <w:widowControl/>
              <w:spacing w:before="100" w:beforeAutospacing="1" w:after="100" w:afterAutospacing="1"/>
              <w:jc w:val="right"/>
              <w:rPr>
                <w:b/>
                <w:szCs w:val="21"/>
              </w:rPr>
            </w:pPr>
            <w:r w:rsidRPr="00ED32CF">
              <w:rPr>
                <w:b/>
                <w:szCs w:val="21"/>
              </w:rPr>
              <w:t>23,254.53</w:t>
            </w:r>
          </w:p>
        </w:tc>
      </w:tr>
    </w:tbl>
    <w:p w14:paraId="35C93AB5" w14:textId="77777777" w:rsidR="003A4ACF" w:rsidRPr="00ED32CF" w:rsidRDefault="003A4ACF" w:rsidP="00B57E5C">
      <w:pPr>
        <w:adjustRightInd w:val="0"/>
        <w:snapToGrid w:val="0"/>
        <w:spacing w:beforeLines="100" w:before="240" w:afterLines="50" w:after="120" w:line="360" w:lineRule="auto"/>
        <w:ind w:firstLineChars="200" w:firstLine="482"/>
        <w:rPr>
          <w:rFonts w:asciiTheme="minorEastAsia" w:eastAsiaTheme="minorEastAsia" w:hAnsiTheme="minorEastAsia"/>
          <w:b/>
          <w:bCs/>
          <w:sz w:val="24"/>
          <w:szCs w:val="24"/>
        </w:rPr>
      </w:pPr>
      <w:r w:rsidRPr="00ED32CF">
        <w:rPr>
          <w:rFonts w:asciiTheme="minorEastAsia" w:eastAsiaTheme="minorEastAsia" w:hAnsiTheme="minorEastAsia" w:hint="eastAsia"/>
          <w:b/>
          <w:bCs/>
          <w:sz w:val="24"/>
          <w:szCs w:val="24"/>
        </w:rPr>
        <w:t>四、本次以募集资金置换预先投入募集资金的审议程序以及是否符合监管要求</w:t>
      </w:r>
    </w:p>
    <w:p w14:paraId="03DDF664" w14:textId="77777777" w:rsidR="00166171" w:rsidRPr="00ED32CF" w:rsidRDefault="003A4ACF" w:rsidP="003F118F">
      <w:pPr>
        <w:widowControl/>
        <w:adjustRightInd w:val="0"/>
        <w:snapToGrid w:val="0"/>
        <w:spacing w:beforeLines="50" w:before="120" w:line="360" w:lineRule="auto"/>
        <w:ind w:firstLineChars="200" w:firstLine="480"/>
        <w:jc w:val="both"/>
        <w:rPr>
          <w:rFonts w:asciiTheme="minorEastAsia" w:eastAsiaTheme="minorEastAsia" w:hAnsiTheme="minorEastAsia"/>
          <w:sz w:val="24"/>
        </w:rPr>
      </w:pPr>
      <w:r w:rsidRPr="00ED32CF">
        <w:rPr>
          <w:rFonts w:asciiTheme="minorEastAsia" w:eastAsiaTheme="minorEastAsia" w:hAnsiTheme="minorEastAsia" w:hint="eastAsia"/>
          <w:sz w:val="24"/>
        </w:rPr>
        <w:t>公司于2021年7月7日召开第二届董事会第十六次会议和第二届监事会第十二次会议，分别</w:t>
      </w:r>
      <w:r w:rsidR="00B15BAD" w:rsidRPr="00ED32CF">
        <w:rPr>
          <w:rFonts w:asciiTheme="minorEastAsia" w:eastAsiaTheme="minorEastAsia" w:hAnsiTheme="minorEastAsia" w:hint="eastAsia"/>
          <w:sz w:val="24"/>
        </w:rPr>
        <w:t>审议</w:t>
      </w:r>
      <w:r w:rsidRPr="00ED32CF">
        <w:rPr>
          <w:rFonts w:asciiTheme="minorEastAsia" w:eastAsiaTheme="minorEastAsia" w:hAnsiTheme="minorEastAsia" w:hint="eastAsia"/>
          <w:sz w:val="24"/>
        </w:rPr>
        <w:t>通过了《关于使用募集资金置换预先投入募投项目自筹资金的议案》，</w:t>
      </w:r>
      <w:r w:rsidR="00B15BAD" w:rsidRPr="00ED32CF">
        <w:rPr>
          <w:rFonts w:asciiTheme="minorEastAsia" w:eastAsiaTheme="minorEastAsia" w:hAnsiTheme="minorEastAsia" w:hint="eastAsia"/>
          <w:bCs/>
          <w:sz w:val="24"/>
          <w:szCs w:val="24"/>
        </w:rPr>
        <w:t>一致同意</w:t>
      </w:r>
      <w:r w:rsidR="00B15BAD" w:rsidRPr="00ED32CF">
        <w:rPr>
          <w:rFonts w:asciiTheme="minorEastAsia" w:eastAsiaTheme="minorEastAsia" w:hAnsiTheme="minorEastAsia"/>
          <w:bCs/>
          <w:sz w:val="24"/>
          <w:szCs w:val="24"/>
        </w:rPr>
        <w:t>公司使用募集资金</w:t>
      </w:r>
      <w:r w:rsidR="008307FA" w:rsidRPr="00ED32CF">
        <w:rPr>
          <w:rFonts w:asciiTheme="minorEastAsia" w:eastAsiaTheme="minorEastAsia" w:hAnsiTheme="minorEastAsia"/>
          <w:sz w:val="24"/>
          <w:szCs w:val="24"/>
        </w:rPr>
        <w:t>23,254.53</w:t>
      </w:r>
      <w:r w:rsidR="00B15BAD" w:rsidRPr="00ED32CF">
        <w:rPr>
          <w:rFonts w:asciiTheme="minorEastAsia" w:eastAsiaTheme="minorEastAsia" w:hAnsiTheme="minorEastAsia" w:hint="eastAsia"/>
          <w:sz w:val="24"/>
          <w:szCs w:val="24"/>
        </w:rPr>
        <w:t>万元</w:t>
      </w:r>
      <w:r w:rsidR="00B15BAD" w:rsidRPr="00ED32CF">
        <w:rPr>
          <w:rFonts w:asciiTheme="minorEastAsia" w:eastAsiaTheme="minorEastAsia" w:hAnsiTheme="minorEastAsia"/>
          <w:bCs/>
          <w:sz w:val="24"/>
          <w:szCs w:val="24"/>
        </w:rPr>
        <w:t>置换预先投入募投项目的自筹资金</w:t>
      </w:r>
      <w:r w:rsidR="00B15BAD" w:rsidRPr="00ED32CF">
        <w:rPr>
          <w:rFonts w:asciiTheme="minorEastAsia" w:eastAsiaTheme="minorEastAsia" w:hAnsiTheme="minorEastAsia" w:hint="eastAsia"/>
          <w:bCs/>
          <w:sz w:val="24"/>
          <w:szCs w:val="24"/>
        </w:rPr>
        <w:t>。</w:t>
      </w:r>
      <w:r w:rsidR="00B15BAD" w:rsidRPr="00ED32CF">
        <w:rPr>
          <w:rFonts w:asciiTheme="minorEastAsia" w:eastAsiaTheme="minorEastAsia" w:hAnsiTheme="minorEastAsia" w:hint="eastAsia"/>
          <w:sz w:val="24"/>
        </w:rPr>
        <w:lastRenderedPageBreak/>
        <w:t>容诚会计师事务所（特殊普通合伙）出具了专项鉴证报告</w:t>
      </w:r>
      <w:r w:rsidRPr="00ED32CF">
        <w:rPr>
          <w:rFonts w:asciiTheme="minorEastAsia" w:eastAsiaTheme="minorEastAsia" w:hAnsiTheme="minorEastAsia" w:hint="eastAsia"/>
          <w:sz w:val="24"/>
        </w:rPr>
        <w:t>，</w:t>
      </w:r>
      <w:r w:rsidR="00B15BAD" w:rsidRPr="00ED32CF">
        <w:rPr>
          <w:rFonts w:asciiTheme="minorEastAsia" w:eastAsiaTheme="minorEastAsia" w:hAnsiTheme="minorEastAsia" w:hint="eastAsia"/>
          <w:sz w:val="24"/>
        </w:rPr>
        <w:t>保荐机构发布专项核查意见，</w:t>
      </w:r>
      <w:r w:rsidRPr="00ED32CF">
        <w:rPr>
          <w:rFonts w:asciiTheme="minorEastAsia" w:eastAsiaTheme="minorEastAsia" w:hAnsiTheme="minorEastAsia" w:hint="eastAsia"/>
          <w:sz w:val="24"/>
        </w:rPr>
        <w:t>独立董事、监事会分别发表了</w:t>
      </w:r>
      <w:r w:rsidR="003F118F" w:rsidRPr="00ED32CF">
        <w:rPr>
          <w:rFonts w:asciiTheme="minorEastAsia" w:eastAsiaTheme="minorEastAsia" w:hAnsiTheme="minorEastAsia" w:hint="eastAsia"/>
          <w:sz w:val="24"/>
        </w:rPr>
        <w:t>同意</w:t>
      </w:r>
      <w:r w:rsidRPr="00ED32CF">
        <w:rPr>
          <w:rFonts w:asciiTheme="minorEastAsia" w:eastAsiaTheme="minorEastAsia" w:hAnsiTheme="minorEastAsia" w:hint="eastAsia"/>
          <w:sz w:val="24"/>
        </w:rPr>
        <w:t>意见。</w:t>
      </w:r>
    </w:p>
    <w:p w14:paraId="75421C7D" w14:textId="77777777" w:rsidR="0024758C" w:rsidRPr="00ED32CF" w:rsidRDefault="003A4ACF" w:rsidP="003F118F">
      <w:pPr>
        <w:widowControl/>
        <w:adjustRightInd w:val="0"/>
        <w:snapToGrid w:val="0"/>
        <w:spacing w:beforeLines="50" w:before="120" w:line="360" w:lineRule="auto"/>
        <w:ind w:firstLineChars="200" w:firstLine="480"/>
        <w:jc w:val="both"/>
        <w:rPr>
          <w:rFonts w:asciiTheme="minorEastAsia" w:eastAsiaTheme="minorEastAsia" w:hAnsiTheme="minorEastAsia"/>
          <w:sz w:val="24"/>
          <w:szCs w:val="24"/>
        </w:rPr>
      </w:pPr>
      <w:r w:rsidRPr="00ED32CF">
        <w:rPr>
          <w:rFonts w:asciiTheme="minorEastAsia" w:eastAsiaTheme="minorEastAsia" w:hAnsiTheme="minorEastAsia" w:hint="eastAsia"/>
          <w:sz w:val="24"/>
        </w:rPr>
        <w:t>公司本次以募集资金置换预先投入募投项目的自筹资金，</w:t>
      </w:r>
      <w:r w:rsidR="00166171" w:rsidRPr="00ED32CF">
        <w:rPr>
          <w:rFonts w:asciiTheme="minorEastAsia" w:eastAsiaTheme="minorEastAsia" w:hAnsiTheme="minorEastAsia" w:hint="eastAsia"/>
          <w:sz w:val="24"/>
          <w:szCs w:val="24"/>
        </w:rPr>
        <w:t>与募集资金投资项目的实施计划一致，不影响募投项目的正常进行，</w:t>
      </w:r>
      <w:r w:rsidR="00A814C8" w:rsidRPr="00ED32CF">
        <w:rPr>
          <w:rFonts w:asciiTheme="minorEastAsia" w:eastAsiaTheme="minorEastAsia" w:hAnsiTheme="minorEastAsia" w:hint="eastAsia"/>
          <w:sz w:val="24"/>
          <w:szCs w:val="24"/>
        </w:rPr>
        <w:t>置换时间距募集资金到账时间不超过6个月，符合《上市公司监管指引第2号——上市公司募集资金管理和使用的监管要求》《上海证券交易所上市公司募集资金管理办法》等有关规定。</w:t>
      </w:r>
    </w:p>
    <w:p w14:paraId="044BD02A" w14:textId="77777777" w:rsidR="00D65871" w:rsidRPr="00ED32CF" w:rsidRDefault="00D65871" w:rsidP="00D65871">
      <w:pPr>
        <w:adjustRightInd w:val="0"/>
        <w:snapToGrid w:val="0"/>
        <w:spacing w:beforeLines="50" w:before="120" w:afterLines="50" w:after="120" w:line="360" w:lineRule="auto"/>
        <w:ind w:firstLineChars="200" w:firstLine="482"/>
        <w:rPr>
          <w:rFonts w:asciiTheme="minorEastAsia" w:eastAsiaTheme="minorEastAsia" w:hAnsiTheme="minorEastAsia"/>
          <w:b/>
          <w:bCs/>
          <w:sz w:val="24"/>
          <w:szCs w:val="24"/>
        </w:rPr>
      </w:pPr>
      <w:r w:rsidRPr="00ED32CF">
        <w:rPr>
          <w:rFonts w:asciiTheme="minorEastAsia" w:eastAsiaTheme="minorEastAsia" w:hAnsiTheme="minorEastAsia" w:hint="eastAsia"/>
          <w:b/>
          <w:bCs/>
          <w:sz w:val="24"/>
          <w:szCs w:val="24"/>
        </w:rPr>
        <w:t>五、</w:t>
      </w:r>
      <w:r w:rsidRPr="00ED32CF">
        <w:rPr>
          <w:rFonts w:asciiTheme="minorEastAsia" w:eastAsiaTheme="minorEastAsia" w:hAnsiTheme="minorEastAsia"/>
          <w:b/>
          <w:bCs/>
          <w:sz w:val="24"/>
          <w:szCs w:val="24"/>
        </w:rPr>
        <w:t xml:space="preserve"> </w:t>
      </w:r>
      <w:r w:rsidRPr="00ED32CF">
        <w:rPr>
          <w:rFonts w:asciiTheme="minorEastAsia" w:eastAsiaTheme="minorEastAsia" w:hAnsiTheme="minorEastAsia" w:hint="eastAsia"/>
          <w:b/>
          <w:bCs/>
          <w:sz w:val="24"/>
          <w:szCs w:val="24"/>
        </w:rPr>
        <w:t>专项意见说明</w:t>
      </w:r>
    </w:p>
    <w:p w14:paraId="6B7D8C55" w14:textId="77777777" w:rsidR="00D65871" w:rsidRPr="00ED32CF" w:rsidRDefault="00D65871" w:rsidP="00D65871">
      <w:pPr>
        <w:adjustRightInd w:val="0"/>
        <w:spacing w:line="360" w:lineRule="auto"/>
        <w:ind w:firstLineChars="200" w:firstLine="480"/>
        <w:rPr>
          <w:rFonts w:hAnsi="Calibri"/>
          <w:sz w:val="24"/>
        </w:rPr>
      </w:pPr>
      <w:r w:rsidRPr="00ED32CF">
        <w:rPr>
          <w:rFonts w:hAnsi="Calibri" w:hint="eastAsia"/>
          <w:sz w:val="24"/>
        </w:rPr>
        <w:t>（一）独立董事发表的独立意见</w:t>
      </w:r>
    </w:p>
    <w:p w14:paraId="4A7D981B" w14:textId="77777777" w:rsidR="0024758C" w:rsidRPr="00ED32CF" w:rsidRDefault="00D65871" w:rsidP="003F118F">
      <w:pPr>
        <w:spacing w:line="360" w:lineRule="auto"/>
        <w:ind w:right="238" w:firstLine="476"/>
        <w:jc w:val="both"/>
        <w:rPr>
          <w:rFonts w:asciiTheme="minorEastAsia" w:eastAsiaTheme="minorEastAsia" w:hAnsiTheme="minorEastAsia"/>
          <w:sz w:val="24"/>
          <w:szCs w:val="24"/>
        </w:rPr>
      </w:pPr>
      <w:r w:rsidRPr="00ED32CF">
        <w:rPr>
          <w:rFonts w:hint="eastAsia"/>
          <w:sz w:val="24"/>
          <w:szCs w:val="24"/>
        </w:rPr>
        <w:t>经核查，</w:t>
      </w:r>
      <w:r w:rsidRPr="00ED32CF">
        <w:rPr>
          <w:rFonts w:hAnsi="Calibri" w:hint="eastAsia"/>
          <w:sz w:val="24"/>
        </w:rPr>
        <w:t>独立董事</w:t>
      </w:r>
      <w:r w:rsidRPr="00ED32CF">
        <w:rPr>
          <w:rFonts w:hint="eastAsia"/>
          <w:sz w:val="24"/>
          <w:szCs w:val="24"/>
        </w:rPr>
        <w:t>认为公司本次使用募集资金置换预先已投入募投项目自筹资金，履行了必要的审批程序，公司募集资金置换的时间距募集资金到账时间未超过六个月，不存在与募集资金投资项目实施计划相抵触的情况，不影响募集资金投资项目的正常运行，也不存在变相改变募集资金投向和损害股东利益的情况。因此，我们同意公司使用募集资金置换预先投入募投项目同等金额的自筹资金。</w:t>
      </w:r>
    </w:p>
    <w:p w14:paraId="4F412E22" w14:textId="77777777" w:rsidR="00D65871" w:rsidRPr="00ED32CF" w:rsidRDefault="00D65871" w:rsidP="00D65871">
      <w:pPr>
        <w:adjustRightInd w:val="0"/>
        <w:spacing w:line="360" w:lineRule="auto"/>
        <w:ind w:firstLineChars="200" w:firstLine="480"/>
        <w:rPr>
          <w:rFonts w:hAnsi="Calibri"/>
          <w:sz w:val="24"/>
        </w:rPr>
      </w:pPr>
      <w:r w:rsidRPr="00ED32CF">
        <w:rPr>
          <w:rFonts w:hAnsi="Calibri" w:hint="eastAsia"/>
          <w:sz w:val="24"/>
        </w:rPr>
        <w:t>(二)监事会审议情况</w:t>
      </w:r>
    </w:p>
    <w:p w14:paraId="12939E87" w14:textId="77777777" w:rsidR="0024758C" w:rsidRPr="00ED32CF" w:rsidRDefault="00D65871" w:rsidP="003F118F">
      <w:pPr>
        <w:spacing w:line="360" w:lineRule="auto"/>
        <w:ind w:right="238" w:firstLine="476"/>
        <w:jc w:val="both"/>
        <w:rPr>
          <w:rFonts w:asciiTheme="minorEastAsia" w:eastAsiaTheme="minorEastAsia" w:hAnsiTheme="minorEastAsia"/>
          <w:sz w:val="24"/>
          <w:szCs w:val="24"/>
        </w:rPr>
      </w:pPr>
      <w:r w:rsidRPr="00ED32CF">
        <w:rPr>
          <w:rFonts w:asciiTheme="minorEastAsia" w:eastAsiaTheme="minorEastAsia" w:hAnsiTheme="minorEastAsia" w:hint="eastAsia"/>
          <w:bCs/>
          <w:color w:val="000000"/>
          <w:sz w:val="24"/>
          <w:szCs w:val="24"/>
        </w:rPr>
        <w:t>监事会认为公司本次使用募集资金置换预先投入的自筹资金，不存在改变募集资金用途的情况，也不存在变相改变募集资金投向、损害股东利益的情形。本次置换事项不影响募集资金投资项目的正常实施，符合募集资金到账后6个月内进行置换的相关规定，符合《上市公司监管指引第 2 号—上市公司募集资金管理和使用的监管要求》、《上海证券交易所上市公司募集资金管理办法》的相关要求。因此，一致同意公司使用募集资金</w:t>
      </w:r>
      <w:r w:rsidR="008307FA" w:rsidRPr="00ED32CF">
        <w:rPr>
          <w:rFonts w:asciiTheme="minorEastAsia" w:eastAsiaTheme="minorEastAsia" w:hAnsiTheme="minorEastAsia"/>
          <w:sz w:val="24"/>
          <w:szCs w:val="24"/>
        </w:rPr>
        <w:t>23,254.53</w:t>
      </w:r>
      <w:r w:rsidRPr="00ED32CF">
        <w:rPr>
          <w:rFonts w:asciiTheme="minorEastAsia" w:eastAsiaTheme="minorEastAsia" w:hAnsiTheme="minorEastAsia" w:hint="eastAsia"/>
          <w:sz w:val="24"/>
          <w:szCs w:val="24"/>
        </w:rPr>
        <w:t>万元</w:t>
      </w:r>
      <w:r w:rsidRPr="00ED32CF">
        <w:rPr>
          <w:rFonts w:asciiTheme="minorEastAsia" w:eastAsiaTheme="minorEastAsia" w:hAnsiTheme="minorEastAsia" w:hint="eastAsia"/>
          <w:bCs/>
          <w:color w:val="000000"/>
          <w:sz w:val="24"/>
          <w:szCs w:val="24"/>
        </w:rPr>
        <w:t>置换预先投入募投项目的自筹资金。</w:t>
      </w:r>
    </w:p>
    <w:p w14:paraId="44356228" w14:textId="77777777" w:rsidR="00D65871" w:rsidRPr="00ED32CF" w:rsidRDefault="00D65871" w:rsidP="00D65871">
      <w:pPr>
        <w:adjustRightInd w:val="0"/>
        <w:spacing w:line="360" w:lineRule="auto"/>
        <w:ind w:firstLineChars="200" w:firstLine="480"/>
        <w:rPr>
          <w:rFonts w:hAnsi="Calibri"/>
          <w:sz w:val="24"/>
        </w:rPr>
      </w:pPr>
      <w:r w:rsidRPr="00ED32CF">
        <w:rPr>
          <w:rFonts w:hAnsi="Calibri" w:hint="eastAsia"/>
          <w:sz w:val="24"/>
        </w:rPr>
        <w:t xml:space="preserve">（三）中介机构核查意见 </w:t>
      </w:r>
    </w:p>
    <w:p w14:paraId="4F036C73" w14:textId="5133B98D" w:rsidR="0024758C" w:rsidRPr="00ED32CF" w:rsidRDefault="00D65871" w:rsidP="003F118F">
      <w:pPr>
        <w:spacing w:line="360" w:lineRule="auto"/>
        <w:ind w:right="238" w:firstLine="476"/>
        <w:jc w:val="both"/>
        <w:rPr>
          <w:sz w:val="24"/>
        </w:rPr>
      </w:pPr>
      <w:r w:rsidRPr="00ED32CF">
        <w:rPr>
          <w:rFonts w:asciiTheme="minorEastAsia" w:eastAsiaTheme="minorEastAsia" w:hAnsiTheme="minorEastAsia" w:hint="eastAsia"/>
          <w:sz w:val="24"/>
        </w:rPr>
        <w:t>容诚会计师事务所（特殊普通合伙）</w:t>
      </w:r>
      <w:r w:rsidRPr="00ED32CF">
        <w:rPr>
          <w:rFonts w:hint="eastAsia"/>
          <w:sz w:val="24"/>
        </w:rPr>
        <w:t>已对交建股份以自筹资金预先投入上述募投项目情况进行了专项审核，并出具了</w:t>
      </w:r>
      <w:r w:rsidR="00E9454D" w:rsidRPr="00ED32CF">
        <w:rPr>
          <w:rFonts w:asciiTheme="minorEastAsia" w:eastAsiaTheme="minorEastAsia" w:hAnsiTheme="minorEastAsia" w:hint="eastAsia"/>
          <w:sz w:val="24"/>
        </w:rPr>
        <w:t>《关于安徽省交通建设股份有限公司以自筹资金预先投入</w:t>
      </w:r>
      <w:r w:rsidR="00CA5E3B">
        <w:rPr>
          <w:rFonts w:asciiTheme="minorEastAsia" w:eastAsiaTheme="minorEastAsia" w:hAnsiTheme="minorEastAsia" w:hint="eastAsia"/>
          <w:sz w:val="24"/>
        </w:rPr>
        <w:t>募集资金投资项目</w:t>
      </w:r>
      <w:r w:rsidR="00E9454D" w:rsidRPr="00ED32CF">
        <w:rPr>
          <w:rFonts w:asciiTheme="minorEastAsia" w:eastAsiaTheme="minorEastAsia" w:hAnsiTheme="minorEastAsia" w:hint="eastAsia"/>
          <w:sz w:val="24"/>
        </w:rPr>
        <w:t>的鉴证报告》（容诚专字[2021]230Z2076号），</w:t>
      </w:r>
      <w:r w:rsidR="00E9454D" w:rsidRPr="00ED32CF">
        <w:rPr>
          <w:sz w:val="24"/>
        </w:rPr>
        <w:t>认为，</w:t>
      </w:r>
      <w:r w:rsidR="00E9454D" w:rsidRPr="00ED32CF">
        <w:rPr>
          <w:rFonts w:hint="eastAsia"/>
          <w:bCs/>
          <w:sz w:val="24"/>
        </w:rPr>
        <w:t>后附的交建股份</w:t>
      </w:r>
      <w:r w:rsidR="00E9454D" w:rsidRPr="00ED32CF">
        <w:rPr>
          <w:bCs/>
          <w:sz w:val="24"/>
        </w:rPr>
        <w:t>《</w:t>
      </w:r>
      <w:r w:rsidR="00E9454D" w:rsidRPr="00ED32CF">
        <w:rPr>
          <w:sz w:val="24"/>
        </w:rPr>
        <w:t>关于以自筹资金预先投入募集资金投资项目的专项说明》在所有重大方面按照《上市公司监管指引第2号——上市公司募集资金管理和使用的监管要求》</w:t>
      </w:r>
      <w:r w:rsidR="00E9454D" w:rsidRPr="00ED32CF">
        <w:rPr>
          <w:rFonts w:hint="eastAsia"/>
          <w:sz w:val="24"/>
        </w:rPr>
        <w:t>（证监会公告[2012]44号）</w:t>
      </w:r>
      <w:r w:rsidR="00E9454D" w:rsidRPr="00ED32CF">
        <w:rPr>
          <w:sz w:val="24"/>
        </w:rPr>
        <w:t>及上海证券交易所发布的《上海证券交易所上市公司募集资金管理</w:t>
      </w:r>
      <w:r w:rsidR="00E9454D" w:rsidRPr="00ED32CF">
        <w:rPr>
          <w:rFonts w:hint="eastAsia"/>
          <w:sz w:val="24"/>
        </w:rPr>
        <w:t>办法（2013年修订）</w:t>
      </w:r>
      <w:r w:rsidR="00E9454D" w:rsidRPr="00ED32CF">
        <w:rPr>
          <w:sz w:val="24"/>
        </w:rPr>
        <w:t>》的规定</w:t>
      </w:r>
      <w:r w:rsidR="00E9454D" w:rsidRPr="00ED32CF">
        <w:rPr>
          <w:rFonts w:hint="eastAsia"/>
          <w:sz w:val="24"/>
        </w:rPr>
        <w:t>编制</w:t>
      </w:r>
      <w:r w:rsidR="00E9454D" w:rsidRPr="00ED32CF">
        <w:rPr>
          <w:sz w:val="24"/>
        </w:rPr>
        <w:t>，公允反</w:t>
      </w:r>
      <w:r w:rsidR="00E9454D" w:rsidRPr="00ED32CF">
        <w:rPr>
          <w:sz w:val="24"/>
        </w:rPr>
        <w:lastRenderedPageBreak/>
        <w:t>映了</w:t>
      </w:r>
      <w:r w:rsidR="00E9454D" w:rsidRPr="00ED32CF">
        <w:rPr>
          <w:rFonts w:hint="eastAsia"/>
          <w:bCs/>
          <w:sz w:val="24"/>
        </w:rPr>
        <w:t>交建股份</w:t>
      </w:r>
      <w:r w:rsidR="00E9454D" w:rsidRPr="00ED32CF">
        <w:rPr>
          <w:sz w:val="24"/>
        </w:rPr>
        <w:t>以自筹资金预先投入募集资金投资项目的实际情况。</w:t>
      </w:r>
    </w:p>
    <w:p w14:paraId="51646266" w14:textId="77777777" w:rsidR="0027439D" w:rsidRPr="00ED32CF" w:rsidRDefault="0027439D" w:rsidP="003F118F">
      <w:pPr>
        <w:widowControl/>
        <w:shd w:val="clear" w:color="auto" w:fill="FFFFFF"/>
        <w:spacing w:line="360" w:lineRule="auto"/>
        <w:ind w:firstLineChars="200" w:firstLine="480"/>
        <w:jc w:val="both"/>
        <w:rPr>
          <w:rFonts w:asciiTheme="minorEastAsia" w:eastAsiaTheme="minorEastAsia" w:hAnsiTheme="minorEastAsia"/>
          <w:sz w:val="24"/>
        </w:rPr>
      </w:pPr>
      <w:r w:rsidRPr="00ED32CF">
        <w:rPr>
          <w:rFonts w:asciiTheme="minorEastAsia" w:eastAsiaTheme="minorEastAsia" w:hAnsiTheme="minorEastAsia" w:hint="eastAsia"/>
          <w:sz w:val="24"/>
        </w:rPr>
        <w:t>华安证券股份有</w:t>
      </w:r>
      <w:r w:rsidRPr="00ED32CF">
        <w:rPr>
          <w:rFonts w:hint="eastAsia"/>
          <w:sz w:val="24"/>
        </w:rPr>
        <w:t>限公司出具了《关于</w:t>
      </w:r>
      <w:r w:rsidRPr="00ED32CF">
        <w:rPr>
          <w:rFonts w:asciiTheme="minorEastAsia" w:eastAsiaTheme="minorEastAsia" w:hAnsiTheme="minorEastAsia" w:hint="eastAsia"/>
          <w:sz w:val="24"/>
        </w:rPr>
        <w:t>安徽省交通建设股份有限公司使用募集资金置换预先投入募投项目的自筹资金的核查意见》，认为：公司使用募集资金置换预先投入募投项目的自筹资金事项已经公司董事会和监事会审议通过，独立董事发表了同意意见，并由会计师事务所出具了鉴证报告，履行了必要的审批程序，且本次募集资金置换时间距募集资金到账时间未超过6个月，符合《上海证券交易所股票上市规则》《上海证券交易所上市公司募集资金管理办法》等相关规定的要求。保荐机构对交建股份使用募集资金置换预先投入募投项目的自筹资金事项无异议。</w:t>
      </w:r>
    </w:p>
    <w:p w14:paraId="0C9A9E8A" w14:textId="77777777" w:rsidR="008C2CEB" w:rsidRDefault="008C2CEB" w:rsidP="00C9380A">
      <w:pPr>
        <w:adjustRightInd w:val="0"/>
        <w:snapToGrid w:val="0"/>
        <w:spacing w:line="360" w:lineRule="auto"/>
        <w:ind w:firstLineChars="200" w:firstLine="480"/>
        <w:rPr>
          <w:rFonts w:hAnsi="Calibri"/>
          <w:sz w:val="24"/>
        </w:rPr>
      </w:pPr>
    </w:p>
    <w:p w14:paraId="131FCF1B" w14:textId="2E26410F" w:rsidR="00C9380A" w:rsidRPr="00ED32CF" w:rsidRDefault="00C9380A" w:rsidP="00C9380A">
      <w:pPr>
        <w:adjustRightInd w:val="0"/>
        <w:snapToGrid w:val="0"/>
        <w:spacing w:line="360" w:lineRule="auto"/>
        <w:ind w:firstLineChars="200" w:firstLine="480"/>
        <w:rPr>
          <w:rFonts w:hAnsi="Calibri"/>
          <w:sz w:val="24"/>
        </w:rPr>
      </w:pPr>
      <w:r w:rsidRPr="00ED32CF">
        <w:rPr>
          <w:rFonts w:hAnsi="Calibri" w:hint="eastAsia"/>
          <w:sz w:val="24"/>
        </w:rPr>
        <w:t>特此公告。</w:t>
      </w:r>
    </w:p>
    <w:p w14:paraId="4658EF70" w14:textId="77777777" w:rsidR="00812FA4" w:rsidRPr="00ED32CF" w:rsidRDefault="00812FA4" w:rsidP="00477E18">
      <w:pPr>
        <w:spacing w:line="360" w:lineRule="auto"/>
        <w:ind w:right="238" w:firstLine="476"/>
        <w:rPr>
          <w:rFonts w:asciiTheme="minorEastAsia" w:eastAsiaTheme="minorEastAsia" w:hAnsiTheme="minorEastAsia"/>
          <w:sz w:val="24"/>
          <w:szCs w:val="24"/>
        </w:rPr>
      </w:pPr>
    </w:p>
    <w:p w14:paraId="5CE6711B" w14:textId="77777777" w:rsidR="0091013F" w:rsidRPr="00ED32CF" w:rsidRDefault="0091013F">
      <w:pPr>
        <w:pStyle w:val="a5"/>
      </w:pPr>
    </w:p>
    <w:p w14:paraId="0F8DF559" w14:textId="77777777" w:rsidR="0091013F" w:rsidRPr="00ED32CF" w:rsidRDefault="0091013F">
      <w:pPr>
        <w:pStyle w:val="a5"/>
      </w:pPr>
    </w:p>
    <w:p w14:paraId="540A1752" w14:textId="77777777" w:rsidR="00D0271D" w:rsidRPr="00ED32CF" w:rsidRDefault="00D0271D" w:rsidP="00D0271D">
      <w:pPr>
        <w:pStyle w:val="Default"/>
        <w:spacing w:line="360" w:lineRule="auto"/>
        <w:ind w:firstLineChars="200" w:firstLine="480"/>
        <w:jc w:val="right"/>
        <w:rPr>
          <w:rFonts w:hAnsi="宋体"/>
          <w:bCs/>
        </w:rPr>
      </w:pPr>
      <w:r w:rsidRPr="00ED32CF">
        <w:rPr>
          <w:rFonts w:hAnsi="宋体" w:hint="eastAsia"/>
          <w:bCs/>
        </w:rPr>
        <w:t>安徽省交通建设股份有限公司董事会</w:t>
      </w:r>
    </w:p>
    <w:p w14:paraId="222D8347" w14:textId="77777777" w:rsidR="0091013F" w:rsidRDefault="00D0271D" w:rsidP="00D0271D">
      <w:pPr>
        <w:pStyle w:val="a5"/>
        <w:spacing w:before="12"/>
        <w:jc w:val="right"/>
        <w:rPr>
          <w:rFonts w:ascii="Times New Roman" w:hAnsi="Times New Roman" w:cs="Times New Roman"/>
        </w:rPr>
      </w:pPr>
      <w:r w:rsidRPr="00ED32CF">
        <w:rPr>
          <w:rFonts w:hint="eastAsia"/>
          <w:bCs/>
        </w:rPr>
        <w:t>2021年</w:t>
      </w:r>
      <w:r w:rsidR="00C9380A" w:rsidRPr="00ED32CF">
        <w:rPr>
          <w:rFonts w:hint="eastAsia"/>
          <w:bCs/>
        </w:rPr>
        <w:t>7</w:t>
      </w:r>
      <w:r w:rsidRPr="00ED32CF">
        <w:rPr>
          <w:rFonts w:hint="eastAsia"/>
          <w:bCs/>
        </w:rPr>
        <w:t>月</w:t>
      </w:r>
      <w:r w:rsidR="00ED32CF">
        <w:rPr>
          <w:rFonts w:hint="eastAsia"/>
          <w:bCs/>
        </w:rPr>
        <w:t>9</w:t>
      </w:r>
      <w:r w:rsidRPr="00ED32CF">
        <w:rPr>
          <w:rFonts w:hint="eastAsia"/>
          <w:bCs/>
        </w:rPr>
        <w:t>日</w:t>
      </w:r>
    </w:p>
    <w:sectPr w:rsidR="0091013F">
      <w:footerReference w:type="default" r:id="rId8"/>
      <w:pgSz w:w="11910" w:h="16840"/>
      <w:pgMar w:top="1420" w:right="1560" w:bottom="1320" w:left="1580" w:header="0"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7624A" w14:textId="77777777" w:rsidR="00D51C0A" w:rsidRDefault="00D51C0A">
      <w:r>
        <w:separator/>
      </w:r>
    </w:p>
  </w:endnote>
  <w:endnote w:type="continuationSeparator" w:id="0">
    <w:p w14:paraId="57EC8988" w14:textId="77777777" w:rsidR="00D51C0A" w:rsidRDefault="00D5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9F2F" w14:textId="77777777" w:rsidR="0091013F" w:rsidRDefault="002F1F02">
    <w:pPr>
      <w:pStyle w:val="a5"/>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14:anchorId="1D453974" wp14:editId="03B9CBD2">
              <wp:simplePos x="0" y="0"/>
              <wp:positionH relativeFrom="page">
                <wp:posOffset>3698240</wp:posOffset>
              </wp:positionH>
              <wp:positionV relativeFrom="page">
                <wp:posOffset>9999345</wp:posOffset>
              </wp:positionV>
              <wp:extent cx="167005" cy="15240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wps:spPr>
                    <wps:txbx>
                      <w:txbxContent>
                        <w:p w14:paraId="4855C198" w14:textId="77777777" w:rsidR="0091013F" w:rsidRDefault="002F1F02">
                          <w:pPr>
                            <w:spacing w:before="12"/>
                            <w:ind w:left="40"/>
                            <w:rPr>
                              <w:rFonts w:ascii="Times New Roman"/>
                              <w:sz w:val="18"/>
                            </w:rPr>
                          </w:pPr>
                          <w:r>
                            <w:fldChar w:fldCharType="begin"/>
                          </w:r>
                          <w:r>
                            <w:rPr>
                              <w:rFonts w:ascii="Times New Roman"/>
                              <w:sz w:val="18"/>
                            </w:rPr>
                            <w:instrText xml:space="preserve"> PAGE </w:instrText>
                          </w:r>
                          <w:r>
                            <w:fldChar w:fldCharType="separate"/>
                          </w:r>
                          <w:r w:rsidR="00ED32CF">
                            <w:rPr>
                              <w:rFonts w:ascii="Times New Roman"/>
                              <w:noProof/>
                              <w:sz w:val="18"/>
                            </w:rPr>
                            <w:t>4</w:t>
                          </w:r>
                          <w:r>
                            <w:fldChar w:fldCharType="end"/>
                          </w:r>
                        </w:p>
                      </w:txbxContent>
                    </wps:txbx>
                    <wps:bodyPr rot="0" vert="horz" wrap="square" lIns="0" tIns="0" rIns="0" bIns="0" anchor="t" anchorCtr="0" upright="1">
                      <a:noAutofit/>
                    </wps:bodyPr>
                  </wps:wsp>
                </a:graphicData>
              </a:graphic>
            </wp:anchor>
          </w:drawing>
        </mc:Choice>
        <mc:Fallback>
          <w:pict>
            <v:shapetype w14:anchorId="1D453974" id="_x0000_t202" coordsize="21600,21600" o:spt="202" path="m,l,21600r21600,l21600,xe">
              <v:stroke joinstyle="miter"/>
              <v:path gradientshapeok="t" o:connecttype="rect"/>
            </v:shapetype>
            <v:shape id="Text Box 1" o:spid="_x0000_s1027" type="#_x0000_t202" style="position:absolute;margin-left:291.2pt;margin-top:787.35pt;width:1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" filled="f" stroked="f">
              <v:textbox inset="0,0,0,0">
                <w:txbxContent>
                  <w:p w14:paraId="4855C198" w14:textId="77777777" w:rsidR="0091013F" w:rsidRDefault="002F1F02">
                    <w:pPr>
                      <w:spacing w:before="12"/>
                      <w:ind w:left="40"/>
                      <w:rPr>
                        <w:rFonts w:ascii="Times New Roman"/>
                        <w:sz w:val="18"/>
                      </w:rPr>
                    </w:pPr>
                    <w:r>
                      <w:fldChar w:fldCharType="begin"/>
                    </w:r>
                    <w:r>
                      <w:rPr>
                        <w:rFonts w:ascii="Times New Roman"/>
                        <w:sz w:val="18"/>
                      </w:rPr>
                      <w:instrText xml:space="preserve"> PAGE </w:instrText>
                    </w:r>
                    <w:r>
                      <w:fldChar w:fldCharType="separate"/>
                    </w:r>
                    <w:r w:rsidR="00ED32CF">
                      <w:rPr>
                        <w:rFonts w:ascii="Times New Roman"/>
                        <w:noProo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EAFDD" w14:textId="77777777" w:rsidR="00D51C0A" w:rsidRDefault="00D51C0A">
      <w:r>
        <w:separator/>
      </w:r>
    </w:p>
  </w:footnote>
  <w:footnote w:type="continuationSeparator" w:id="0">
    <w:p w14:paraId="57FD1413" w14:textId="77777777" w:rsidR="00D51C0A" w:rsidRDefault="00D51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25F01"/>
    <w:multiLevelType w:val="hybridMultilevel"/>
    <w:tmpl w:val="E0FC9E6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849"/>
    <w:rsid w:val="000030EA"/>
    <w:rsid w:val="0000393E"/>
    <w:rsid w:val="00006799"/>
    <w:rsid w:val="00052A71"/>
    <w:rsid w:val="0005678A"/>
    <w:rsid w:val="00066477"/>
    <w:rsid w:val="000A0479"/>
    <w:rsid w:val="000A6D5B"/>
    <w:rsid w:val="000B6430"/>
    <w:rsid w:val="000C0FB8"/>
    <w:rsid w:val="000D56C1"/>
    <w:rsid w:val="00135CFA"/>
    <w:rsid w:val="00155AA5"/>
    <w:rsid w:val="00157141"/>
    <w:rsid w:val="00166171"/>
    <w:rsid w:val="0017420C"/>
    <w:rsid w:val="001B1E6D"/>
    <w:rsid w:val="001F5ECA"/>
    <w:rsid w:val="00200439"/>
    <w:rsid w:val="00212A8E"/>
    <w:rsid w:val="0024758C"/>
    <w:rsid w:val="0027439D"/>
    <w:rsid w:val="0028338F"/>
    <w:rsid w:val="00291B35"/>
    <w:rsid w:val="002E023F"/>
    <w:rsid w:val="002F1F02"/>
    <w:rsid w:val="002F3484"/>
    <w:rsid w:val="003231D2"/>
    <w:rsid w:val="00345B7C"/>
    <w:rsid w:val="00350E54"/>
    <w:rsid w:val="003727B0"/>
    <w:rsid w:val="003A4ACF"/>
    <w:rsid w:val="003E5B99"/>
    <w:rsid w:val="003F1100"/>
    <w:rsid w:val="003F118F"/>
    <w:rsid w:val="003F2B4A"/>
    <w:rsid w:val="00406C01"/>
    <w:rsid w:val="00415B7B"/>
    <w:rsid w:val="00416BC3"/>
    <w:rsid w:val="00477E18"/>
    <w:rsid w:val="004F1BF6"/>
    <w:rsid w:val="00523F31"/>
    <w:rsid w:val="00530F6A"/>
    <w:rsid w:val="00565AC5"/>
    <w:rsid w:val="0057721E"/>
    <w:rsid w:val="00580EB3"/>
    <w:rsid w:val="005B06D5"/>
    <w:rsid w:val="005B0B6A"/>
    <w:rsid w:val="005C164A"/>
    <w:rsid w:val="005C46C0"/>
    <w:rsid w:val="005F0F1A"/>
    <w:rsid w:val="00603A08"/>
    <w:rsid w:val="006242F6"/>
    <w:rsid w:val="00651ABB"/>
    <w:rsid w:val="0066786B"/>
    <w:rsid w:val="00674FA1"/>
    <w:rsid w:val="006A1150"/>
    <w:rsid w:val="006A748C"/>
    <w:rsid w:val="006B3DFD"/>
    <w:rsid w:val="007009E1"/>
    <w:rsid w:val="0070367D"/>
    <w:rsid w:val="00727818"/>
    <w:rsid w:val="007538CD"/>
    <w:rsid w:val="00764677"/>
    <w:rsid w:val="007A3992"/>
    <w:rsid w:val="007C3526"/>
    <w:rsid w:val="007E5A02"/>
    <w:rsid w:val="00804F2D"/>
    <w:rsid w:val="00812FA4"/>
    <w:rsid w:val="008307FA"/>
    <w:rsid w:val="008572FA"/>
    <w:rsid w:val="008669C7"/>
    <w:rsid w:val="00883BA8"/>
    <w:rsid w:val="00887DBE"/>
    <w:rsid w:val="008911EA"/>
    <w:rsid w:val="008A5967"/>
    <w:rsid w:val="008C2CEB"/>
    <w:rsid w:val="008D4FA9"/>
    <w:rsid w:val="008D6428"/>
    <w:rsid w:val="008F4AA2"/>
    <w:rsid w:val="0091013F"/>
    <w:rsid w:val="00943CE3"/>
    <w:rsid w:val="00960CB9"/>
    <w:rsid w:val="009A12D7"/>
    <w:rsid w:val="009C1143"/>
    <w:rsid w:val="009D0E43"/>
    <w:rsid w:val="00A34E28"/>
    <w:rsid w:val="00A356FC"/>
    <w:rsid w:val="00A450F5"/>
    <w:rsid w:val="00A65CB1"/>
    <w:rsid w:val="00A814C8"/>
    <w:rsid w:val="00AA7BF4"/>
    <w:rsid w:val="00AF414F"/>
    <w:rsid w:val="00B02B7F"/>
    <w:rsid w:val="00B15BAD"/>
    <w:rsid w:val="00B21EFE"/>
    <w:rsid w:val="00B30C40"/>
    <w:rsid w:val="00B57E5C"/>
    <w:rsid w:val="00B93E5E"/>
    <w:rsid w:val="00BB62FC"/>
    <w:rsid w:val="00BE4658"/>
    <w:rsid w:val="00C53F37"/>
    <w:rsid w:val="00C5512E"/>
    <w:rsid w:val="00C5568C"/>
    <w:rsid w:val="00C663DA"/>
    <w:rsid w:val="00C665B5"/>
    <w:rsid w:val="00C9380A"/>
    <w:rsid w:val="00C93EE3"/>
    <w:rsid w:val="00CA1993"/>
    <w:rsid w:val="00CA5E3B"/>
    <w:rsid w:val="00CC6F86"/>
    <w:rsid w:val="00CD31CC"/>
    <w:rsid w:val="00CF284A"/>
    <w:rsid w:val="00D0271D"/>
    <w:rsid w:val="00D204BC"/>
    <w:rsid w:val="00D24340"/>
    <w:rsid w:val="00D406DB"/>
    <w:rsid w:val="00D51C0A"/>
    <w:rsid w:val="00D601D8"/>
    <w:rsid w:val="00D63360"/>
    <w:rsid w:val="00D65728"/>
    <w:rsid w:val="00D65804"/>
    <w:rsid w:val="00D65871"/>
    <w:rsid w:val="00D65F54"/>
    <w:rsid w:val="00D85F82"/>
    <w:rsid w:val="00DA6849"/>
    <w:rsid w:val="00DB1382"/>
    <w:rsid w:val="00DE5D85"/>
    <w:rsid w:val="00DF21CF"/>
    <w:rsid w:val="00E17972"/>
    <w:rsid w:val="00E70138"/>
    <w:rsid w:val="00E85A85"/>
    <w:rsid w:val="00E9454D"/>
    <w:rsid w:val="00EB2FFF"/>
    <w:rsid w:val="00EB6DB0"/>
    <w:rsid w:val="00ED06DE"/>
    <w:rsid w:val="00ED32CF"/>
    <w:rsid w:val="00F276F8"/>
    <w:rsid w:val="00F33028"/>
    <w:rsid w:val="00F56563"/>
    <w:rsid w:val="00F929C0"/>
    <w:rsid w:val="00FB3008"/>
    <w:rsid w:val="25DB76E3"/>
    <w:rsid w:val="5DE7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94DE8F"/>
  <w15:docId w15:val="{DFECDF01-E94A-4E2D-8AAE-99AE6F82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rPr>
      <w:sz w:val="24"/>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34"/>
    <w:qFormat/>
  </w:style>
  <w:style w:type="paragraph" w:customStyle="1" w:styleId="TableParagraph">
    <w:name w:val="Table Paragraph"/>
    <w:basedOn w:val="a"/>
    <w:uiPriority w:val="1"/>
    <w:qFormat/>
    <w:pPr>
      <w:ind w:left="107"/>
    </w:pPr>
  </w:style>
  <w:style w:type="character" w:customStyle="1" w:styleId="a4">
    <w:name w:val="批注文字 字符"/>
    <w:basedOn w:val="a0"/>
    <w:link w:val="a3"/>
    <w:uiPriority w:val="99"/>
    <w:semiHidden/>
    <w:rPr>
      <w:rFonts w:ascii="宋体" w:eastAsia="宋体" w:hAnsi="宋体" w:cs="宋体"/>
      <w:lang w:val="zh-CN" w:eastAsia="zh-CN" w:bidi="zh-CN"/>
    </w:rPr>
  </w:style>
  <w:style w:type="character" w:customStyle="1" w:styleId="ae">
    <w:name w:val="批注主题 字符"/>
    <w:basedOn w:val="a4"/>
    <w:link w:val="ad"/>
    <w:uiPriority w:val="99"/>
    <w:semiHidden/>
    <w:qFormat/>
    <w:rPr>
      <w:rFonts w:ascii="宋体" w:eastAsia="宋体" w:hAnsi="宋体" w:cs="宋体"/>
      <w:b/>
      <w:bCs/>
      <w:lang w:val="zh-CN" w:eastAsia="zh-CN" w:bidi="zh-CN"/>
    </w:rPr>
  </w:style>
  <w:style w:type="character" w:customStyle="1" w:styleId="a8">
    <w:name w:val="批注框文本 字符"/>
    <w:basedOn w:val="a0"/>
    <w:link w:val="a7"/>
    <w:uiPriority w:val="99"/>
    <w:semiHidden/>
    <w:qFormat/>
    <w:rPr>
      <w:rFonts w:ascii="宋体" w:eastAsia="宋体" w:hAnsi="宋体" w:cs="宋体"/>
      <w:sz w:val="18"/>
      <w:szCs w:val="18"/>
      <w:lang w:val="zh-CN" w:eastAsia="zh-CN" w:bidi="zh-CN"/>
    </w:rPr>
  </w:style>
  <w:style w:type="character" w:customStyle="1" w:styleId="ac">
    <w:name w:val="页眉 字符"/>
    <w:basedOn w:val="a0"/>
    <w:link w:val="ab"/>
    <w:uiPriority w:val="99"/>
    <w:rPr>
      <w:rFonts w:ascii="宋体" w:eastAsia="宋体" w:hAnsi="宋体" w:cs="宋体"/>
      <w:sz w:val="18"/>
      <w:szCs w:val="18"/>
      <w:lang w:val="zh-CN" w:eastAsia="zh-CN" w:bidi="zh-CN"/>
    </w:rPr>
  </w:style>
  <w:style w:type="character" w:customStyle="1" w:styleId="aa">
    <w:name w:val="页脚 字符"/>
    <w:basedOn w:val="a0"/>
    <w:link w:val="a9"/>
    <w:uiPriority w:val="99"/>
    <w:rPr>
      <w:rFonts w:ascii="宋体" w:eastAsia="宋体" w:hAnsi="宋体" w:cs="宋体"/>
      <w:sz w:val="18"/>
      <w:szCs w:val="18"/>
      <w:lang w:val="zh-CN" w:eastAsia="zh-CN" w:bidi="zh-CN"/>
    </w:rPr>
  </w:style>
  <w:style w:type="character" w:customStyle="1" w:styleId="apple-converted-space">
    <w:name w:val="apple-converted-space"/>
    <w:basedOn w:val="a0"/>
  </w:style>
  <w:style w:type="character" w:customStyle="1" w:styleId="a6">
    <w:name w:val="正文文本 字符"/>
    <w:basedOn w:val="a0"/>
    <w:link w:val="a5"/>
    <w:uiPriority w:val="1"/>
    <w:rPr>
      <w:rFonts w:ascii="宋体" w:eastAsia="宋体" w:hAnsi="宋体" w:cs="宋体"/>
      <w:sz w:val="24"/>
      <w:szCs w:val="24"/>
      <w:lang w:val="zh-CN" w:eastAsia="zh-CN" w:bidi="zh-CN"/>
    </w:rPr>
  </w:style>
  <w:style w:type="paragraph" w:customStyle="1" w:styleId="Default">
    <w:name w:val="Default"/>
    <w:qFormat/>
    <w:rsid w:val="00D0271D"/>
    <w:pPr>
      <w:widowControl w:val="0"/>
      <w:autoSpaceDE w:val="0"/>
      <w:autoSpaceDN w:val="0"/>
      <w:adjustRightInd w:val="0"/>
    </w:pPr>
    <w:rPr>
      <w:rFonts w:ascii="宋体" w:eastAsia="宋体" w:cs="宋体"/>
      <w:color w:val="000000"/>
      <w:sz w:val="24"/>
      <w:szCs w:val="24"/>
    </w:rPr>
  </w:style>
  <w:style w:type="table" w:customStyle="1" w:styleId="1">
    <w:name w:val="表格主题1"/>
    <w:basedOn w:val="a1"/>
    <w:qFormat/>
    <w:rsid w:val="00A814C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27439D"/>
    <w:pPr>
      <w:autoSpaceDE/>
      <w:autoSpaceDN/>
      <w:jc w:val="both"/>
    </w:pPr>
    <w:rPr>
      <w:rFonts w:ascii="Times New Roman" w:hAnsi="Times New Roman" w:cs="Times New Roman"/>
      <w:kern w:val="2"/>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林 玲</cp:lastModifiedBy>
  <cp:revision>25</cp:revision>
  <dcterms:created xsi:type="dcterms:W3CDTF">2020-09-25T03:36:00Z</dcterms:created>
  <dcterms:modified xsi:type="dcterms:W3CDTF">2021-07-08T06:51:00Z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y fmtid="{D5CDD505-2E9C-101B-9397-08002B2CF9AE}" pid="5" name="KSOProductBuildVer">
    <vt:lpwstr>2052-11.1.0.10495</vt:lpwstr>
  </property>
  <property fmtid="{D5CDD505-2E9C-101B-9397-08002B2CF9AE}" pid="6" name="ICV">
    <vt:lpwstr>ABBCCC9EFC2247AC8795A3C720E1544C</vt:lpwstr>
  </property>
</Properties>
</file>