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E64F" w14:textId="43044687" w:rsidR="00D51CA9" w:rsidRPr="00D51CA9" w:rsidRDefault="00D51CA9" w:rsidP="00D51CA9">
      <w:pPr>
        <w:adjustRightInd w:val="0"/>
        <w:snapToGrid w:val="0"/>
        <w:spacing w:line="560" w:lineRule="exact"/>
        <w:rPr>
          <w:rFonts w:ascii="宋体" w:eastAsia="宋体" w:hAnsi="宋体"/>
          <w:sz w:val="24"/>
        </w:rPr>
      </w:pPr>
      <w:r w:rsidRPr="00D51CA9">
        <w:rPr>
          <w:rFonts w:ascii="宋体" w:eastAsia="宋体" w:hAnsi="宋体" w:hint="eastAsia"/>
          <w:sz w:val="24"/>
        </w:rPr>
        <w:t>证券代码：603815           证券简称：交建股份       公告编号：2</w:t>
      </w:r>
      <w:r w:rsidRPr="00D51CA9">
        <w:rPr>
          <w:rFonts w:ascii="宋体" w:eastAsia="宋体" w:hAnsi="宋体"/>
          <w:sz w:val="24"/>
        </w:rPr>
        <w:t>02</w:t>
      </w:r>
      <w:r w:rsidRPr="00D51CA9">
        <w:rPr>
          <w:rFonts w:ascii="宋体" w:eastAsia="宋体" w:hAnsi="宋体" w:hint="eastAsia"/>
          <w:sz w:val="24"/>
        </w:rPr>
        <w:t>1</w:t>
      </w:r>
      <w:r w:rsidRPr="00D51CA9">
        <w:rPr>
          <w:rFonts w:ascii="宋体" w:eastAsia="宋体" w:hAnsi="宋体"/>
          <w:sz w:val="24"/>
        </w:rPr>
        <w:t>-</w:t>
      </w:r>
      <w:r w:rsidR="00B17899">
        <w:rPr>
          <w:rFonts w:ascii="宋体" w:eastAsia="宋体" w:hAnsi="宋体"/>
          <w:sz w:val="24"/>
        </w:rPr>
        <w:t>0</w:t>
      </w:r>
      <w:r w:rsidR="00B17899">
        <w:rPr>
          <w:rFonts w:ascii="宋体" w:eastAsia="宋体" w:hAnsi="宋体" w:hint="eastAsia"/>
          <w:sz w:val="24"/>
        </w:rPr>
        <w:t>4</w:t>
      </w:r>
      <w:r w:rsidR="00B17899">
        <w:rPr>
          <w:rFonts w:ascii="宋体" w:eastAsia="宋体" w:hAnsi="宋体"/>
          <w:sz w:val="24"/>
        </w:rPr>
        <w:t>1</w:t>
      </w:r>
    </w:p>
    <w:p w14:paraId="24CA36F7" w14:textId="77777777" w:rsidR="00D51CA9" w:rsidRDefault="00D51CA9" w:rsidP="00491803">
      <w:pPr>
        <w:jc w:val="center"/>
        <w:rPr>
          <w:sz w:val="28"/>
          <w:szCs w:val="28"/>
        </w:rPr>
      </w:pPr>
    </w:p>
    <w:p w14:paraId="5DC0C924" w14:textId="5D80C810" w:rsidR="00491803" w:rsidRPr="00D51CA9" w:rsidRDefault="00491803" w:rsidP="00D51CA9">
      <w:pPr>
        <w:jc w:val="center"/>
        <w:rPr>
          <w:rFonts w:ascii="黑体" w:eastAsia="黑体" w:hAnsi="黑体"/>
          <w:b/>
          <w:sz w:val="36"/>
          <w:szCs w:val="36"/>
        </w:rPr>
      </w:pPr>
      <w:r w:rsidRPr="00D51CA9">
        <w:rPr>
          <w:rFonts w:ascii="黑体" w:eastAsia="黑体" w:hAnsi="黑体" w:hint="eastAsia"/>
          <w:b/>
          <w:sz w:val="36"/>
          <w:szCs w:val="36"/>
        </w:rPr>
        <w:t>安徽省交通建设股份有限公司</w:t>
      </w:r>
    </w:p>
    <w:p w14:paraId="03928489" w14:textId="59B16485" w:rsidR="00D51CA9" w:rsidRDefault="00491803" w:rsidP="00D51CA9">
      <w:pPr>
        <w:jc w:val="center"/>
        <w:rPr>
          <w:rFonts w:ascii="宋体" w:eastAsia="宋体" w:hAnsi="宋体"/>
          <w:b/>
          <w:sz w:val="36"/>
          <w:szCs w:val="36"/>
        </w:rPr>
      </w:pPr>
      <w:r w:rsidRPr="00D51CA9">
        <w:rPr>
          <w:rFonts w:ascii="黑体" w:eastAsia="黑体" w:hAnsi="黑体" w:hint="eastAsia"/>
          <w:b/>
          <w:sz w:val="36"/>
          <w:szCs w:val="36"/>
        </w:rPr>
        <w:t>关于签订募集资金专户存储三方监管协议的公告</w:t>
      </w:r>
    </w:p>
    <w:p w14:paraId="12B45CD0" w14:textId="77777777" w:rsidR="00D51CA9" w:rsidRDefault="00D51CA9" w:rsidP="00D51CA9">
      <w:pPr>
        <w:pBdr>
          <w:top w:val="single" w:sz="4" w:space="1" w:color="auto"/>
          <w:left w:val="single" w:sz="4" w:space="4" w:color="auto"/>
          <w:bottom w:val="single" w:sz="4" w:space="1" w:color="auto"/>
          <w:right w:val="single" w:sz="4" w:space="4" w:color="auto"/>
        </w:pBdr>
        <w:adjustRightInd w:val="0"/>
        <w:snapToGrid w:val="0"/>
        <w:spacing w:beforeLines="100" w:before="312" w:line="560" w:lineRule="exact"/>
        <w:ind w:firstLineChars="200" w:firstLine="480"/>
        <w:rPr>
          <w:rFonts w:ascii="宋体" w:eastAsia="宋体" w:hAnsi="宋体"/>
          <w:color w:val="000000"/>
          <w:sz w:val="24"/>
        </w:rPr>
      </w:pPr>
      <w:r>
        <w:rPr>
          <w:rFonts w:ascii="宋体" w:eastAsia="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2C594771" w14:textId="77777777" w:rsidR="00D51CA9" w:rsidRDefault="00D51CA9" w:rsidP="00D51CA9">
      <w:pPr>
        <w:spacing w:line="360" w:lineRule="auto"/>
        <w:ind w:firstLineChars="200" w:firstLine="480"/>
        <w:jc w:val="left"/>
        <w:rPr>
          <w:rFonts w:ascii="宋体" w:eastAsia="宋体" w:hAnsi="宋体"/>
          <w:sz w:val="24"/>
          <w:szCs w:val="24"/>
        </w:rPr>
      </w:pPr>
    </w:p>
    <w:p w14:paraId="7AE20544" w14:textId="185DA581" w:rsidR="00491803" w:rsidRPr="00401183" w:rsidRDefault="00491803" w:rsidP="00491803">
      <w:pPr>
        <w:pStyle w:val="a3"/>
        <w:numPr>
          <w:ilvl w:val="0"/>
          <w:numId w:val="1"/>
        </w:numPr>
        <w:spacing w:beforeLines="50" w:before="156" w:afterLines="50" w:after="156"/>
        <w:ind w:left="482" w:firstLineChars="0" w:hanging="482"/>
        <w:rPr>
          <w:rFonts w:ascii="宋体" w:eastAsia="宋体" w:hAnsi="宋体"/>
          <w:b/>
          <w:sz w:val="24"/>
          <w:szCs w:val="24"/>
        </w:rPr>
      </w:pPr>
      <w:r w:rsidRPr="00401183">
        <w:rPr>
          <w:rFonts w:ascii="宋体" w:eastAsia="宋体" w:hAnsi="宋体" w:hint="eastAsia"/>
          <w:b/>
          <w:sz w:val="24"/>
          <w:szCs w:val="24"/>
        </w:rPr>
        <w:t>募集资金基本情况</w:t>
      </w:r>
    </w:p>
    <w:p w14:paraId="4BF100EE" w14:textId="44124F55" w:rsidR="00491803" w:rsidRPr="00491803" w:rsidRDefault="00491803" w:rsidP="00491803">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经中国证券监督管理委员会出具的《关于核准安徽省交通建设股份有限公司非公开发行股票的批复》（证监许可</w:t>
      </w:r>
      <w:r w:rsidRPr="00491803">
        <w:rPr>
          <w:rFonts w:ascii="宋体" w:eastAsia="宋体" w:hAnsi="宋体"/>
          <w:sz w:val="24"/>
          <w:szCs w:val="24"/>
        </w:rPr>
        <w:t>[2021]18号），安徽省交通建设股份有限公司（以下简称“公司”）向特定对象发行人民币普通股（A股）股票119,924,235股，发行价格为</w:t>
      </w:r>
      <w:r w:rsidR="00BA2510" w:rsidRPr="00491803">
        <w:rPr>
          <w:rFonts w:ascii="宋体" w:eastAsia="宋体" w:hAnsi="宋体"/>
          <w:sz w:val="24"/>
          <w:szCs w:val="24"/>
        </w:rPr>
        <w:t>每股</w:t>
      </w:r>
      <w:r w:rsidRPr="00491803">
        <w:rPr>
          <w:rFonts w:ascii="宋体" w:eastAsia="宋体" w:hAnsi="宋体"/>
          <w:sz w:val="24"/>
          <w:szCs w:val="24"/>
        </w:rPr>
        <w:t>7.26元，募集资金总额为人民币870,649,946.10元，扣除各项发行费用</w:t>
      </w:r>
      <w:r w:rsidR="00BA2510">
        <w:rPr>
          <w:rFonts w:ascii="宋体" w:eastAsia="宋体" w:hAnsi="宋体" w:hint="eastAsia"/>
          <w:sz w:val="24"/>
          <w:szCs w:val="24"/>
        </w:rPr>
        <w:t>（</w:t>
      </w:r>
      <w:r w:rsidR="00BA2510" w:rsidRPr="00491803">
        <w:rPr>
          <w:rFonts w:ascii="宋体" w:eastAsia="宋体" w:hAnsi="宋体"/>
          <w:sz w:val="24"/>
          <w:szCs w:val="24"/>
        </w:rPr>
        <w:t>不含税</w:t>
      </w:r>
      <w:r w:rsidR="00BA2510">
        <w:rPr>
          <w:rFonts w:ascii="宋体" w:eastAsia="宋体" w:hAnsi="宋体" w:hint="eastAsia"/>
          <w:sz w:val="24"/>
          <w:szCs w:val="24"/>
        </w:rPr>
        <w:t>）</w:t>
      </w:r>
      <w:r w:rsidRPr="00491803">
        <w:rPr>
          <w:rFonts w:ascii="宋体" w:eastAsia="宋体" w:hAnsi="宋体"/>
          <w:sz w:val="24"/>
          <w:szCs w:val="24"/>
        </w:rPr>
        <w:t>人民币11,436,980.73元</w:t>
      </w:r>
      <w:r w:rsidR="00BA2510">
        <w:rPr>
          <w:rFonts w:ascii="宋体" w:eastAsia="宋体" w:hAnsi="宋体"/>
          <w:sz w:val="24"/>
          <w:szCs w:val="24"/>
        </w:rPr>
        <w:t>后</w:t>
      </w:r>
      <w:r w:rsidRPr="00491803">
        <w:rPr>
          <w:rFonts w:ascii="宋体" w:eastAsia="宋体" w:hAnsi="宋体"/>
          <w:sz w:val="24"/>
          <w:szCs w:val="24"/>
        </w:rPr>
        <w:t>，</w:t>
      </w:r>
      <w:r w:rsidR="00BA2510">
        <w:rPr>
          <w:rFonts w:ascii="宋体" w:eastAsia="宋体" w:hAnsi="宋体" w:hint="eastAsia"/>
          <w:sz w:val="24"/>
          <w:szCs w:val="24"/>
        </w:rPr>
        <w:t>实际</w:t>
      </w:r>
      <w:r w:rsidRPr="00491803">
        <w:rPr>
          <w:rFonts w:ascii="宋体" w:eastAsia="宋体" w:hAnsi="宋体"/>
          <w:sz w:val="24"/>
          <w:szCs w:val="24"/>
        </w:rPr>
        <w:t>募集资金净额为人民币</w:t>
      </w:r>
      <w:r w:rsidR="00CA542C">
        <w:rPr>
          <w:rFonts w:ascii="宋体" w:eastAsia="宋体" w:hAnsi="宋体"/>
          <w:sz w:val="24"/>
          <w:szCs w:val="24"/>
        </w:rPr>
        <w:t>859,212,965.37</w:t>
      </w:r>
      <w:r w:rsidRPr="00491803">
        <w:rPr>
          <w:rFonts w:ascii="宋体" w:eastAsia="宋体" w:hAnsi="宋体"/>
          <w:sz w:val="24"/>
          <w:szCs w:val="24"/>
        </w:rPr>
        <w:t>元。</w:t>
      </w:r>
      <w:r w:rsidRPr="00491803">
        <w:rPr>
          <w:rFonts w:ascii="宋体" w:eastAsia="宋体" w:hAnsi="宋体" w:hint="eastAsia"/>
          <w:sz w:val="24"/>
          <w:szCs w:val="24"/>
        </w:rPr>
        <w:t>容诚</w:t>
      </w:r>
      <w:r w:rsidRPr="00491803">
        <w:rPr>
          <w:rFonts w:ascii="宋体" w:eastAsia="宋体" w:hAnsi="宋体"/>
          <w:sz w:val="24"/>
          <w:szCs w:val="24"/>
        </w:rPr>
        <w:t>会计师事务所（特殊普通合伙）已于2021年6月18日对公司本</w:t>
      </w:r>
      <w:r w:rsidRPr="00491803">
        <w:rPr>
          <w:rFonts w:ascii="宋体" w:eastAsia="宋体" w:hAnsi="宋体" w:hint="eastAsia"/>
          <w:sz w:val="24"/>
          <w:szCs w:val="24"/>
        </w:rPr>
        <w:t>次非公开发行</w:t>
      </w:r>
      <w:r w:rsidRPr="00491803">
        <w:rPr>
          <w:rFonts w:ascii="宋体" w:eastAsia="宋体" w:hAnsi="宋体"/>
          <w:sz w:val="24"/>
          <w:szCs w:val="24"/>
        </w:rPr>
        <w:t>A股股票的资金到位情况进行了审验，并出具了</w:t>
      </w:r>
      <w:r w:rsidRPr="00491803">
        <w:rPr>
          <w:rFonts w:ascii="宋体" w:eastAsia="宋体" w:hAnsi="宋体" w:hint="eastAsia"/>
          <w:sz w:val="24"/>
          <w:szCs w:val="24"/>
        </w:rPr>
        <w:t>容诚验字</w:t>
      </w:r>
      <w:r w:rsidRPr="00491803">
        <w:rPr>
          <w:rFonts w:ascii="宋体" w:eastAsia="宋体" w:hAnsi="宋体"/>
          <w:sz w:val="24"/>
          <w:szCs w:val="24"/>
        </w:rPr>
        <w:t>[2021]230Z0133</w:t>
      </w:r>
      <w:r w:rsidR="000D2F27">
        <w:rPr>
          <w:rFonts w:ascii="宋体" w:eastAsia="宋体" w:hAnsi="宋体" w:hint="eastAsia"/>
          <w:sz w:val="24"/>
          <w:szCs w:val="24"/>
        </w:rPr>
        <w:t>号</w:t>
      </w:r>
      <w:r w:rsidRPr="00491803">
        <w:rPr>
          <w:rFonts w:ascii="宋体" w:eastAsia="宋体" w:hAnsi="宋体"/>
          <w:sz w:val="24"/>
          <w:szCs w:val="24"/>
        </w:rPr>
        <w:t>《验资报告》。</w:t>
      </w:r>
    </w:p>
    <w:p w14:paraId="77BD94C8" w14:textId="77777777" w:rsidR="00491803" w:rsidRPr="00491803" w:rsidRDefault="00491803" w:rsidP="00491803">
      <w:pPr>
        <w:rPr>
          <w:rFonts w:ascii="宋体" w:eastAsia="宋体" w:hAnsi="宋体"/>
          <w:sz w:val="24"/>
          <w:szCs w:val="24"/>
        </w:rPr>
      </w:pPr>
    </w:p>
    <w:p w14:paraId="3F01B331" w14:textId="1BA979F5" w:rsidR="00491803" w:rsidRPr="00864156" w:rsidRDefault="00401183" w:rsidP="00864156">
      <w:pPr>
        <w:pStyle w:val="a3"/>
        <w:numPr>
          <w:ilvl w:val="0"/>
          <w:numId w:val="1"/>
        </w:numPr>
        <w:spacing w:beforeLines="50" w:before="156" w:afterLines="50" w:after="156"/>
        <w:ind w:left="482" w:firstLineChars="0" w:hanging="482"/>
        <w:rPr>
          <w:rFonts w:ascii="宋体" w:eastAsia="宋体" w:hAnsi="宋体"/>
          <w:b/>
          <w:sz w:val="24"/>
          <w:szCs w:val="24"/>
        </w:rPr>
      </w:pPr>
      <w:r w:rsidRPr="00864156">
        <w:rPr>
          <w:rFonts w:ascii="宋体" w:eastAsia="宋体" w:hAnsi="宋体" w:hint="eastAsia"/>
          <w:b/>
          <w:sz w:val="24"/>
          <w:szCs w:val="24"/>
        </w:rPr>
        <w:t>《募集资金专户存储三方监管协议》</w:t>
      </w:r>
      <w:r w:rsidR="00491803" w:rsidRPr="00864156">
        <w:rPr>
          <w:rFonts w:ascii="宋体" w:eastAsia="宋体" w:hAnsi="宋体" w:hint="eastAsia"/>
          <w:b/>
          <w:sz w:val="24"/>
          <w:szCs w:val="24"/>
        </w:rPr>
        <w:t>的签订情况和募集资金专户的开立情况</w:t>
      </w:r>
    </w:p>
    <w:p w14:paraId="3F44466D" w14:textId="412A8E30" w:rsidR="00491803" w:rsidRPr="00491803" w:rsidRDefault="00491803" w:rsidP="00491803">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为规范公司募集资金管理，保护投资者利益，提高募集资金使用效率，根据《上市公司监管指引第</w:t>
      </w:r>
      <w:r w:rsidRPr="00491803">
        <w:rPr>
          <w:rFonts w:ascii="宋体" w:eastAsia="宋体" w:hAnsi="宋体"/>
          <w:sz w:val="24"/>
          <w:szCs w:val="24"/>
        </w:rPr>
        <w:t>2号—上市公司募集资金管理和使用的监管要求》、《上海证券交易所上市公司募集资金管理办法（2013年修订）》等有关法律法规、规范性文件</w:t>
      </w:r>
      <w:r w:rsidR="00236022">
        <w:rPr>
          <w:rFonts w:ascii="宋体" w:eastAsia="宋体" w:hAnsi="宋体" w:hint="eastAsia"/>
          <w:sz w:val="24"/>
          <w:szCs w:val="24"/>
        </w:rPr>
        <w:t>的</w:t>
      </w:r>
      <w:r w:rsidRPr="00491803">
        <w:rPr>
          <w:rFonts w:ascii="宋体" w:eastAsia="宋体" w:hAnsi="宋体"/>
          <w:sz w:val="24"/>
          <w:szCs w:val="24"/>
        </w:rPr>
        <w:t>相关规定，</w:t>
      </w:r>
      <w:r w:rsidR="00F51ACF" w:rsidRPr="00F51ACF">
        <w:rPr>
          <w:rFonts w:ascii="宋体" w:eastAsia="宋体" w:hAnsi="宋体"/>
          <w:sz w:val="24"/>
          <w:szCs w:val="24"/>
        </w:rPr>
        <w:t>并经公司股东大会及董事会的授权，</w:t>
      </w:r>
      <w:r w:rsidRPr="00491803">
        <w:rPr>
          <w:rFonts w:ascii="宋体" w:eastAsia="宋体" w:hAnsi="宋体"/>
          <w:sz w:val="24"/>
          <w:szCs w:val="24"/>
        </w:rPr>
        <w:t>公司</w:t>
      </w:r>
      <w:r w:rsidR="00F51ACF">
        <w:rPr>
          <w:rFonts w:ascii="宋体" w:eastAsia="宋体" w:hAnsi="宋体" w:hint="eastAsia"/>
          <w:sz w:val="24"/>
          <w:szCs w:val="24"/>
        </w:rPr>
        <w:t>及</w:t>
      </w:r>
      <w:r w:rsidR="00F51ACF" w:rsidRPr="00491803">
        <w:rPr>
          <w:rFonts w:ascii="宋体" w:eastAsia="宋体" w:hAnsi="宋体"/>
          <w:sz w:val="24"/>
          <w:szCs w:val="24"/>
        </w:rPr>
        <w:t>保荐机构华安证券股份有限公司（以下简称“</w:t>
      </w:r>
      <w:r w:rsidR="00F51ACF" w:rsidRPr="00491803">
        <w:rPr>
          <w:rFonts w:ascii="宋体" w:eastAsia="宋体" w:hAnsi="宋体" w:hint="eastAsia"/>
          <w:sz w:val="24"/>
          <w:szCs w:val="24"/>
        </w:rPr>
        <w:t>华安</w:t>
      </w:r>
      <w:r w:rsidR="00F51ACF" w:rsidRPr="00491803">
        <w:rPr>
          <w:rFonts w:ascii="宋体" w:eastAsia="宋体" w:hAnsi="宋体"/>
          <w:sz w:val="24"/>
          <w:szCs w:val="24"/>
        </w:rPr>
        <w:t>证券”）</w:t>
      </w:r>
      <w:r w:rsidR="00F51ACF">
        <w:rPr>
          <w:rFonts w:ascii="宋体" w:eastAsia="宋体" w:hAnsi="宋体"/>
          <w:sz w:val="24"/>
          <w:szCs w:val="24"/>
        </w:rPr>
        <w:t>分别与</w:t>
      </w:r>
      <w:r w:rsidR="00F51ACF">
        <w:rPr>
          <w:rFonts w:ascii="宋体" w:eastAsia="宋体" w:hAnsi="宋体" w:hint="eastAsia"/>
          <w:sz w:val="24"/>
          <w:szCs w:val="24"/>
        </w:rPr>
        <w:t>中国工商银行股份</w:t>
      </w:r>
      <w:r w:rsidR="00F51ACF">
        <w:rPr>
          <w:rFonts w:ascii="宋体" w:eastAsia="宋体" w:hAnsi="宋体"/>
          <w:sz w:val="24"/>
          <w:szCs w:val="24"/>
        </w:rPr>
        <w:t>有限公司</w:t>
      </w:r>
      <w:r w:rsidR="00F51ACF">
        <w:rPr>
          <w:rFonts w:ascii="宋体" w:eastAsia="宋体" w:hAnsi="宋体" w:hint="eastAsia"/>
          <w:sz w:val="24"/>
          <w:szCs w:val="24"/>
        </w:rPr>
        <w:t>合肥城建支行</w:t>
      </w:r>
      <w:r w:rsidR="00F51ACF">
        <w:rPr>
          <w:rFonts w:ascii="宋体" w:eastAsia="宋体" w:hAnsi="宋体"/>
          <w:sz w:val="24"/>
          <w:szCs w:val="24"/>
        </w:rPr>
        <w:t>（以下简称“</w:t>
      </w:r>
      <w:r w:rsidR="00F51ACF">
        <w:rPr>
          <w:rFonts w:ascii="宋体" w:eastAsia="宋体" w:hAnsi="宋体" w:hint="eastAsia"/>
          <w:sz w:val="24"/>
          <w:szCs w:val="24"/>
        </w:rPr>
        <w:t>工商</w:t>
      </w:r>
      <w:r w:rsidR="00F51ACF">
        <w:rPr>
          <w:rFonts w:ascii="宋体" w:eastAsia="宋体" w:hAnsi="宋体"/>
          <w:sz w:val="24"/>
          <w:szCs w:val="24"/>
        </w:rPr>
        <w:t>银行”）、</w:t>
      </w:r>
      <w:r w:rsidR="00F51ACF">
        <w:rPr>
          <w:rFonts w:ascii="宋体" w:eastAsia="宋体" w:hAnsi="宋体" w:hint="eastAsia"/>
          <w:sz w:val="24"/>
          <w:szCs w:val="24"/>
        </w:rPr>
        <w:t>中国建设银行股份</w:t>
      </w:r>
      <w:r w:rsidR="00F51ACF">
        <w:rPr>
          <w:rFonts w:ascii="宋体" w:eastAsia="宋体" w:hAnsi="宋体"/>
          <w:sz w:val="24"/>
          <w:szCs w:val="24"/>
        </w:rPr>
        <w:t>有限公司</w:t>
      </w:r>
      <w:r w:rsidR="00F51ACF">
        <w:rPr>
          <w:rFonts w:ascii="宋体" w:eastAsia="宋体" w:hAnsi="宋体" w:hint="eastAsia"/>
          <w:sz w:val="24"/>
          <w:szCs w:val="24"/>
        </w:rPr>
        <w:t>界首支行</w:t>
      </w:r>
      <w:r w:rsidR="00F51ACF">
        <w:rPr>
          <w:rFonts w:ascii="宋体" w:eastAsia="宋体" w:hAnsi="宋体"/>
          <w:sz w:val="24"/>
          <w:szCs w:val="24"/>
        </w:rPr>
        <w:t>（以下简称“</w:t>
      </w:r>
      <w:r w:rsidR="00F51ACF">
        <w:rPr>
          <w:rFonts w:ascii="宋体" w:eastAsia="宋体" w:hAnsi="宋体" w:hint="eastAsia"/>
          <w:sz w:val="24"/>
          <w:szCs w:val="24"/>
        </w:rPr>
        <w:t>建设</w:t>
      </w:r>
      <w:r w:rsidR="00F51ACF">
        <w:rPr>
          <w:rFonts w:ascii="宋体" w:eastAsia="宋体" w:hAnsi="宋体"/>
          <w:sz w:val="24"/>
          <w:szCs w:val="24"/>
        </w:rPr>
        <w:t>银行”）</w:t>
      </w:r>
      <w:r w:rsidR="00F51ACF">
        <w:rPr>
          <w:rFonts w:ascii="宋体" w:eastAsia="宋体" w:hAnsi="宋体" w:hint="eastAsia"/>
          <w:sz w:val="24"/>
          <w:szCs w:val="24"/>
        </w:rPr>
        <w:t>、</w:t>
      </w:r>
      <w:r w:rsidR="00F51ACF" w:rsidRPr="00F51ACF">
        <w:rPr>
          <w:rFonts w:ascii="宋体" w:eastAsia="宋体" w:hAnsi="宋体" w:hint="eastAsia"/>
          <w:sz w:val="24"/>
          <w:szCs w:val="24"/>
        </w:rPr>
        <w:t>杭州银行股份有限公司合肥分行（以下简称“杭州银行”）、渤海银行股份有限公司合肥</w:t>
      </w:r>
      <w:r w:rsidR="00F51ACF" w:rsidRPr="00F51ACF">
        <w:rPr>
          <w:rFonts w:ascii="宋体" w:eastAsia="宋体" w:hAnsi="宋体"/>
          <w:sz w:val="24"/>
          <w:szCs w:val="24"/>
        </w:rPr>
        <w:t>分行</w:t>
      </w:r>
      <w:r w:rsidR="00F51ACF" w:rsidRPr="00F51ACF">
        <w:rPr>
          <w:rFonts w:ascii="宋体" w:eastAsia="宋体" w:hAnsi="宋体" w:hint="eastAsia"/>
          <w:sz w:val="24"/>
          <w:szCs w:val="24"/>
        </w:rPr>
        <w:t>（以下简称“渤海银行”）、上海浦东发展银行股</w:t>
      </w:r>
      <w:r w:rsidR="00F51ACF" w:rsidRPr="00F51ACF">
        <w:rPr>
          <w:rFonts w:ascii="宋体" w:eastAsia="宋体" w:hAnsi="宋体" w:hint="eastAsia"/>
          <w:sz w:val="24"/>
          <w:szCs w:val="24"/>
        </w:rPr>
        <w:lastRenderedPageBreak/>
        <w:t>份有限公司合肥分行（以下简称“浦发银行”）、徽商银行股份有限公司合肥分</w:t>
      </w:r>
      <w:r w:rsidR="00F51ACF" w:rsidRPr="00F51ACF">
        <w:rPr>
          <w:rFonts w:ascii="宋体" w:eastAsia="宋体" w:hAnsi="宋体"/>
          <w:sz w:val="24"/>
          <w:szCs w:val="24"/>
        </w:rPr>
        <w:t>行</w:t>
      </w:r>
      <w:r w:rsidR="00F51ACF" w:rsidRPr="00F51ACF">
        <w:rPr>
          <w:rFonts w:ascii="宋体" w:eastAsia="宋体" w:hAnsi="宋体" w:hint="eastAsia"/>
          <w:sz w:val="24"/>
          <w:szCs w:val="24"/>
        </w:rPr>
        <w:t>（以下简称“徽商银行”）、招商银行股份有限公司合肥</w:t>
      </w:r>
      <w:r w:rsidR="00F51ACF" w:rsidRPr="00F51ACF">
        <w:rPr>
          <w:rFonts w:ascii="宋体" w:eastAsia="宋体" w:hAnsi="宋体"/>
          <w:sz w:val="24"/>
          <w:szCs w:val="24"/>
        </w:rPr>
        <w:t>分行</w:t>
      </w:r>
      <w:r w:rsidR="00F51ACF" w:rsidRPr="00F51ACF">
        <w:rPr>
          <w:rFonts w:ascii="宋体" w:eastAsia="宋体" w:hAnsi="宋体" w:hint="eastAsia"/>
          <w:sz w:val="24"/>
          <w:szCs w:val="24"/>
        </w:rPr>
        <w:t>（以下简称“招商银行”）</w:t>
      </w:r>
      <w:r w:rsidR="005F539B" w:rsidRPr="005F539B">
        <w:rPr>
          <w:rFonts w:ascii="宋体" w:eastAsia="宋体" w:hAnsi="宋体"/>
          <w:sz w:val="24"/>
          <w:szCs w:val="24"/>
        </w:rPr>
        <w:t xml:space="preserve"> </w:t>
      </w:r>
      <w:r w:rsidR="005F539B" w:rsidRPr="00491803">
        <w:rPr>
          <w:rFonts w:ascii="宋体" w:eastAsia="宋体" w:hAnsi="宋体"/>
          <w:sz w:val="24"/>
          <w:szCs w:val="24"/>
        </w:rPr>
        <w:t>签署了《募集资金专户存储三方监</w:t>
      </w:r>
      <w:r w:rsidR="005F539B" w:rsidRPr="00491803">
        <w:rPr>
          <w:rFonts w:ascii="宋体" w:eastAsia="宋体" w:hAnsi="宋体" w:hint="eastAsia"/>
          <w:sz w:val="24"/>
          <w:szCs w:val="24"/>
        </w:rPr>
        <w:t>管协议》</w:t>
      </w:r>
      <w:r w:rsidR="005F539B">
        <w:rPr>
          <w:rFonts w:ascii="宋体" w:eastAsia="宋体" w:hAnsi="宋体" w:hint="eastAsia"/>
          <w:sz w:val="24"/>
          <w:szCs w:val="24"/>
        </w:rPr>
        <w:t>（以下简称“协议”）</w:t>
      </w:r>
      <w:r w:rsidR="00823C04">
        <w:rPr>
          <w:rFonts w:ascii="宋体" w:eastAsia="宋体" w:hAnsi="宋体" w:hint="eastAsia"/>
          <w:sz w:val="24"/>
          <w:szCs w:val="24"/>
        </w:rPr>
        <w:t>。</w:t>
      </w:r>
      <w:r w:rsidRPr="00491803">
        <w:rPr>
          <w:rFonts w:ascii="宋体" w:eastAsia="宋体" w:hAnsi="宋体" w:hint="eastAsia"/>
          <w:sz w:val="24"/>
          <w:szCs w:val="24"/>
        </w:rPr>
        <w:t>上述协议内容与上海证券交易所制订的《募集资金专户存储三方监管协议（范本）》不存在重大差异。</w:t>
      </w:r>
    </w:p>
    <w:p w14:paraId="192E3586" w14:textId="7D936F12" w:rsidR="00491803" w:rsidRDefault="00491803" w:rsidP="00236022">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公司募集资金专户的开立及截至</w:t>
      </w:r>
      <w:r w:rsidRPr="00491803">
        <w:rPr>
          <w:rFonts w:ascii="宋体" w:eastAsia="宋体" w:hAnsi="宋体"/>
          <w:sz w:val="24"/>
          <w:szCs w:val="24"/>
        </w:rPr>
        <w:t>2021年06月</w:t>
      </w:r>
      <w:r w:rsidR="00236022">
        <w:rPr>
          <w:rFonts w:ascii="宋体" w:eastAsia="宋体" w:hAnsi="宋体"/>
          <w:sz w:val="24"/>
          <w:szCs w:val="24"/>
        </w:rPr>
        <w:t>1</w:t>
      </w:r>
      <w:r w:rsidR="00823C04">
        <w:rPr>
          <w:rFonts w:ascii="宋体" w:eastAsia="宋体" w:hAnsi="宋体" w:hint="eastAsia"/>
          <w:sz w:val="24"/>
          <w:szCs w:val="24"/>
        </w:rPr>
        <w:t>7</w:t>
      </w:r>
      <w:r w:rsidRPr="00491803">
        <w:rPr>
          <w:rFonts w:ascii="宋体" w:eastAsia="宋体" w:hAnsi="宋体"/>
          <w:sz w:val="24"/>
          <w:szCs w:val="24"/>
        </w:rPr>
        <w:t>日验资完成时存储情况如下：</w:t>
      </w:r>
    </w:p>
    <w:tbl>
      <w:tblPr>
        <w:tblW w:w="55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56"/>
        <w:gridCol w:w="2410"/>
        <w:gridCol w:w="2406"/>
      </w:tblGrid>
      <w:tr w:rsidR="00823C04" w:rsidRPr="00236022" w14:paraId="7D3ED8F1" w14:textId="77777777" w:rsidTr="00823C04">
        <w:trPr>
          <w:trHeight w:val="358"/>
          <w:tblHeader/>
        </w:trPr>
        <w:tc>
          <w:tcPr>
            <w:tcW w:w="2458" w:type="pct"/>
            <w:shd w:val="clear" w:color="auto" w:fill="auto"/>
            <w:tcMar>
              <w:top w:w="45" w:type="dxa"/>
              <w:left w:w="120" w:type="dxa"/>
              <w:bottom w:w="45" w:type="dxa"/>
              <w:right w:w="120" w:type="dxa"/>
            </w:tcMar>
            <w:vAlign w:val="center"/>
            <w:hideMark/>
          </w:tcPr>
          <w:p w14:paraId="0EE3144B" w14:textId="77777777" w:rsidR="00823C04" w:rsidRPr="00236022" w:rsidRDefault="00823C04" w:rsidP="00236022">
            <w:pPr>
              <w:widowControl/>
              <w:wordWrap w:val="0"/>
              <w:jc w:val="center"/>
              <w:rPr>
                <w:rFonts w:ascii="宋体" w:eastAsia="宋体" w:hAnsi="宋体" w:cs="宋体"/>
                <w:color w:val="333333"/>
                <w:kern w:val="0"/>
                <w:szCs w:val="21"/>
              </w:rPr>
            </w:pPr>
            <w:r w:rsidRPr="00236022">
              <w:rPr>
                <w:rFonts w:ascii="宋体" w:eastAsia="宋体" w:hAnsi="宋体" w:cs="宋体" w:hint="eastAsia"/>
                <w:color w:val="333333"/>
                <w:kern w:val="0"/>
                <w:szCs w:val="21"/>
              </w:rPr>
              <w:t>开户银行名称</w:t>
            </w:r>
          </w:p>
        </w:tc>
        <w:tc>
          <w:tcPr>
            <w:tcW w:w="1272" w:type="pct"/>
            <w:shd w:val="clear" w:color="auto" w:fill="auto"/>
            <w:tcMar>
              <w:top w:w="45" w:type="dxa"/>
              <w:left w:w="120" w:type="dxa"/>
              <w:bottom w:w="45" w:type="dxa"/>
              <w:right w:w="120" w:type="dxa"/>
            </w:tcMar>
            <w:vAlign w:val="center"/>
            <w:hideMark/>
          </w:tcPr>
          <w:p w14:paraId="388E280F" w14:textId="77777777" w:rsidR="00823C04" w:rsidRPr="00236022" w:rsidRDefault="00823C04" w:rsidP="00236022">
            <w:pPr>
              <w:widowControl/>
              <w:wordWrap w:val="0"/>
              <w:jc w:val="center"/>
              <w:rPr>
                <w:rFonts w:ascii="宋体" w:eastAsia="宋体" w:hAnsi="宋体" w:cs="宋体"/>
                <w:color w:val="333333"/>
                <w:kern w:val="0"/>
                <w:szCs w:val="21"/>
              </w:rPr>
            </w:pPr>
            <w:r w:rsidRPr="00236022">
              <w:rPr>
                <w:rFonts w:ascii="宋体" w:eastAsia="宋体" w:hAnsi="宋体" w:cs="宋体" w:hint="eastAsia"/>
                <w:color w:val="333333"/>
                <w:kern w:val="0"/>
                <w:szCs w:val="21"/>
              </w:rPr>
              <w:t>银行账号</w:t>
            </w:r>
          </w:p>
        </w:tc>
        <w:tc>
          <w:tcPr>
            <w:tcW w:w="1270" w:type="pct"/>
            <w:shd w:val="clear" w:color="auto" w:fill="auto"/>
            <w:tcMar>
              <w:top w:w="45" w:type="dxa"/>
              <w:left w:w="120" w:type="dxa"/>
              <w:bottom w:w="45" w:type="dxa"/>
              <w:right w:w="120" w:type="dxa"/>
            </w:tcMar>
            <w:vAlign w:val="center"/>
            <w:hideMark/>
          </w:tcPr>
          <w:p w14:paraId="47233B36" w14:textId="77777777" w:rsidR="00823C04" w:rsidRDefault="00823C04" w:rsidP="00236022">
            <w:pPr>
              <w:widowControl/>
              <w:wordWrap w:val="0"/>
              <w:jc w:val="center"/>
              <w:rPr>
                <w:rFonts w:ascii="宋体" w:eastAsia="宋体" w:hAnsi="宋体" w:cs="宋体"/>
                <w:color w:val="333333"/>
                <w:kern w:val="0"/>
                <w:szCs w:val="21"/>
              </w:rPr>
            </w:pPr>
            <w:r w:rsidRPr="00236022">
              <w:rPr>
                <w:rFonts w:ascii="宋体" w:eastAsia="宋体" w:hAnsi="宋体" w:cs="宋体" w:hint="eastAsia"/>
                <w:color w:val="333333"/>
                <w:kern w:val="0"/>
                <w:szCs w:val="21"/>
              </w:rPr>
              <w:t>账户余额</w:t>
            </w:r>
          </w:p>
          <w:p w14:paraId="40A3A4BC" w14:textId="2DA34EED" w:rsidR="00823C04" w:rsidRPr="00236022" w:rsidRDefault="00823C04" w:rsidP="00236022">
            <w:pPr>
              <w:widowControl/>
              <w:wordWrap w:val="0"/>
              <w:jc w:val="center"/>
              <w:rPr>
                <w:rFonts w:ascii="宋体" w:eastAsia="宋体" w:hAnsi="宋体" w:cs="宋体"/>
                <w:color w:val="333333"/>
                <w:kern w:val="0"/>
                <w:szCs w:val="21"/>
              </w:rPr>
            </w:pPr>
            <w:r w:rsidRPr="00236022">
              <w:rPr>
                <w:rFonts w:ascii="宋体" w:eastAsia="宋体" w:hAnsi="宋体" w:cs="宋体" w:hint="eastAsia"/>
                <w:color w:val="333333"/>
                <w:kern w:val="0"/>
                <w:szCs w:val="21"/>
              </w:rPr>
              <w:t xml:space="preserve"> (人民币/元)</w:t>
            </w:r>
          </w:p>
        </w:tc>
      </w:tr>
      <w:tr w:rsidR="00823C04" w:rsidRPr="00236022" w14:paraId="16D25B3D" w14:textId="77777777" w:rsidTr="00823C04">
        <w:trPr>
          <w:trHeight w:val="358"/>
        </w:trPr>
        <w:tc>
          <w:tcPr>
            <w:tcW w:w="2458" w:type="pct"/>
            <w:shd w:val="clear" w:color="auto" w:fill="auto"/>
            <w:tcMar>
              <w:top w:w="60" w:type="dxa"/>
              <w:left w:w="120" w:type="dxa"/>
              <w:bottom w:w="60" w:type="dxa"/>
              <w:right w:w="60" w:type="dxa"/>
            </w:tcMar>
            <w:vAlign w:val="center"/>
            <w:hideMark/>
          </w:tcPr>
          <w:p w14:paraId="6F159B5F" w14:textId="673FA244"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236022">
              <w:rPr>
                <w:rFonts w:ascii="宋体" w:eastAsia="宋体" w:hAnsi="宋体" w:cs="宋体" w:hint="eastAsia"/>
                <w:color w:val="000000"/>
                <w:kern w:val="0"/>
                <w:szCs w:val="21"/>
              </w:rPr>
              <w:t>中国工商银行股份有限公司合肥城建支行</w:t>
            </w:r>
          </w:p>
        </w:tc>
        <w:tc>
          <w:tcPr>
            <w:tcW w:w="1272" w:type="pct"/>
            <w:shd w:val="clear" w:color="auto" w:fill="auto"/>
            <w:tcMar>
              <w:top w:w="60" w:type="dxa"/>
              <w:left w:w="120" w:type="dxa"/>
              <w:bottom w:w="60" w:type="dxa"/>
              <w:right w:w="60" w:type="dxa"/>
            </w:tcMar>
            <w:vAlign w:val="center"/>
            <w:hideMark/>
          </w:tcPr>
          <w:p w14:paraId="2AF6753D" w14:textId="4D4454FB"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236022">
              <w:rPr>
                <w:rFonts w:ascii="宋体" w:eastAsia="宋体" w:hAnsi="宋体" w:cs="宋体"/>
                <w:color w:val="000000"/>
                <w:kern w:val="0"/>
                <w:szCs w:val="21"/>
              </w:rPr>
              <w:t>1302011729200188247</w:t>
            </w:r>
          </w:p>
        </w:tc>
        <w:tc>
          <w:tcPr>
            <w:tcW w:w="1270" w:type="pct"/>
            <w:shd w:val="clear" w:color="auto" w:fill="auto"/>
            <w:tcMar>
              <w:top w:w="60" w:type="dxa"/>
              <w:left w:w="120" w:type="dxa"/>
              <w:bottom w:w="60" w:type="dxa"/>
              <w:right w:w="60" w:type="dxa"/>
            </w:tcMar>
            <w:vAlign w:val="center"/>
            <w:hideMark/>
          </w:tcPr>
          <w:p w14:paraId="4BFC6406" w14:textId="1CF82E27" w:rsidR="00823C04" w:rsidRPr="00236022" w:rsidRDefault="00823C04" w:rsidP="00823C04">
            <w:pPr>
              <w:widowControl/>
              <w:wordWrap w:val="0"/>
              <w:spacing w:line="330" w:lineRule="atLeast"/>
              <w:jc w:val="right"/>
              <w:rPr>
                <w:rFonts w:ascii="宋体" w:eastAsia="宋体" w:hAnsi="宋体" w:cs="宋体"/>
                <w:color w:val="000000"/>
                <w:kern w:val="0"/>
                <w:szCs w:val="21"/>
              </w:rPr>
            </w:pPr>
            <w:r w:rsidRPr="00236022">
              <w:rPr>
                <w:rFonts w:ascii="宋体" w:eastAsia="宋体" w:hAnsi="宋体" w:cs="宋体"/>
                <w:color w:val="000000"/>
                <w:kern w:val="0"/>
                <w:szCs w:val="21"/>
              </w:rPr>
              <w:t>823,184,746.53</w:t>
            </w:r>
          </w:p>
        </w:tc>
      </w:tr>
      <w:tr w:rsidR="00823C04" w:rsidRPr="00236022" w14:paraId="72CC6C16" w14:textId="77777777" w:rsidTr="00823C04">
        <w:trPr>
          <w:trHeight w:val="358"/>
        </w:trPr>
        <w:tc>
          <w:tcPr>
            <w:tcW w:w="2458" w:type="pct"/>
            <w:shd w:val="clear" w:color="auto" w:fill="auto"/>
            <w:tcMar>
              <w:top w:w="60" w:type="dxa"/>
              <w:left w:w="120" w:type="dxa"/>
              <w:bottom w:w="60" w:type="dxa"/>
              <w:right w:w="60" w:type="dxa"/>
            </w:tcMar>
            <w:vAlign w:val="center"/>
            <w:hideMark/>
          </w:tcPr>
          <w:p w14:paraId="1F02ED9B" w14:textId="2136D568"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236022">
              <w:rPr>
                <w:rFonts w:ascii="宋体" w:eastAsia="宋体" w:hAnsi="宋体" w:cs="宋体" w:hint="eastAsia"/>
                <w:color w:val="000000"/>
                <w:kern w:val="0"/>
                <w:szCs w:val="21"/>
              </w:rPr>
              <w:t>中国建设银行股份有限公司界首支行</w:t>
            </w:r>
          </w:p>
        </w:tc>
        <w:tc>
          <w:tcPr>
            <w:tcW w:w="1272" w:type="pct"/>
            <w:shd w:val="clear" w:color="auto" w:fill="auto"/>
            <w:tcMar>
              <w:top w:w="60" w:type="dxa"/>
              <w:left w:w="120" w:type="dxa"/>
              <w:bottom w:w="60" w:type="dxa"/>
              <w:right w:w="60" w:type="dxa"/>
            </w:tcMar>
            <w:vAlign w:val="center"/>
            <w:hideMark/>
          </w:tcPr>
          <w:p w14:paraId="4E6220DC" w14:textId="08E43B1E"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236022">
              <w:rPr>
                <w:rFonts w:ascii="宋体" w:eastAsia="宋体" w:hAnsi="宋体" w:cs="宋体"/>
                <w:color w:val="000000"/>
                <w:kern w:val="0"/>
                <w:szCs w:val="21"/>
              </w:rPr>
              <w:t>34050171190800002449</w:t>
            </w:r>
          </w:p>
        </w:tc>
        <w:tc>
          <w:tcPr>
            <w:tcW w:w="1270" w:type="pct"/>
            <w:shd w:val="clear" w:color="auto" w:fill="auto"/>
            <w:tcMar>
              <w:top w:w="60" w:type="dxa"/>
              <w:left w:w="120" w:type="dxa"/>
              <w:bottom w:w="60" w:type="dxa"/>
              <w:right w:w="60" w:type="dxa"/>
            </w:tcMar>
            <w:vAlign w:val="center"/>
            <w:hideMark/>
          </w:tcPr>
          <w:p w14:paraId="259371B0" w14:textId="393A2427" w:rsidR="00823C04" w:rsidRPr="00236022" w:rsidRDefault="00823C04" w:rsidP="00823C04">
            <w:pPr>
              <w:widowControl/>
              <w:wordWrap w:val="0"/>
              <w:spacing w:line="330" w:lineRule="atLeast"/>
              <w:jc w:val="right"/>
              <w:rPr>
                <w:rFonts w:ascii="宋体" w:eastAsia="宋体" w:hAnsi="宋体" w:cs="宋体"/>
                <w:color w:val="000000"/>
                <w:kern w:val="0"/>
                <w:szCs w:val="21"/>
              </w:rPr>
            </w:pPr>
            <w:r w:rsidRPr="00236022">
              <w:rPr>
                <w:rFonts w:ascii="宋体" w:eastAsia="宋体" w:hAnsi="宋体" w:cs="宋体"/>
                <w:color w:val="000000"/>
                <w:kern w:val="0"/>
                <w:szCs w:val="21"/>
              </w:rPr>
              <w:t>40,000,000.00</w:t>
            </w:r>
          </w:p>
        </w:tc>
      </w:tr>
      <w:tr w:rsidR="00823C04" w:rsidRPr="00236022" w14:paraId="0644D523" w14:textId="77777777" w:rsidTr="00823C04">
        <w:trPr>
          <w:trHeight w:val="358"/>
        </w:trPr>
        <w:tc>
          <w:tcPr>
            <w:tcW w:w="2458" w:type="pct"/>
            <w:shd w:val="clear" w:color="auto" w:fill="auto"/>
            <w:tcMar>
              <w:top w:w="60" w:type="dxa"/>
              <w:left w:w="120" w:type="dxa"/>
              <w:bottom w:w="60" w:type="dxa"/>
              <w:right w:w="60" w:type="dxa"/>
            </w:tcMar>
            <w:vAlign w:val="center"/>
          </w:tcPr>
          <w:p w14:paraId="3955376A" w14:textId="25E3D5F2"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杭州银行股份有限公司合肥分行</w:t>
            </w:r>
          </w:p>
        </w:tc>
        <w:tc>
          <w:tcPr>
            <w:tcW w:w="1272" w:type="pct"/>
            <w:shd w:val="clear" w:color="auto" w:fill="auto"/>
            <w:tcMar>
              <w:top w:w="60" w:type="dxa"/>
              <w:left w:w="120" w:type="dxa"/>
              <w:bottom w:w="60" w:type="dxa"/>
              <w:right w:w="60" w:type="dxa"/>
            </w:tcMar>
            <w:vAlign w:val="center"/>
          </w:tcPr>
          <w:p w14:paraId="153BC1FD" w14:textId="30937DDB"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3401040160001016238</w:t>
            </w:r>
          </w:p>
        </w:tc>
        <w:tc>
          <w:tcPr>
            <w:tcW w:w="1270" w:type="pct"/>
            <w:shd w:val="clear" w:color="auto" w:fill="auto"/>
            <w:tcMar>
              <w:top w:w="60" w:type="dxa"/>
              <w:left w:w="120" w:type="dxa"/>
              <w:bottom w:w="60" w:type="dxa"/>
              <w:right w:w="60" w:type="dxa"/>
            </w:tcMar>
            <w:vAlign w:val="center"/>
          </w:tcPr>
          <w:p w14:paraId="308DD0A4" w14:textId="1DC56F1B" w:rsidR="00823C04" w:rsidRPr="00236022" w:rsidRDefault="00823C04" w:rsidP="00823C04">
            <w:pPr>
              <w:widowControl/>
              <w:wordWrap w:val="0"/>
              <w:spacing w:line="330" w:lineRule="atLeast"/>
              <w:jc w:val="right"/>
              <w:rPr>
                <w:rFonts w:ascii="宋体" w:eastAsia="宋体" w:hAnsi="宋体" w:cs="宋体"/>
                <w:color w:val="000000"/>
                <w:kern w:val="0"/>
                <w:szCs w:val="21"/>
              </w:rPr>
            </w:pPr>
            <w:r>
              <w:rPr>
                <w:rFonts w:ascii="宋体" w:eastAsia="宋体" w:hAnsi="宋体" w:cs="宋体" w:hint="eastAsia"/>
                <w:color w:val="000000"/>
                <w:kern w:val="0"/>
                <w:szCs w:val="21"/>
              </w:rPr>
              <w:t>0</w:t>
            </w:r>
          </w:p>
        </w:tc>
      </w:tr>
      <w:tr w:rsidR="00823C04" w:rsidRPr="00236022" w14:paraId="33C4A2B1" w14:textId="77777777" w:rsidTr="00823C04">
        <w:trPr>
          <w:trHeight w:val="358"/>
        </w:trPr>
        <w:tc>
          <w:tcPr>
            <w:tcW w:w="2458" w:type="pct"/>
            <w:shd w:val="clear" w:color="auto" w:fill="auto"/>
            <w:tcMar>
              <w:top w:w="60" w:type="dxa"/>
              <w:left w:w="120" w:type="dxa"/>
              <w:bottom w:w="60" w:type="dxa"/>
              <w:right w:w="60" w:type="dxa"/>
            </w:tcMar>
            <w:vAlign w:val="center"/>
          </w:tcPr>
          <w:p w14:paraId="19B143C2" w14:textId="25500557"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渤海银行股份有限公司合肥分行</w:t>
            </w:r>
          </w:p>
        </w:tc>
        <w:tc>
          <w:tcPr>
            <w:tcW w:w="1272" w:type="pct"/>
            <w:shd w:val="clear" w:color="auto" w:fill="auto"/>
            <w:tcMar>
              <w:top w:w="60" w:type="dxa"/>
              <w:left w:w="120" w:type="dxa"/>
              <w:bottom w:w="60" w:type="dxa"/>
              <w:right w:w="60" w:type="dxa"/>
            </w:tcMar>
            <w:vAlign w:val="center"/>
          </w:tcPr>
          <w:p w14:paraId="40812B1D" w14:textId="09E998BA"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2010789704000198</w:t>
            </w:r>
          </w:p>
        </w:tc>
        <w:tc>
          <w:tcPr>
            <w:tcW w:w="1270" w:type="pct"/>
            <w:shd w:val="clear" w:color="auto" w:fill="auto"/>
            <w:tcMar>
              <w:top w:w="60" w:type="dxa"/>
              <w:left w:w="120" w:type="dxa"/>
              <w:bottom w:w="60" w:type="dxa"/>
              <w:right w:w="60" w:type="dxa"/>
            </w:tcMar>
            <w:vAlign w:val="center"/>
          </w:tcPr>
          <w:p w14:paraId="365FD5DF" w14:textId="3A442FBB" w:rsidR="00823C04" w:rsidRPr="00236022" w:rsidRDefault="00823C04" w:rsidP="00823C04">
            <w:pPr>
              <w:widowControl/>
              <w:wordWrap w:val="0"/>
              <w:spacing w:line="330" w:lineRule="atLeast"/>
              <w:jc w:val="right"/>
              <w:rPr>
                <w:rFonts w:ascii="宋体" w:eastAsia="宋体" w:hAnsi="宋体" w:cs="宋体"/>
                <w:color w:val="000000"/>
                <w:kern w:val="0"/>
                <w:szCs w:val="21"/>
              </w:rPr>
            </w:pPr>
            <w:r>
              <w:rPr>
                <w:rFonts w:ascii="宋体" w:eastAsia="宋体" w:hAnsi="宋体" w:cs="宋体" w:hint="eastAsia"/>
                <w:color w:val="000000"/>
                <w:kern w:val="0"/>
                <w:szCs w:val="21"/>
              </w:rPr>
              <w:t>0</w:t>
            </w:r>
          </w:p>
        </w:tc>
      </w:tr>
      <w:tr w:rsidR="00823C04" w:rsidRPr="00236022" w14:paraId="13764557" w14:textId="77777777" w:rsidTr="00823C04">
        <w:trPr>
          <w:trHeight w:val="358"/>
        </w:trPr>
        <w:tc>
          <w:tcPr>
            <w:tcW w:w="2458" w:type="pct"/>
            <w:shd w:val="clear" w:color="auto" w:fill="auto"/>
            <w:tcMar>
              <w:top w:w="60" w:type="dxa"/>
              <w:left w:w="120" w:type="dxa"/>
              <w:bottom w:w="60" w:type="dxa"/>
              <w:right w:w="60" w:type="dxa"/>
            </w:tcMar>
            <w:vAlign w:val="center"/>
          </w:tcPr>
          <w:p w14:paraId="091581AC" w14:textId="6194BAEF"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上海浦东发展银行股份有限公司合肥分行</w:t>
            </w:r>
          </w:p>
        </w:tc>
        <w:tc>
          <w:tcPr>
            <w:tcW w:w="1272" w:type="pct"/>
            <w:shd w:val="clear" w:color="auto" w:fill="auto"/>
            <w:tcMar>
              <w:top w:w="60" w:type="dxa"/>
              <w:left w:w="120" w:type="dxa"/>
              <w:bottom w:w="60" w:type="dxa"/>
              <w:right w:w="60" w:type="dxa"/>
            </w:tcMar>
            <w:vAlign w:val="center"/>
          </w:tcPr>
          <w:p w14:paraId="191C4DAC" w14:textId="21D458D7"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58080078801800000859</w:t>
            </w:r>
          </w:p>
        </w:tc>
        <w:tc>
          <w:tcPr>
            <w:tcW w:w="1270" w:type="pct"/>
            <w:shd w:val="clear" w:color="auto" w:fill="auto"/>
            <w:tcMar>
              <w:top w:w="60" w:type="dxa"/>
              <w:left w:w="120" w:type="dxa"/>
              <w:bottom w:w="60" w:type="dxa"/>
              <w:right w:w="60" w:type="dxa"/>
            </w:tcMar>
            <w:vAlign w:val="center"/>
          </w:tcPr>
          <w:p w14:paraId="6DDC7D13" w14:textId="64E7F95D" w:rsidR="00823C04" w:rsidRPr="00236022" w:rsidRDefault="00823C04" w:rsidP="00823C04">
            <w:pPr>
              <w:widowControl/>
              <w:wordWrap w:val="0"/>
              <w:spacing w:line="330" w:lineRule="atLeast"/>
              <w:jc w:val="right"/>
              <w:rPr>
                <w:rFonts w:ascii="宋体" w:eastAsia="宋体" w:hAnsi="宋体" w:cs="宋体"/>
                <w:color w:val="000000"/>
                <w:kern w:val="0"/>
                <w:szCs w:val="21"/>
              </w:rPr>
            </w:pPr>
            <w:r>
              <w:rPr>
                <w:rFonts w:ascii="宋体" w:eastAsia="宋体" w:hAnsi="宋体" w:cs="宋体" w:hint="eastAsia"/>
                <w:color w:val="000000"/>
                <w:kern w:val="0"/>
                <w:szCs w:val="21"/>
              </w:rPr>
              <w:t>0</w:t>
            </w:r>
          </w:p>
        </w:tc>
      </w:tr>
      <w:tr w:rsidR="00823C04" w:rsidRPr="00236022" w14:paraId="2329F91D" w14:textId="77777777" w:rsidTr="00823C04">
        <w:trPr>
          <w:trHeight w:val="358"/>
        </w:trPr>
        <w:tc>
          <w:tcPr>
            <w:tcW w:w="2458" w:type="pct"/>
            <w:shd w:val="clear" w:color="auto" w:fill="auto"/>
            <w:tcMar>
              <w:top w:w="60" w:type="dxa"/>
              <w:left w:w="120" w:type="dxa"/>
              <w:bottom w:w="60" w:type="dxa"/>
              <w:right w:w="60" w:type="dxa"/>
            </w:tcMar>
            <w:vAlign w:val="center"/>
          </w:tcPr>
          <w:p w14:paraId="3B4ED5A6" w14:textId="6A60E6CD"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徽商银行股份有限公司合肥分行</w:t>
            </w:r>
          </w:p>
        </w:tc>
        <w:tc>
          <w:tcPr>
            <w:tcW w:w="1272" w:type="pct"/>
            <w:shd w:val="clear" w:color="auto" w:fill="auto"/>
            <w:tcMar>
              <w:top w:w="60" w:type="dxa"/>
              <w:left w:w="120" w:type="dxa"/>
              <w:bottom w:w="60" w:type="dxa"/>
              <w:right w:w="60" w:type="dxa"/>
            </w:tcMar>
            <w:vAlign w:val="center"/>
          </w:tcPr>
          <w:p w14:paraId="5A67203D" w14:textId="2283373E"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520501603531000234</w:t>
            </w:r>
          </w:p>
        </w:tc>
        <w:tc>
          <w:tcPr>
            <w:tcW w:w="1270" w:type="pct"/>
            <w:shd w:val="clear" w:color="auto" w:fill="auto"/>
            <w:tcMar>
              <w:top w:w="60" w:type="dxa"/>
              <w:left w:w="120" w:type="dxa"/>
              <w:bottom w:w="60" w:type="dxa"/>
              <w:right w:w="60" w:type="dxa"/>
            </w:tcMar>
            <w:vAlign w:val="center"/>
          </w:tcPr>
          <w:p w14:paraId="414CA352" w14:textId="32565C39" w:rsidR="00823C04" w:rsidRPr="00236022" w:rsidRDefault="00823C04" w:rsidP="00823C04">
            <w:pPr>
              <w:widowControl/>
              <w:wordWrap w:val="0"/>
              <w:spacing w:line="330" w:lineRule="atLeast"/>
              <w:jc w:val="right"/>
              <w:rPr>
                <w:rFonts w:ascii="宋体" w:eastAsia="宋体" w:hAnsi="宋体" w:cs="宋体"/>
                <w:color w:val="000000"/>
                <w:kern w:val="0"/>
                <w:szCs w:val="21"/>
              </w:rPr>
            </w:pPr>
            <w:r>
              <w:rPr>
                <w:rFonts w:ascii="宋体" w:eastAsia="宋体" w:hAnsi="宋体" w:cs="宋体" w:hint="eastAsia"/>
                <w:color w:val="000000"/>
                <w:kern w:val="0"/>
                <w:szCs w:val="21"/>
              </w:rPr>
              <w:t>0</w:t>
            </w:r>
          </w:p>
        </w:tc>
      </w:tr>
      <w:tr w:rsidR="00823C04" w:rsidRPr="00236022" w14:paraId="72DAF6E0" w14:textId="77777777" w:rsidTr="00823C04">
        <w:trPr>
          <w:trHeight w:val="358"/>
        </w:trPr>
        <w:tc>
          <w:tcPr>
            <w:tcW w:w="2458" w:type="pct"/>
            <w:shd w:val="clear" w:color="auto" w:fill="auto"/>
            <w:tcMar>
              <w:top w:w="60" w:type="dxa"/>
              <w:left w:w="120" w:type="dxa"/>
              <w:bottom w:w="60" w:type="dxa"/>
              <w:right w:w="60" w:type="dxa"/>
            </w:tcMar>
            <w:vAlign w:val="center"/>
          </w:tcPr>
          <w:p w14:paraId="2B5418F3" w14:textId="1EEB072A"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招商银行股份有限公司合肥分行</w:t>
            </w:r>
          </w:p>
        </w:tc>
        <w:tc>
          <w:tcPr>
            <w:tcW w:w="1272" w:type="pct"/>
            <w:shd w:val="clear" w:color="auto" w:fill="auto"/>
            <w:tcMar>
              <w:top w:w="60" w:type="dxa"/>
              <w:left w:w="120" w:type="dxa"/>
              <w:bottom w:w="60" w:type="dxa"/>
              <w:right w:w="60" w:type="dxa"/>
            </w:tcMar>
            <w:vAlign w:val="center"/>
          </w:tcPr>
          <w:p w14:paraId="544DDE12" w14:textId="397E8E3B" w:rsidR="00823C04" w:rsidRPr="00236022" w:rsidRDefault="00823C04" w:rsidP="00236022">
            <w:pPr>
              <w:widowControl/>
              <w:wordWrap w:val="0"/>
              <w:spacing w:line="330" w:lineRule="atLeast"/>
              <w:jc w:val="left"/>
              <w:rPr>
                <w:rFonts w:ascii="宋体" w:eastAsia="宋体" w:hAnsi="宋体" w:cs="宋体"/>
                <w:color w:val="000000"/>
                <w:kern w:val="0"/>
                <w:szCs w:val="21"/>
              </w:rPr>
            </w:pPr>
            <w:r w:rsidRPr="00823C04">
              <w:rPr>
                <w:rFonts w:ascii="宋体" w:eastAsia="宋体" w:hAnsi="宋体" w:cs="宋体" w:hint="eastAsia"/>
                <w:color w:val="000000"/>
                <w:kern w:val="0"/>
                <w:szCs w:val="21"/>
              </w:rPr>
              <w:t>551900016010506</w:t>
            </w:r>
          </w:p>
        </w:tc>
        <w:tc>
          <w:tcPr>
            <w:tcW w:w="1270" w:type="pct"/>
            <w:shd w:val="clear" w:color="auto" w:fill="auto"/>
            <w:tcMar>
              <w:top w:w="60" w:type="dxa"/>
              <w:left w:w="120" w:type="dxa"/>
              <w:bottom w:w="60" w:type="dxa"/>
              <w:right w:w="60" w:type="dxa"/>
            </w:tcMar>
            <w:vAlign w:val="center"/>
          </w:tcPr>
          <w:p w14:paraId="4A4D306E" w14:textId="361CBEB7" w:rsidR="00823C04" w:rsidRPr="00236022" w:rsidRDefault="00823C04" w:rsidP="00823C04">
            <w:pPr>
              <w:widowControl/>
              <w:wordWrap w:val="0"/>
              <w:spacing w:line="330" w:lineRule="atLeast"/>
              <w:jc w:val="right"/>
              <w:rPr>
                <w:rFonts w:ascii="宋体" w:eastAsia="宋体" w:hAnsi="宋体" w:cs="宋体"/>
                <w:color w:val="000000"/>
                <w:kern w:val="0"/>
                <w:szCs w:val="21"/>
              </w:rPr>
            </w:pPr>
            <w:r>
              <w:rPr>
                <w:rFonts w:ascii="宋体" w:eastAsia="宋体" w:hAnsi="宋体" w:cs="宋体" w:hint="eastAsia"/>
                <w:color w:val="000000"/>
                <w:kern w:val="0"/>
                <w:szCs w:val="21"/>
              </w:rPr>
              <w:t>0</w:t>
            </w:r>
          </w:p>
        </w:tc>
      </w:tr>
      <w:tr w:rsidR="00823C04" w:rsidRPr="00236022" w14:paraId="43E6127F" w14:textId="77777777" w:rsidTr="00823C04">
        <w:trPr>
          <w:trHeight w:val="358"/>
        </w:trPr>
        <w:tc>
          <w:tcPr>
            <w:tcW w:w="2458" w:type="pct"/>
            <w:shd w:val="clear" w:color="auto" w:fill="auto"/>
            <w:tcMar>
              <w:top w:w="60" w:type="dxa"/>
              <w:left w:w="120" w:type="dxa"/>
              <w:bottom w:w="60" w:type="dxa"/>
              <w:right w:w="60" w:type="dxa"/>
            </w:tcMar>
            <w:vAlign w:val="center"/>
            <w:hideMark/>
          </w:tcPr>
          <w:p w14:paraId="275B7C35" w14:textId="77777777" w:rsidR="00823C04" w:rsidRPr="00823C04" w:rsidRDefault="00823C04" w:rsidP="00823C04">
            <w:pPr>
              <w:widowControl/>
              <w:spacing w:line="330" w:lineRule="atLeast"/>
              <w:jc w:val="center"/>
              <w:rPr>
                <w:rFonts w:ascii="宋体" w:eastAsia="宋体" w:hAnsi="宋体" w:cs="宋体"/>
                <w:b/>
                <w:color w:val="000000"/>
                <w:kern w:val="0"/>
                <w:szCs w:val="21"/>
              </w:rPr>
            </w:pPr>
            <w:r w:rsidRPr="00823C04">
              <w:rPr>
                <w:rFonts w:ascii="宋体" w:eastAsia="宋体" w:hAnsi="宋体" w:cs="宋体" w:hint="eastAsia"/>
                <w:b/>
                <w:color w:val="000000"/>
                <w:kern w:val="0"/>
                <w:szCs w:val="21"/>
              </w:rPr>
              <w:t>合计</w:t>
            </w:r>
          </w:p>
        </w:tc>
        <w:tc>
          <w:tcPr>
            <w:tcW w:w="1272" w:type="pct"/>
            <w:shd w:val="clear" w:color="auto" w:fill="auto"/>
            <w:tcMar>
              <w:top w:w="60" w:type="dxa"/>
              <w:left w:w="120" w:type="dxa"/>
              <w:bottom w:w="60" w:type="dxa"/>
              <w:right w:w="60" w:type="dxa"/>
            </w:tcMar>
            <w:vAlign w:val="center"/>
            <w:hideMark/>
          </w:tcPr>
          <w:p w14:paraId="7BB8CC9A" w14:textId="77777777" w:rsidR="00823C04" w:rsidRPr="00823C04" w:rsidRDefault="00823C04" w:rsidP="00236022">
            <w:pPr>
              <w:widowControl/>
              <w:wordWrap w:val="0"/>
              <w:spacing w:line="330" w:lineRule="atLeast"/>
              <w:jc w:val="left"/>
              <w:rPr>
                <w:rFonts w:ascii="宋体" w:eastAsia="宋体" w:hAnsi="宋体" w:cs="宋体"/>
                <w:b/>
                <w:color w:val="000000"/>
                <w:kern w:val="0"/>
                <w:szCs w:val="21"/>
              </w:rPr>
            </w:pPr>
          </w:p>
        </w:tc>
        <w:tc>
          <w:tcPr>
            <w:tcW w:w="1270" w:type="pct"/>
            <w:shd w:val="clear" w:color="auto" w:fill="auto"/>
            <w:tcMar>
              <w:top w:w="60" w:type="dxa"/>
              <w:left w:w="120" w:type="dxa"/>
              <w:bottom w:w="60" w:type="dxa"/>
              <w:right w:w="60" w:type="dxa"/>
            </w:tcMar>
            <w:vAlign w:val="center"/>
            <w:hideMark/>
          </w:tcPr>
          <w:p w14:paraId="7B8E177E" w14:textId="5AA28DB7" w:rsidR="00823C04" w:rsidRPr="00823C04" w:rsidRDefault="00823C04" w:rsidP="00823C04">
            <w:pPr>
              <w:widowControl/>
              <w:wordWrap w:val="0"/>
              <w:spacing w:line="330" w:lineRule="atLeast"/>
              <w:jc w:val="right"/>
              <w:rPr>
                <w:rFonts w:ascii="宋体" w:eastAsia="宋体" w:hAnsi="宋体" w:cs="宋体"/>
                <w:b/>
                <w:color w:val="000000"/>
                <w:kern w:val="0"/>
                <w:szCs w:val="21"/>
              </w:rPr>
            </w:pPr>
            <w:r w:rsidRPr="00823C04">
              <w:rPr>
                <w:rFonts w:ascii="宋体" w:eastAsia="宋体" w:hAnsi="宋体" w:cs="宋体"/>
                <w:b/>
                <w:color w:val="000000"/>
                <w:kern w:val="0"/>
                <w:szCs w:val="21"/>
              </w:rPr>
              <w:t>863,184,746.53</w:t>
            </w:r>
          </w:p>
        </w:tc>
      </w:tr>
    </w:tbl>
    <w:p w14:paraId="371E1272" w14:textId="534398AA" w:rsidR="00864156" w:rsidRPr="00864156" w:rsidRDefault="00864156" w:rsidP="00864156">
      <w:pPr>
        <w:spacing w:line="276" w:lineRule="auto"/>
        <w:ind w:firstLineChars="200" w:firstLine="420"/>
        <w:rPr>
          <w:rFonts w:ascii="宋体" w:eastAsia="宋体" w:hAnsi="宋体"/>
          <w:szCs w:val="21"/>
        </w:rPr>
      </w:pPr>
      <w:r w:rsidRPr="00864156">
        <w:rPr>
          <w:rFonts w:ascii="宋体" w:eastAsia="宋体" w:hAnsi="宋体"/>
          <w:szCs w:val="21"/>
        </w:rPr>
        <w:t>注：</w:t>
      </w:r>
      <w:r w:rsidRPr="00864156">
        <w:rPr>
          <w:rFonts w:ascii="宋体" w:eastAsia="宋体" w:hAnsi="宋体" w:hint="eastAsia"/>
          <w:szCs w:val="21"/>
        </w:rPr>
        <w:t>1、</w:t>
      </w:r>
      <w:r w:rsidRPr="00864156">
        <w:rPr>
          <w:rFonts w:ascii="宋体" w:eastAsia="宋体" w:hAnsi="宋体"/>
          <w:szCs w:val="21"/>
        </w:rPr>
        <w:t>表中募集资金专户存储金额包括部分尚未支付的发行费用</w:t>
      </w:r>
      <w:r w:rsidRPr="00864156">
        <w:rPr>
          <w:rFonts w:ascii="宋体" w:eastAsia="宋体" w:hAnsi="宋体" w:hint="eastAsia"/>
          <w:szCs w:val="21"/>
        </w:rPr>
        <w:t>；</w:t>
      </w:r>
    </w:p>
    <w:p w14:paraId="634490B1" w14:textId="6A146534" w:rsidR="00864156" w:rsidRPr="00864156" w:rsidRDefault="00864156" w:rsidP="00864156">
      <w:pPr>
        <w:spacing w:line="276" w:lineRule="auto"/>
        <w:ind w:firstLineChars="200" w:firstLine="420"/>
        <w:rPr>
          <w:rFonts w:ascii="宋体" w:eastAsia="宋体" w:hAnsi="宋体"/>
          <w:szCs w:val="21"/>
        </w:rPr>
      </w:pPr>
      <w:r w:rsidRPr="00864156">
        <w:rPr>
          <w:rFonts w:ascii="宋体" w:eastAsia="宋体" w:hAnsi="宋体" w:hint="eastAsia"/>
          <w:szCs w:val="21"/>
        </w:rPr>
        <w:t>2、为便于验资相关工作，募集资金在验资阶段集中存放于工商银行和建设银行，验资结束后将根据募集资金用途和使用计划分别存放于上述相应银行账户</w:t>
      </w:r>
      <w:r w:rsidR="00E933B3">
        <w:rPr>
          <w:rFonts w:ascii="宋体" w:eastAsia="宋体" w:hAnsi="宋体" w:hint="eastAsia"/>
          <w:szCs w:val="21"/>
        </w:rPr>
        <w:t>。</w:t>
      </w:r>
    </w:p>
    <w:p w14:paraId="1BAA2B3C" w14:textId="74E00C75" w:rsidR="00491803" w:rsidRPr="00864156" w:rsidRDefault="00491803" w:rsidP="00864156">
      <w:pPr>
        <w:pStyle w:val="a3"/>
        <w:numPr>
          <w:ilvl w:val="0"/>
          <w:numId w:val="1"/>
        </w:numPr>
        <w:spacing w:beforeLines="50" w:before="156" w:afterLines="50" w:after="156"/>
        <w:ind w:left="482" w:firstLineChars="0" w:hanging="482"/>
        <w:rPr>
          <w:rFonts w:ascii="宋体" w:eastAsia="宋体" w:hAnsi="宋体"/>
          <w:b/>
          <w:sz w:val="24"/>
          <w:szCs w:val="24"/>
        </w:rPr>
      </w:pPr>
      <w:r w:rsidRPr="00864156">
        <w:rPr>
          <w:rFonts w:ascii="宋体" w:eastAsia="宋体" w:hAnsi="宋体" w:hint="eastAsia"/>
          <w:b/>
          <w:sz w:val="24"/>
          <w:szCs w:val="24"/>
        </w:rPr>
        <w:t>《募集资金专户存储三方监管协议》的主要内容</w:t>
      </w:r>
    </w:p>
    <w:p w14:paraId="6A49616E" w14:textId="0912A052"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《募集资金三方监管协议》主要内容如下：</w:t>
      </w:r>
    </w:p>
    <w:p w14:paraId="50DEFACC" w14:textId="08555BDB"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1、</w:t>
      </w:r>
      <w:r w:rsidR="001F27E7" w:rsidRPr="001F27E7">
        <w:rPr>
          <w:rFonts w:ascii="宋体" w:eastAsia="宋体" w:hAnsi="宋体" w:hint="eastAsia"/>
          <w:sz w:val="24"/>
          <w:szCs w:val="24"/>
        </w:rPr>
        <w:t>公司在上述银行</w:t>
      </w:r>
      <w:r w:rsidRPr="00491803">
        <w:rPr>
          <w:rFonts w:ascii="宋体" w:eastAsia="宋体" w:hAnsi="宋体"/>
          <w:sz w:val="24"/>
          <w:szCs w:val="24"/>
        </w:rPr>
        <w:t>开设募集资金专项账户（以下简称“专户”），该专户募集资金仅用于</w:t>
      </w:r>
      <w:r w:rsidR="00D85FEB" w:rsidRPr="00D85FEB">
        <w:rPr>
          <w:rFonts w:ascii="宋体" w:eastAsia="宋体" w:hAnsi="宋体" w:hint="eastAsia"/>
          <w:sz w:val="24"/>
          <w:szCs w:val="24"/>
        </w:rPr>
        <w:t>界首市美丽乡村建设整市推进</w:t>
      </w:r>
      <w:r w:rsidR="00D85FEB" w:rsidRPr="00D85FEB">
        <w:rPr>
          <w:rFonts w:ascii="宋体" w:eastAsia="宋体" w:hAnsi="宋体"/>
          <w:sz w:val="24"/>
          <w:szCs w:val="24"/>
        </w:rPr>
        <w:t>PPP项目及偿还银行贷款</w:t>
      </w:r>
      <w:r w:rsidRPr="00491803">
        <w:rPr>
          <w:rFonts w:ascii="宋体" w:eastAsia="宋体" w:hAnsi="宋体"/>
          <w:sz w:val="24"/>
          <w:szCs w:val="24"/>
        </w:rPr>
        <w:t>，不得用作其他用途。</w:t>
      </w:r>
    </w:p>
    <w:p w14:paraId="0F1BA959" w14:textId="1CD4D6B0"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2、</w:t>
      </w:r>
      <w:r w:rsidR="001F27E7" w:rsidRPr="001F27E7">
        <w:rPr>
          <w:rFonts w:ascii="宋体" w:eastAsia="宋体" w:hAnsi="宋体" w:hint="eastAsia"/>
          <w:sz w:val="24"/>
          <w:szCs w:val="24"/>
        </w:rPr>
        <w:t>公司与开户银行</w:t>
      </w:r>
      <w:r w:rsidRPr="00491803">
        <w:rPr>
          <w:rFonts w:ascii="宋体" w:eastAsia="宋体" w:hAnsi="宋体"/>
          <w:sz w:val="24"/>
          <w:szCs w:val="24"/>
        </w:rPr>
        <w:t>应当共同遵守《中华人民共和国票据法》、《支付结算办法》、《人民币银行结算账户管理办法》等法律、法规、规章。</w:t>
      </w:r>
    </w:p>
    <w:p w14:paraId="3422A274" w14:textId="6D68E13A"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3、</w:t>
      </w:r>
      <w:r w:rsidR="001F27E7">
        <w:rPr>
          <w:rFonts w:ascii="宋体" w:eastAsia="宋体" w:hAnsi="宋体" w:hint="eastAsia"/>
          <w:sz w:val="24"/>
          <w:szCs w:val="24"/>
        </w:rPr>
        <w:t>华</w:t>
      </w:r>
      <w:r w:rsidR="001F27E7">
        <w:rPr>
          <w:rFonts w:ascii="宋体" w:eastAsia="宋体" w:hAnsi="宋体"/>
          <w:sz w:val="24"/>
          <w:szCs w:val="24"/>
        </w:rPr>
        <w:t>安证券</w:t>
      </w:r>
      <w:r w:rsidRPr="00491803">
        <w:rPr>
          <w:rFonts w:ascii="宋体" w:eastAsia="宋体" w:hAnsi="宋体"/>
          <w:sz w:val="24"/>
          <w:szCs w:val="24"/>
        </w:rPr>
        <w:t>作为</w:t>
      </w:r>
      <w:r w:rsidR="001F27E7">
        <w:rPr>
          <w:rFonts w:ascii="宋体" w:eastAsia="宋体" w:hAnsi="宋体" w:hint="eastAsia"/>
          <w:sz w:val="24"/>
          <w:szCs w:val="24"/>
        </w:rPr>
        <w:t>公司</w:t>
      </w:r>
      <w:r w:rsidRPr="00491803">
        <w:rPr>
          <w:rFonts w:ascii="宋体" w:eastAsia="宋体" w:hAnsi="宋体"/>
          <w:sz w:val="24"/>
          <w:szCs w:val="24"/>
        </w:rPr>
        <w:t>的保荐机构，应当依据有关规定指定保荐代表人或其他工作人员对</w:t>
      </w:r>
      <w:r w:rsidR="001F27E7">
        <w:rPr>
          <w:rFonts w:ascii="宋体" w:eastAsia="宋体" w:hAnsi="宋体"/>
          <w:sz w:val="24"/>
          <w:szCs w:val="24"/>
        </w:rPr>
        <w:t>公司</w:t>
      </w:r>
      <w:r w:rsidRPr="00491803">
        <w:rPr>
          <w:rFonts w:ascii="宋体" w:eastAsia="宋体" w:hAnsi="宋体"/>
          <w:sz w:val="24"/>
          <w:szCs w:val="24"/>
        </w:rPr>
        <w:t>募集资金使用情况进行监督。</w:t>
      </w:r>
    </w:p>
    <w:p w14:paraId="4F50E026" w14:textId="452589F4" w:rsidR="00491803" w:rsidRPr="00491803" w:rsidRDefault="001F27E7" w:rsidP="00D85FEB">
      <w:pPr>
        <w:spacing w:line="360" w:lineRule="auto"/>
        <w:ind w:firstLineChars="200" w:firstLine="480"/>
        <w:rPr>
          <w:rFonts w:ascii="宋体" w:eastAsia="宋体" w:hAnsi="宋体"/>
          <w:sz w:val="24"/>
          <w:szCs w:val="24"/>
        </w:rPr>
      </w:pPr>
      <w:r>
        <w:rPr>
          <w:rFonts w:ascii="宋体" w:eastAsia="宋体" w:hAnsi="宋体" w:hint="eastAsia"/>
          <w:sz w:val="24"/>
          <w:szCs w:val="24"/>
        </w:rPr>
        <w:t>华安证券</w:t>
      </w:r>
      <w:r w:rsidR="00491803" w:rsidRPr="00491803">
        <w:rPr>
          <w:rFonts w:ascii="宋体" w:eastAsia="宋体" w:hAnsi="宋体" w:hint="eastAsia"/>
          <w:sz w:val="24"/>
          <w:szCs w:val="24"/>
        </w:rPr>
        <w:t>应当依据《证券发行上市保荐业务管理办法》、《上海证券交易所上</w:t>
      </w:r>
      <w:r w:rsidR="00491803" w:rsidRPr="00491803">
        <w:rPr>
          <w:rFonts w:ascii="宋体" w:eastAsia="宋体" w:hAnsi="宋体" w:hint="eastAsia"/>
          <w:sz w:val="24"/>
          <w:szCs w:val="24"/>
        </w:rPr>
        <w:lastRenderedPageBreak/>
        <w:t>市公司募集资金管理办法》以及</w:t>
      </w:r>
      <w:r>
        <w:rPr>
          <w:rFonts w:ascii="宋体" w:eastAsia="宋体" w:hAnsi="宋体" w:hint="eastAsia"/>
          <w:sz w:val="24"/>
          <w:szCs w:val="24"/>
        </w:rPr>
        <w:t>公司</w:t>
      </w:r>
      <w:r w:rsidR="00491803" w:rsidRPr="00491803">
        <w:rPr>
          <w:rFonts w:ascii="宋体" w:eastAsia="宋体" w:hAnsi="宋体" w:hint="eastAsia"/>
          <w:sz w:val="24"/>
          <w:szCs w:val="24"/>
        </w:rPr>
        <w:t>制订的募集资金管理制度对</w:t>
      </w:r>
      <w:r>
        <w:rPr>
          <w:rFonts w:ascii="宋体" w:eastAsia="宋体" w:hAnsi="宋体" w:hint="eastAsia"/>
          <w:sz w:val="24"/>
          <w:szCs w:val="24"/>
        </w:rPr>
        <w:t>公司</w:t>
      </w:r>
      <w:r w:rsidR="00491803" w:rsidRPr="00491803">
        <w:rPr>
          <w:rFonts w:ascii="宋体" w:eastAsia="宋体" w:hAnsi="宋体" w:hint="eastAsia"/>
          <w:sz w:val="24"/>
          <w:szCs w:val="24"/>
        </w:rPr>
        <w:t>募集资金管理事</w:t>
      </w:r>
      <w:r w:rsidR="00491803" w:rsidRPr="00491803">
        <w:rPr>
          <w:rFonts w:ascii="宋体" w:eastAsia="宋体" w:hAnsi="宋体"/>
          <w:sz w:val="24"/>
          <w:szCs w:val="24"/>
        </w:rPr>
        <w:t>项履行保荐职责，进行持续督导工作。</w:t>
      </w:r>
    </w:p>
    <w:p w14:paraId="506647F4" w14:textId="3D5041FA" w:rsidR="00491803" w:rsidRPr="00491803" w:rsidRDefault="001F27E7" w:rsidP="00D85FEB">
      <w:pPr>
        <w:spacing w:line="360" w:lineRule="auto"/>
        <w:ind w:firstLineChars="200" w:firstLine="480"/>
        <w:rPr>
          <w:rFonts w:ascii="宋体" w:eastAsia="宋体" w:hAnsi="宋体"/>
          <w:sz w:val="24"/>
          <w:szCs w:val="24"/>
        </w:rPr>
      </w:pPr>
      <w:r>
        <w:rPr>
          <w:rFonts w:ascii="宋体" w:eastAsia="宋体" w:hAnsi="宋体" w:hint="eastAsia"/>
          <w:sz w:val="24"/>
          <w:szCs w:val="24"/>
        </w:rPr>
        <w:t>华安证券</w:t>
      </w:r>
      <w:r w:rsidR="00491803" w:rsidRPr="00491803">
        <w:rPr>
          <w:rFonts w:ascii="宋体" w:eastAsia="宋体" w:hAnsi="宋体" w:hint="eastAsia"/>
          <w:sz w:val="24"/>
          <w:szCs w:val="24"/>
        </w:rPr>
        <w:t>可以采取现场调查、书面问询等方式行使其监督权。</w:t>
      </w:r>
      <w:r>
        <w:rPr>
          <w:rFonts w:ascii="宋体" w:eastAsia="宋体" w:hAnsi="宋体" w:hint="eastAsia"/>
          <w:sz w:val="24"/>
          <w:szCs w:val="24"/>
        </w:rPr>
        <w:t>公司</w:t>
      </w:r>
      <w:r w:rsidR="00491803" w:rsidRPr="00491803">
        <w:rPr>
          <w:rFonts w:ascii="宋体" w:eastAsia="宋体" w:hAnsi="宋体" w:hint="eastAsia"/>
          <w:sz w:val="24"/>
          <w:szCs w:val="24"/>
        </w:rPr>
        <w:t>和</w:t>
      </w:r>
      <w:r>
        <w:rPr>
          <w:rFonts w:ascii="宋体" w:eastAsia="宋体" w:hAnsi="宋体" w:hint="eastAsia"/>
          <w:sz w:val="24"/>
          <w:szCs w:val="24"/>
        </w:rPr>
        <w:t>开户银行</w:t>
      </w:r>
      <w:r w:rsidR="00491803" w:rsidRPr="00491803">
        <w:rPr>
          <w:rFonts w:ascii="宋体" w:eastAsia="宋体" w:hAnsi="宋体" w:hint="eastAsia"/>
          <w:sz w:val="24"/>
          <w:szCs w:val="24"/>
        </w:rPr>
        <w:t>应当配</w:t>
      </w:r>
      <w:r w:rsidR="00491803" w:rsidRPr="00491803">
        <w:rPr>
          <w:rFonts w:ascii="宋体" w:eastAsia="宋体" w:hAnsi="宋体"/>
          <w:sz w:val="24"/>
          <w:szCs w:val="24"/>
        </w:rPr>
        <w:t>合</w:t>
      </w:r>
      <w:r>
        <w:rPr>
          <w:rFonts w:ascii="宋体" w:eastAsia="宋体" w:hAnsi="宋体"/>
          <w:sz w:val="24"/>
          <w:szCs w:val="24"/>
        </w:rPr>
        <w:t>华安证券</w:t>
      </w:r>
      <w:r w:rsidR="00491803" w:rsidRPr="00491803">
        <w:rPr>
          <w:rFonts w:ascii="宋体" w:eastAsia="宋体" w:hAnsi="宋体"/>
          <w:sz w:val="24"/>
          <w:szCs w:val="24"/>
        </w:rPr>
        <w:t>的调查与查询。</w:t>
      </w:r>
      <w:r>
        <w:rPr>
          <w:rFonts w:ascii="宋体" w:eastAsia="宋体" w:hAnsi="宋体"/>
          <w:sz w:val="24"/>
          <w:szCs w:val="24"/>
        </w:rPr>
        <w:t>华安证券</w:t>
      </w:r>
      <w:r w:rsidR="00491803" w:rsidRPr="00491803">
        <w:rPr>
          <w:rFonts w:ascii="宋体" w:eastAsia="宋体" w:hAnsi="宋体"/>
          <w:sz w:val="24"/>
          <w:szCs w:val="24"/>
        </w:rPr>
        <w:t>应当每半年度对</w:t>
      </w:r>
      <w:r>
        <w:rPr>
          <w:rFonts w:ascii="宋体" w:eastAsia="宋体" w:hAnsi="宋体"/>
          <w:sz w:val="24"/>
          <w:szCs w:val="24"/>
        </w:rPr>
        <w:t>公司</w:t>
      </w:r>
      <w:r w:rsidR="00491803" w:rsidRPr="00491803">
        <w:rPr>
          <w:rFonts w:ascii="宋体" w:eastAsia="宋体" w:hAnsi="宋体"/>
          <w:sz w:val="24"/>
          <w:szCs w:val="24"/>
        </w:rPr>
        <w:t>募集资金的存放与使用情况进行一次现场调查。</w:t>
      </w:r>
    </w:p>
    <w:p w14:paraId="6EB273E7" w14:textId="181CDC99"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4、</w:t>
      </w:r>
      <w:r w:rsidR="001F27E7">
        <w:rPr>
          <w:rFonts w:ascii="宋体" w:eastAsia="宋体" w:hAnsi="宋体"/>
          <w:sz w:val="24"/>
          <w:szCs w:val="24"/>
        </w:rPr>
        <w:t>公司</w:t>
      </w:r>
      <w:r w:rsidRPr="00491803">
        <w:rPr>
          <w:rFonts w:ascii="宋体" w:eastAsia="宋体" w:hAnsi="宋体"/>
          <w:sz w:val="24"/>
          <w:szCs w:val="24"/>
        </w:rPr>
        <w:t>授权</w:t>
      </w:r>
      <w:r w:rsidR="001F27E7">
        <w:rPr>
          <w:rFonts w:ascii="宋体" w:eastAsia="宋体" w:hAnsi="宋体"/>
          <w:sz w:val="24"/>
          <w:szCs w:val="24"/>
        </w:rPr>
        <w:t>华安证券</w:t>
      </w:r>
      <w:r w:rsidRPr="00491803">
        <w:rPr>
          <w:rFonts w:ascii="宋体" w:eastAsia="宋体" w:hAnsi="宋体"/>
          <w:sz w:val="24"/>
          <w:szCs w:val="24"/>
        </w:rPr>
        <w:t>指定的保荐代表人</w:t>
      </w:r>
      <w:r w:rsidR="00785FE1">
        <w:rPr>
          <w:rFonts w:ascii="宋体" w:eastAsia="宋体" w:hAnsi="宋体" w:hint="eastAsia"/>
          <w:sz w:val="24"/>
          <w:szCs w:val="24"/>
        </w:rPr>
        <w:t>林斗志</w:t>
      </w:r>
      <w:r w:rsidRPr="00491803">
        <w:rPr>
          <w:rFonts w:ascii="宋体" w:eastAsia="宋体" w:hAnsi="宋体"/>
          <w:sz w:val="24"/>
          <w:szCs w:val="24"/>
        </w:rPr>
        <w:t>、</w:t>
      </w:r>
      <w:r w:rsidR="00785FE1">
        <w:rPr>
          <w:rFonts w:ascii="宋体" w:eastAsia="宋体" w:hAnsi="宋体" w:hint="eastAsia"/>
          <w:sz w:val="24"/>
          <w:szCs w:val="24"/>
        </w:rPr>
        <w:t>李鸷</w:t>
      </w:r>
      <w:r w:rsidRPr="00491803">
        <w:rPr>
          <w:rFonts w:ascii="宋体" w:eastAsia="宋体" w:hAnsi="宋体"/>
          <w:sz w:val="24"/>
          <w:szCs w:val="24"/>
        </w:rPr>
        <w:t>的任何一人</w:t>
      </w:r>
      <w:r w:rsidR="001B4A84">
        <w:rPr>
          <w:rFonts w:ascii="宋体" w:eastAsia="宋体" w:hAnsi="宋体" w:hint="eastAsia"/>
          <w:sz w:val="24"/>
          <w:szCs w:val="24"/>
        </w:rPr>
        <w:t>可以随时</w:t>
      </w:r>
      <w:r w:rsidR="001F27E7" w:rsidRPr="00491803">
        <w:rPr>
          <w:rFonts w:ascii="宋体" w:eastAsia="宋体" w:hAnsi="宋体"/>
          <w:sz w:val="24"/>
          <w:szCs w:val="24"/>
        </w:rPr>
        <w:t>到</w:t>
      </w:r>
      <w:r w:rsidR="001F27E7">
        <w:rPr>
          <w:rFonts w:ascii="宋体" w:eastAsia="宋体" w:hAnsi="宋体"/>
          <w:sz w:val="24"/>
          <w:szCs w:val="24"/>
        </w:rPr>
        <w:t>开户银行</w:t>
      </w:r>
      <w:r w:rsidRPr="00491803">
        <w:rPr>
          <w:rFonts w:ascii="宋体" w:eastAsia="宋体" w:hAnsi="宋体"/>
          <w:sz w:val="24"/>
          <w:szCs w:val="24"/>
        </w:rPr>
        <w:t>查询、复印</w:t>
      </w:r>
      <w:r w:rsidR="001F27E7">
        <w:rPr>
          <w:rFonts w:ascii="宋体" w:eastAsia="宋体" w:hAnsi="宋体"/>
          <w:sz w:val="24"/>
          <w:szCs w:val="24"/>
        </w:rPr>
        <w:t>公司</w:t>
      </w:r>
      <w:r w:rsidRPr="00491803">
        <w:rPr>
          <w:rFonts w:ascii="宋体" w:eastAsia="宋体" w:hAnsi="宋体"/>
          <w:sz w:val="24"/>
          <w:szCs w:val="24"/>
        </w:rPr>
        <w:t>专户的交易资料。</w:t>
      </w:r>
      <w:r w:rsidR="001F27E7">
        <w:rPr>
          <w:rFonts w:ascii="宋体" w:eastAsia="宋体" w:hAnsi="宋体"/>
          <w:sz w:val="24"/>
          <w:szCs w:val="24"/>
        </w:rPr>
        <w:t>开户银行</w:t>
      </w:r>
      <w:r w:rsidRPr="00491803">
        <w:rPr>
          <w:rFonts w:ascii="宋体" w:eastAsia="宋体" w:hAnsi="宋体"/>
          <w:sz w:val="24"/>
          <w:szCs w:val="24"/>
        </w:rPr>
        <w:t>应在对</w:t>
      </w:r>
      <w:r w:rsidR="001F27E7">
        <w:rPr>
          <w:rFonts w:ascii="宋体" w:eastAsia="宋体" w:hAnsi="宋体"/>
          <w:sz w:val="24"/>
          <w:szCs w:val="24"/>
        </w:rPr>
        <w:t>华安证券</w:t>
      </w:r>
      <w:r w:rsidRPr="00491803">
        <w:rPr>
          <w:rFonts w:ascii="宋体" w:eastAsia="宋体" w:hAnsi="宋体"/>
          <w:sz w:val="24"/>
          <w:szCs w:val="24"/>
        </w:rPr>
        <w:t>指定前来查询资料的保荐代表人身份进行核实后及时、准确、完整地向其提供所需的有关专户的交易资料。</w:t>
      </w:r>
    </w:p>
    <w:p w14:paraId="01CCB3E9" w14:textId="02F09F0E"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保荐代表人向</w:t>
      </w:r>
      <w:r w:rsidR="001F27E7">
        <w:rPr>
          <w:rFonts w:ascii="宋体" w:eastAsia="宋体" w:hAnsi="宋体" w:hint="eastAsia"/>
          <w:sz w:val="24"/>
          <w:szCs w:val="24"/>
        </w:rPr>
        <w:t>开户银行</w:t>
      </w:r>
      <w:r w:rsidRPr="00491803">
        <w:rPr>
          <w:rFonts w:ascii="宋体" w:eastAsia="宋体" w:hAnsi="宋体" w:hint="eastAsia"/>
          <w:sz w:val="24"/>
          <w:szCs w:val="24"/>
        </w:rPr>
        <w:t>查询</w:t>
      </w:r>
      <w:r w:rsidR="001F27E7">
        <w:rPr>
          <w:rFonts w:ascii="宋体" w:eastAsia="宋体" w:hAnsi="宋体" w:hint="eastAsia"/>
          <w:sz w:val="24"/>
          <w:szCs w:val="24"/>
        </w:rPr>
        <w:t>公司</w:t>
      </w:r>
      <w:r w:rsidRPr="00491803">
        <w:rPr>
          <w:rFonts w:ascii="宋体" w:eastAsia="宋体" w:hAnsi="宋体" w:hint="eastAsia"/>
          <w:sz w:val="24"/>
          <w:szCs w:val="24"/>
        </w:rPr>
        <w:t>专户有关情况时应出具本人的合法身份证明；</w:t>
      </w:r>
      <w:r w:rsidR="001F27E7">
        <w:rPr>
          <w:rFonts w:ascii="宋体" w:eastAsia="宋体" w:hAnsi="宋体" w:hint="eastAsia"/>
          <w:sz w:val="24"/>
          <w:szCs w:val="24"/>
        </w:rPr>
        <w:t>华安证券</w:t>
      </w:r>
      <w:r w:rsidRPr="00491803">
        <w:rPr>
          <w:rFonts w:ascii="宋体" w:eastAsia="宋体" w:hAnsi="宋体" w:hint="eastAsia"/>
          <w:sz w:val="24"/>
          <w:szCs w:val="24"/>
        </w:rPr>
        <w:t>指定的其他工作人员向</w:t>
      </w:r>
      <w:r w:rsidR="001F27E7">
        <w:rPr>
          <w:rFonts w:ascii="宋体" w:eastAsia="宋体" w:hAnsi="宋体" w:hint="eastAsia"/>
          <w:sz w:val="24"/>
          <w:szCs w:val="24"/>
        </w:rPr>
        <w:t>开户银行</w:t>
      </w:r>
      <w:r w:rsidRPr="00491803">
        <w:rPr>
          <w:rFonts w:ascii="宋体" w:eastAsia="宋体" w:hAnsi="宋体" w:hint="eastAsia"/>
          <w:sz w:val="24"/>
          <w:szCs w:val="24"/>
        </w:rPr>
        <w:t>查询</w:t>
      </w:r>
      <w:r w:rsidR="001F27E7">
        <w:rPr>
          <w:rFonts w:ascii="宋体" w:eastAsia="宋体" w:hAnsi="宋体" w:hint="eastAsia"/>
          <w:sz w:val="24"/>
          <w:szCs w:val="24"/>
        </w:rPr>
        <w:t>公司</w:t>
      </w:r>
      <w:r w:rsidRPr="00491803">
        <w:rPr>
          <w:rFonts w:ascii="宋体" w:eastAsia="宋体" w:hAnsi="宋体" w:hint="eastAsia"/>
          <w:sz w:val="24"/>
          <w:szCs w:val="24"/>
        </w:rPr>
        <w:t>专户有关情况时应出具本人的合法身份证明和加盖</w:t>
      </w:r>
      <w:r w:rsidR="001F27E7">
        <w:rPr>
          <w:rFonts w:ascii="宋体" w:eastAsia="宋体" w:hAnsi="宋体" w:hint="eastAsia"/>
          <w:sz w:val="24"/>
          <w:szCs w:val="24"/>
        </w:rPr>
        <w:t>华安证券</w:t>
      </w:r>
      <w:r w:rsidRPr="00491803">
        <w:rPr>
          <w:rFonts w:ascii="宋体" w:eastAsia="宋体" w:hAnsi="宋体" w:hint="eastAsia"/>
          <w:sz w:val="24"/>
          <w:szCs w:val="24"/>
        </w:rPr>
        <w:t>单位印章的</w:t>
      </w:r>
      <w:r w:rsidR="001F27E7">
        <w:rPr>
          <w:rFonts w:ascii="宋体" w:eastAsia="宋体" w:hAnsi="宋体" w:hint="eastAsia"/>
          <w:sz w:val="24"/>
          <w:szCs w:val="24"/>
        </w:rPr>
        <w:t>华安证券</w:t>
      </w:r>
      <w:r w:rsidRPr="00491803">
        <w:rPr>
          <w:rFonts w:ascii="宋体" w:eastAsia="宋体" w:hAnsi="宋体" w:hint="eastAsia"/>
          <w:sz w:val="24"/>
          <w:szCs w:val="24"/>
        </w:rPr>
        <w:t>单位介绍信。</w:t>
      </w:r>
    </w:p>
    <w:p w14:paraId="23FF0472" w14:textId="3651220A"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5、</w:t>
      </w:r>
      <w:r w:rsidR="001F27E7">
        <w:rPr>
          <w:rFonts w:ascii="宋体" w:eastAsia="宋体" w:hAnsi="宋体"/>
          <w:sz w:val="24"/>
          <w:szCs w:val="24"/>
        </w:rPr>
        <w:t>开户银行</w:t>
      </w:r>
      <w:r w:rsidRPr="00491803">
        <w:rPr>
          <w:rFonts w:ascii="宋体" w:eastAsia="宋体" w:hAnsi="宋体"/>
          <w:sz w:val="24"/>
          <w:szCs w:val="24"/>
        </w:rPr>
        <w:t>按月（每月</w:t>
      </w:r>
      <w:r w:rsidR="00785FE1">
        <w:rPr>
          <w:rFonts w:ascii="宋体" w:eastAsia="宋体" w:hAnsi="宋体"/>
          <w:sz w:val="24"/>
          <w:szCs w:val="24"/>
        </w:rPr>
        <w:t>10</w:t>
      </w:r>
      <w:r w:rsidRPr="00491803">
        <w:rPr>
          <w:rFonts w:ascii="宋体" w:eastAsia="宋体" w:hAnsi="宋体"/>
          <w:sz w:val="24"/>
          <w:szCs w:val="24"/>
        </w:rPr>
        <w:t>日之前）向</w:t>
      </w:r>
      <w:r w:rsidR="001F27E7">
        <w:rPr>
          <w:rFonts w:ascii="宋体" w:eastAsia="宋体" w:hAnsi="宋体"/>
          <w:sz w:val="24"/>
          <w:szCs w:val="24"/>
        </w:rPr>
        <w:t>公司</w:t>
      </w:r>
      <w:r w:rsidRPr="00491803">
        <w:rPr>
          <w:rFonts w:ascii="宋体" w:eastAsia="宋体" w:hAnsi="宋体"/>
          <w:sz w:val="24"/>
          <w:szCs w:val="24"/>
        </w:rPr>
        <w:t>出具对账单，并抄送</w:t>
      </w:r>
      <w:r w:rsidR="001F27E7">
        <w:rPr>
          <w:rFonts w:ascii="宋体" w:eastAsia="宋体" w:hAnsi="宋体"/>
          <w:sz w:val="24"/>
          <w:szCs w:val="24"/>
        </w:rPr>
        <w:t>华安证券</w:t>
      </w:r>
      <w:r w:rsidR="00785FE1">
        <w:rPr>
          <w:rFonts w:ascii="宋体" w:eastAsia="宋体" w:hAnsi="宋体" w:hint="eastAsia"/>
          <w:sz w:val="24"/>
          <w:szCs w:val="24"/>
        </w:rPr>
        <w:t>。</w:t>
      </w:r>
      <w:r w:rsidR="00785FE1" w:rsidRPr="00491803">
        <w:rPr>
          <w:rFonts w:ascii="宋体" w:eastAsia="宋体" w:hAnsi="宋体"/>
          <w:sz w:val="24"/>
          <w:szCs w:val="24"/>
        </w:rPr>
        <w:t xml:space="preserve"> </w:t>
      </w:r>
    </w:p>
    <w:p w14:paraId="69D29AFA" w14:textId="3A7903BE"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6、</w:t>
      </w:r>
      <w:r w:rsidR="001F27E7">
        <w:rPr>
          <w:rFonts w:ascii="宋体" w:eastAsia="宋体" w:hAnsi="宋体"/>
          <w:sz w:val="24"/>
          <w:szCs w:val="24"/>
        </w:rPr>
        <w:t>公司</w:t>
      </w:r>
      <w:r w:rsidRPr="00491803">
        <w:rPr>
          <w:rFonts w:ascii="宋体" w:eastAsia="宋体" w:hAnsi="宋体"/>
          <w:sz w:val="24"/>
          <w:szCs w:val="24"/>
        </w:rPr>
        <w:t>一次或12个月以内累计从专户中支取的金额超过人民币</w:t>
      </w:r>
      <w:r w:rsidR="001B4A84">
        <w:rPr>
          <w:rFonts w:ascii="宋体" w:eastAsia="宋体" w:hAnsi="宋体"/>
          <w:sz w:val="24"/>
          <w:szCs w:val="24"/>
        </w:rPr>
        <w:t>10</w:t>
      </w:r>
      <w:r w:rsidR="008F1B78">
        <w:rPr>
          <w:rFonts w:ascii="宋体" w:eastAsia="宋体" w:hAnsi="宋体" w:hint="eastAsia"/>
          <w:sz w:val="24"/>
          <w:szCs w:val="24"/>
        </w:rPr>
        <w:t>,</w:t>
      </w:r>
      <w:r w:rsidRPr="00491803">
        <w:rPr>
          <w:rFonts w:ascii="宋体" w:eastAsia="宋体" w:hAnsi="宋体"/>
          <w:sz w:val="24"/>
          <w:szCs w:val="24"/>
        </w:rPr>
        <w:t>000万元且达到发行募集资金总额扣除发行费用后的净额的20%的，</w:t>
      </w:r>
      <w:r w:rsidR="001F27E7">
        <w:rPr>
          <w:rFonts w:ascii="宋体" w:eastAsia="宋体" w:hAnsi="宋体"/>
          <w:sz w:val="24"/>
          <w:szCs w:val="24"/>
        </w:rPr>
        <w:t>公司</w:t>
      </w:r>
      <w:r w:rsidRPr="00491803">
        <w:rPr>
          <w:rFonts w:ascii="宋体" w:eastAsia="宋体" w:hAnsi="宋体"/>
          <w:sz w:val="24"/>
          <w:szCs w:val="24"/>
        </w:rPr>
        <w:t>应当及时以传真及/或邮件方式通知</w:t>
      </w:r>
      <w:r w:rsidR="001F27E7">
        <w:rPr>
          <w:rFonts w:ascii="宋体" w:eastAsia="宋体" w:hAnsi="宋体"/>
          <w:sz w:val="24"/>
          <w:szCs w:val="24"/>
        </w:rPr>
        <w:t>华安证券</w:t>
      </w:r>
      <w:r w:rsidRPr="00491803">
        <w:rPr>
          <w:rFonts w:ascii="宋体" w:eastAsia="宋体" w:hAnsi="宋体"/>
          <w:sz w:val="24"/>
          <w:szCs w:val="24"/>
        </w:rPr>
        <w:t>，同时提供专户的支出清单。</w:t>
      </w:r>
    </w:p>
    <w:p w14:paraId="6D5CD36D" w14:textId="7066801D"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 xml:space="preserve">7、 </w:t>
      </w:r>
      <w:r w:rsidR="001F27E7">
        <w:rPr>
          <w:rFonts w:ascii="宋体" w:eastAsia="宋体" w:hAnsi="宋体"/>
          <w:sz w:val="24"/>
          <w:szCs w:val="24"/>
        </w:rPr>
        <w:t>华安证券</w:t>
      </w:r>
      <w:r w:rsidRPr="00491803">
        <w:rPr>
          <w:rFonts w:ascii="宋体" w:eastAsia="宋体" w:hAnsi="宋体"/>
          <w:sz w:val="24"/>
          <w:szCs w:val="24"/>
        </w:rPr>
        <w:t>有权根据有关规定更换指定的保荐代表人。</w:t>
      </w:r>
      <w:r w:rsidR="001F27E7">
        <w:rPr>
          <w:rFonts w:ascii="宋体" w:eastAsia="宋体" w:hAnsi="宋体"/>
          <w:sz w:val="24"/>
          <w:szCs w:val="24"/>
        </w:rPr>
        <w:t>华安证券</w:t>
      </w:r>
      <w:r w:rsidRPr="00491803">
        <w:rPr>
          <w:rFonts w:ascii="宋体" w:eastAsia="宋体" w:hAnsi="宋体"/>
          <w:sz w:val="24"/>
          <w:szCs w:val="24"/>
        </w:rPr>
        <w:t>更换保荐代表人的，应当将相关证明文件书面通知</w:t>
      </w:r>
      <w:r w:rsidR="001F27E7">
        <w:rPr>
          <w:rFonts w:ascii="宋体" w:eastAsia="宋体" w:hAnsi="宋体"/>
          <w:sz w:val="24"/>
          <w:szCs w:val="24"/>
        </w:rPr>
        <w:t>公司</w:t>
      </w:r>
      <w:r w:rsidRPr="00491803">
        <w:rPr>
          <w:rFonts w:ascii="宋体" w:eastAsia="宋体" w:hAnsi="宋体"/>
          <w:sz w:val="24"/>
          <w:szCs w:val="24"/>
        </w:rPr>
        <w:t>、</w:t>
      </w:r>
      <w:r w:rsidR="001F27E7">
        <w:rPr>
          <w:rFonts w:ascii="宋体" w:eastAsia="宋体" w:hAnsi="宋体"/>
          <w:sz w:val="24"/>
          <w:szCs w:val="24"/>
        </w:rPr>
        <w:t>开户银行</w:t>
      </w:r>
      <w:r w:rsidRPr="00491803">
        <w:rPr>
          <w:rFonts w:ascii="宋体" w:eastAsia="宋体" w:hAnsi="宋体"/>
          <w:sz w:val="24"/>
          <w:szCs w:val="24"/>
        </w:rPr>
        <w:t>，同时向</w:t>
      </w:r>
      <w:r w:rsidR="001F27E7">
        <w:rPr>
          <w:rFonts w:ascii="宋体" w:eastAsia="宋体" w:hAnsi="宋体"/>
          <w:sz w:val="24"/>
          <w:szCs w:val="24"/>
        </w:rPr>
        <w:t>公司</w:t>
      </w:r>
      <w:r w:rsidRPr="00491803">
        <w:rPr>
          <w:rFonts w:ascii="宋体" w:eastAsia="宋体" w:hAnsi="宋体"/>
          <w:sz w:val="24"/>
          <w:szCs w:val="24"/>
        </w:rPr>
        <w:t>、</w:t>
      </w:r>
      <w:r w:rsidR="001F27E7">
        <w:rPr>
          <w:rFonts w:ascii="宋体" w:eastAsia="宋体" w:hAnsi="宋体"/>
          <w:sz w:val="24"/>
          <w:szCs w:val="24"/>
        </w:rPr>
        <w:t>开户银行</w:t>
      </w:r>
      <w:r w:rsidRPr="00491803">
        <w:rPr>
          <w:rFonts w:ascii="宋体" w:eastAsia="宋体" w:hAnsi="宋体"/>
          <w:sz w:val="24"/>
          <w:szCs w:val="24"/>
        </w:rPr>
        <w:t>通知更换后保荐代表人的联系方式。更换保荐代表人不影响本协议的效力。</w:t>
      </w:r>
    </w:p>
    <w:p w14:paraId="1E31C33A" w14:textId="6E1F37D2"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8、</w:t>
      </w:r>
      <w:r w:rsidR="001F27E7">
        <w:rPr>
          <w:rFonts w:ascii="宋体" w:eastAsia="宋体" w:hAnsi="宋体"/>
          <w:sz w:val="24"/>
          <w:szCs w:val="24"/>
        </w:rPr>
        <w:t>开户银行</w:t>
      </w:r>
      <w:r w:rsidRPr="00491803">
        <w:rPr>
          <w:rFonts w:ascii="宋体" w:eastAsia="宋体" w:hAnsi="宋体"/>
          <w:sz w:val="24"/>
          <w:szCs w:val="24"/>
        </w:rPr>
        <w:t>连续三次未及时向</w:t>
      </w:r>
      <w:r w:rsidR="001F27E7">
        <w:rPr>
          <w:rFonts w:ascii="宋体" w:eastAsia="宋体" w:hAnsi="宋体"/>
          <w:sz w:val="24"/>
          <w:szCs w:val="24"/>
        </w:rPr>
        <w:t>公司</w:t>
      </w:r>
      <w:r w:rsidRPr="00491803">
        <w:rPr>
          <w:rFonts w:ascii="宋体" w:eastAsia="宋体" w:hAnsi="宋体"/>
          <w:sz w:val="24"/>
          <w:szCs w:val="24"/>
        </w:rPr>
        <w:t>出具对账单，以及存在未配合</w:t>
      </w:r>
      <w:r w:rsidR="001F27E7">
        <w:rPr>
          <w:rFonts w:ascii="宋体" w:eastAsia="宋体" w:hAnsi="宋体"/>
          <w:sz w:val="24"/>
          <w:szCs w:val="24"/>
        </w:rPr>
        <w:t>华安证券</w:t>
      </w:r>
      <w:r w:rsidRPr="00491803">
        <w:rPr>
          <w:rFonts w:ascii="宋体" w:eastAsia="宋体" w:hAnsi="宋体"/>
          <w:sz w:val="24"/>
          <w:szCs w:val="24"/>
        </w:rPr>
        <w:t>调查专户情形的，</w:t>
      </w:r>
      <w:r w:rsidR="001F27E7">
        <w:rPr>
          <w:rFonts w:ascii="宋体" w:eastAsia="宋体" w:hAnsi="宋体"/>
          <w:sz w:val="24"/>
          <w:szCs w:val="24"/>
        </w:rPr>
        <w:t>公司</w:t>
      </w:r>
      <w:r w:rsidRPr="00491803">
        <w:rPr>
          <w:rFonts w:ascii="宋体" w:eastAsia="宋体" w:hAnsi="宋体"/>
          <w:sz w:val="24"/>
          <w:szCs w:val="24"/>
        </w:rPr>
        <w:t>可以主动或在</w:t>
      </w:r>
      <w:r w:rsidR="001F27E7">
        <w:rPr>
          <w:rFonts w:ascii="宋体" w:eastAsia="宋体" w:hAnsi="宋体"/>
          <w:sz w:val="24"/>
          <w:szCs w:val="24"/>
        </w:rPr>
        <w:t>华安证券</w:t>
      </w:r>
      <w:r w:rsidRPr="00491803">
        <w:rPr>
          <w:rFonts w:ascii="宋体" w:eastAsia="宋体" w:hAnsi="宋体"/>
          <w:sz w:val="24"/>
          <w:szCs w:val="24"/>
        </w:rPr>
        <w:t>的要求下单方面终止本协议并注销募集资金专户。</w:t>
      </w:r>
    </w:p>
    <w:p w14:paraId="10F5B6EF" w14:textId="4F916D62"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 xml:space="preserve">9、 </w:t>
      </w:r>
      <w:r w:rsidR="001F27E7">
        <w:rPr>
          <w:rFonts w:ascii="宋体" w:eastAsia="宋体" w:hAnsi="宋体"/>
          <w:sz w:val="24"/>
          <w:szCs w:val="24"/>
        </w:rPr>
        <w:t>华安证券</w:t>
      </w:r>
      <w:r w:rsidRPr="00491803">
        <w:rPr>
          <w:rFonts w:ascii="宋体" w:eastAsia="宋体" w:hAnsi="宋体"/>
          <w:sz w:val="24"/>
          <w:szCs w:val="24"/>
        </w:rPr>
        <w:t>发现</w:t>
      </w:r>
      <w:r w:rsidR="001F27E7">
        <w:rPr>
          <w:rFonts w:ascii="宋体" w:eastAsia="宋体" w:hAnsi="宋体"/>
          <w:sz w:val="24"/>
          <w:szCs w:val="24"/>
        </w:rPr>
        <w:t>公司</w:t>
      </w:r>
      <w:r w:rsidRPr="00491803">
        <w:rPr>
          <w:rFonts w:ascii="宋体" w:eastAsia="宋体" w:hAnsi="宋体"/>
          <w:sz w:val="24"/>
          <w:szCs w:val="24"/>
        </w:rPr>
        <w:t>、</w:t>
      </w:r>
      <w:r w:rsidR="001F27E7">
        <w:rPr>
          <w:rFonts w:ascii="宋体" w:eastAsia="宋体" w:hAnsi="宋体"/>
          <w:sz w:val="24"/>
          <w:szCs w:val="24"/>
        </w:rPr>
        <w:t>开户银行</w:t>
      </w:r>
      <w:r w:rsidRPr="00491803">
        <w:rPr>
          <w:rFonts w:ascii="宋体" w:eastAsia="宋体" w:hAnsi="宋体"/>
          <w:sz w:val="24"/>
          <w:szCs w:val="24"/>
        </w:rPr>
        <w:t>未按约定履行本协议的，应当在知悉有关事实后及时向上海证券交易所书面报告。</w:t>
      </w:r>
    </w:p>
    <w:p w14:paraId="34FE4E97" w14:textId="191E2EE2"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10、本协议自</w:t>
      </w:r>
      <w:r w:rsidR="006C3F8E">
        <w:rPr>
          <w:rFonts w:ascii="宋体" w:eastAsia="宋体" w:hAnsi="宋体" w:hint="eastAsia"/>
          <w:sz w:val="24"/>
          <w:szCs w:val="24"/>
        </w:rPr>
        <w:t>公司</w:t>
      </w:r>
      <w:r w:rsidRPr="00491803">
        <w:rPr>
          <w:rFonts w:ascii="宋体" w:eastAsia="宋体" w:hAnsi="宋体"/>
          <w:sz w:val="24"/>
          <w:szCs w:val="24"/>
        </w:rPr>
        <w:t>、</w:t>
      </w:r>
      <w:r w:rsidR="006C3F8E" w:rsidRPr="001F27E7">
        <w:rPr>
          <w:rFonts w:ascii="宋体" w:eastAsia="宋体" w:hAnsi="宋体" w:hint="eastAsia"/>
          <w:sz w:val="24"/>
          <w:szCs w:val="24"/>
        </w:rPr>
        <w:t>开户银行</w:t>
      </w:r>
      <w:r w:rsidRPr="00491803">
        <w:rPr>
          <w:rFonts w:ascii="宋体" w:eastAsia="宋体" w:hAnsi="宋体"/>
          <w:sz w:val="24"/>
          <w:szCs w:val="24"/>
        </w:rPr>
        <w:t>、</w:t>
      </w:r>
      <w:r w:rsidR="006C3F8E">
        <w:rPr>
          <w:rFonts w:ascii="宋体" w:eastAsia="宋体" w:hAnsi="宋体" w:hint="eastAsia"/>
          <w:sz w:val="24"/>
          <w:szCs w:val="24"/>
        </w:rPr>
        <w:t>华</w:t>
      </w:r>
      <w:r w:rsidR="006C3F8E">
        <w:rPr>
          <w:rFonts w:ascii="宋体" w:eastAsia="宋体" w:hAnsi="宋体"/>
          <w:sz w:val="24"/>
          <w:szCs w:val="24"/>
        </w:rPr>
        <w:t>安证券</w:t>
      </w:r>
      <w:r w:rsidRPr="00491803">
        <w:rPr>
          <w:rFonts w:ascii="宋体" w:eastAsia="宋体" w:hAnsi="宋体"/>
          <w:sz w:val="24"/>
          <w:szCs w:val="24"/>
        </w:rPr>
        <w:t>三方法定代表人或其授权代表签署并加盖各自单位公章之日起生效，至专户资金全部支出完毕并依法销户或三方协商一致终止本协议并销户之日起失效。</w:t>
      </w:r>
    </w:p>
    <w:p w14:paraId="45CD2C57" w14:textId="7899FA19"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sz w:val="24"/>
          <w:szCs w:val="24"/>
        </w:rPr>
        <w:t>11、本协议一式</w:t>
      </w:r>
      <w:r w:rsidR="001B4A84">
        <w:rPr>
          <w:rFonts w:ascii="宋体" w:eastAsia="宋体" w:hAnsi="宋体" w:hint="eastAsia"/>
          <w:sz w:val="24"/>
          <w:szCs w:val="24"/>
        </w:rPr>
        <w:t>六</w:t>
      </w:r>
      <w:r w:rsidRPr="00491803">
        <w:rPr>
          <w:rFonts w:ascii="宋体" w:eastAsia="宋体" w:hAnsi="宋体"/>
          <w:sz w:val="24"/>
          <w:szCs w:val="24"/>
        </w:rPr>
        <w:t>份，</w:t>
      </w:r>
      <w:r w:rsidR="006C3F8E">
        <w:rPr>
          <w:rFonts w:ascii="宋体" w:eastAsia="宋体" w:hAnsi="宋体" w:hint="eastAsia"/>
          <w:sz w:val="24"/>
          <w:szCs w:val="24"/>
        </w:rPr>
        <w:t>公司</w:t>
      </w:r>
      <w:r w:rsidR="006C3F8E" w:rsidRPr="00491803">
        <w:rPr>
          <w:rFonts w:ascii="宋体" w:eastAsia="宋体" w:hAnsi="宋体"/>
          <w:sz w:val="24"/>
          <w:szCs w:val="24"/>
        </w:rPr>
        <w:t>、</w:t>
      </w:r>
      <w:r w:rsidR="006C3F8E" w:rsidRPr="001F27E7">
        <w:rPr>
          <w:rFonts w:ascii="宋体" w:eastAsia="宋体" w:hAnsi="宋体" w:hint="eastAsia"/>
          <w:sz w:val="24"/>
          <w:szCs w:val="24"/>
        </w:rPr>
        <w:t>开户银行</w:t>
      </w:r>
      <w:r w:rsidR="006C3F8E" w:rsidRPr="00491803">
        <w:rPr>
          <w:rFonts w:ascii="宋体" w:eastAsia="宋体" w:hAnsi="宋体"/>
          <w:sz w:val="24"/>
          <w:szCs w:val="24"/>
        </w:rPr>
        <w:t>、</w:t>
      </w:r>
      <w:r w:rsidR="006C3F8E">
        <w:rPr>
          <w:rFonts w:ascii="宋体" w:eastAsia="宋体" w:hAnsi="宋体" w:hint="eastAsia"/>
          <w:sz w:val="24"/>
          <w:szCs w:val="24"/>
        </w:rPr>
        <w:t>华</w:t>
      </w:r>
      <w:r w:rsidR="006C3F8E">
        <w:rPr>
          <w:rFonts w:ascii="宋体" w:eastAsia="宋体" w:hAnsi="宋体"/>
          <w:sz w:val="24"/>
          <w:szCs w:val="24"/>
        </w:rPr>
        <w:t>安证券</w:t>
      </w:r>
      <w:r w:rsidRPr="00491803">
        <w:rPr>
          <w:rFonts w:ascii="宋体" w:eastAsia="宋体" w:hAnsi="宋体"/>
          <w:sz w:val="24"/>
          <w:szCs w:val="24"/>
        </w:rPr>
        <w:t>三方各持一份，向上海证券交易所、中国证监会</w:t>
      </w:r>
      <w:r w:rsidR="0058050B">
        <w:rPr>
          <w:rFonts w:ascii="宋体" w:eastAsia="宋体" w:hAnsi="宋体" w:hint="eastAsia"/>
          <w:sz w:val="24"/>
          <w:szCs w:val="24"/>
        </w:rPr>
        <w:t>安徽</w:t>
      </w:r>
      <w:r w:rsidRPr="00491803">
        <w:rPr>
          <w:rFonts w:ascii="宋体" w:eastAsia="宋体" w:hAnsi="宋体"/>
          <w:sz w:val="24"/>
          <w:szCs w:val="24"/>
        </w:rPr>
        <w:t>监管局各报备一份，其余留</w:t>
      </w:r>
      <w:r w:rsidR="001F27E7">
        <w:rPr>
          <w:rFonts w:ascii="宋体" w:eastAsia="宋体" w:hAnsi="宋体"/>
          <w:sz w:val="24"/>
          <w:szCs w:val="24"/>
        </w:rPr>
        <w:t>公司</w:t>
      </w:r>
      <w:r w:rsidRPr="00491803">
        <w:rPr>
          <w:rFonts w:ascii="宋体" w:eastAsia="宋体" w:hAnsi="宋体"/>
          <w:sz w:val="24"/>
          <w:szCs w:val="24"/>
        </w:rPr>
        <w:t>备用。</w:t>
      </w:r>
    </w:p>
    <w:p w14:paraId="6B2ADBFF" w14:textId="77777777" w:rsidR="00491803" w:rsidRPr="00491803" w:rsidRDefault="00491803" w:rsidP="00D85FEB">
      <w:pPr>
        <w:spacing w:line="360" w:lineRule="auto"/>
        <w:ind w:firstLineChars="200" w:firstLine="480"/>
        <w:rPr>
          <w:rFonts w:ascii="宋体" w:eastAsia="宋体" w:hAnsi="宋体"/>
          <w:sz w:val="24"/>
          <w:szCs w:val="24"/>
        </w:rPr>
      </w:pPr>
    </w:p>
    <w:p w14:paraId="6646B008" w14:textId="77777777" w:rsidR="00491803" w:rsidRPr="00491803" w:rsidRDefault="00491803" w:rsidP="00D85FEB">
      <w:pPr>
        <w:spacing w:line="360" w:lineRule="auto"/>
        <w:ind w:firstLineChars="200" w:firstLine="480"/>
        <w:rPr>
          <w:rFonts w:ascii="宋体" w:eastAsia="宋体" w:hAnsi="宋体"/>
          <w:sz w:val="24"/>
          <w:szCs w:val="24"/>
        </w:rPr>
      </w:pPr>
      <w:r w:rsidRPr="00491803">
        <w:rPr>
          <w:rFonts w:ascii="宋体" w:eastAsia="宋体" w:hAnsi="宋体" w:hint="eastAsia"/>
          <w:sz w:val="24"/>
          <w:szCs w:val="24"/>
        </w:rPr>
        <w:t>特此公告。</w:t>
      </w:r>
    </w:p>
    <w:p w14:paraId="40DC2069" w14:textId="77777777" w:rsidR="00491803" w:rsidRPr="00491803" w:rsidRDefault="00491803" w:rsidP="00D85FEB">
      <w:pPr>
        <w:spacing w:line="360" w:lineRule="auto"/>
        <w:ind w:firstLineChars="200" w:firstLine="480"/>
        <w:rPr>
          <w:rFonts w:ascii="宋体" w:eastAsia="宋体" w:hAnsi="宋体"/>
          <w:sz w:val="24"/>
          <w:szCs w:val="24"/>
        </w:rPr>
      </w:pPr>
    </w:p>
    <w:p w14:paraId="089C97E2" w14:textId="77777777" w:rsidR="00F24DAA" w:rsidRDefault="00F24DAA" w:rsidP="00F24DAA">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安徽省交通建设股份有限公司董事会</w:t>
      </w:r>
    </w:p>
    <w:p w14:paraId="7A7B739E" w14:textId="1A9FCBB0" w:rsidR="00F24DAA" w:rsidRDefault="00F24DAA" w:rsidP="00F24DAA">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2021年7月</w:t>
      </w:r>
      <w:r w:rsidR="00B17899">
        <w:rPr>
          <w:rFonts w:ascii="宋体" w:eastAsia="宋体" w:hAnsi="宋体" w:hint="eastAsia"/>
          <w:sz w:val="24"/>
          <w:szCs w:val="24"/>
        </w:rPr>
        <w:t>6</w:t>
      </w:r>
      <w:r>
        <w:rPr>
          <w:rFonts w:ascii="宋体" w:eastAsia="宋体" w:hAnsi="宋体" w:hint="eastAsia"/>
          <w:sz w:val="24"/>
          <w:szCs w:val="24"/>
        </w:rPr>
        <w:t>日</w:t>
      </w:r>
    </w:p>
    <w:p w14:paraId="0026A783" w14:textId="75819E23" w:rsidR="00562409" w:rsidRPr="00491803" w:rsidRDefault="006F04A9" w:rsidP="00F24DAA">
      <w:pPr>
        <w:spacing w:line="360" w:lineRule="auto"/>
        <w:ind w:firstLineChars="200" w:firstLine="480"/>
        <w:rPr>
          <w:rFonts w:ascii="宋体" w:eastAsia="宋体" w:hAnsi="宋体"/>
          <w:sz w:val="24"/>
          <w:szCs w:val="24"/>
        </w:rPr>
      </w:pPr>
    </w:p>
    <w:sectPr w:rsidR="00562409" w:rsidRPr="00491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214D" w14:textId="77777777" w:rsidR="006F04A9" w:rsidRDefault="006F04A9" w:rsidP="00B17899">
      <w:r>
        <w:separator/>
      </w:r>
    </w:p>
  </w:endnote>
  <w:endnote w:type="continuationSeparator" w:id="0">
    <w:p w14:paraId="2A8D195B" w14:textId="77777777" w:rsidR="006F04A9" w:rsidRDefault="006F04A9" w:rsidP="00B1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8A8A" w14:textId="77777777" w:rsidR="006F04A9" w:rsidRDefault="006F04A9" w:rsidP="00B17899">
      <w:r>
        <w:separator/>
      </w:r>
    </w:p>
  </w:footnote>
  <w:footnote w:type="continuationSeparator" w:id="0">
    <w:p w14:paraId="69335080" w14:textId="77777777" w:rsidR="006F04A9" w:rsidRDefault="006F04A9" w:rsidP="00B17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21A01"/>
    <w:multiLevelType w:val="hybridMultilevel"/>
    <w:tmpl w:val="030ACE46"/>
    <w:lvl w:ilvl="0" w:tplc="40963E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53D"/>
    <w:rsid w:val="000D2F27"/>
    <w:rsid w:val="001B4A84"/>
    <w:rsid w:val="001F27E7"/>
    <w:rsid w:val="002147AE"/>
    <w:rsid w:val="00236022"/>
    <w:rsid w:val="00401183"/>
    <w:rsid w:val="00491803"/>
    <w:rsid w:val="0058050B"/>
    <w:rsid w:val="005F539B"/>
    <w:rsid w:val="00624447"/>
    <w:rsid w:val="006C3F8E"/>
    <w:rsid w:val="006F04A9"/>
    <w:rsid w:val="00785FE1"/>
    <w:rsid w:val="00823C04"/>
    <w:rsid w:val="00864156"/>
    <w:rsid w:val="008F1B78"/>
    <w:rsid w:val="00905D1B"/>
    <w:rsid w:val="00A31A35"/>
    <w:rsid w:val="00A65F3F"/>
    <w:rsid w:val="00B17899"/>
    <w:rsid w:val="00BA2510"/>
    <w:rsid w:val="00C674AF"/>
    <w:rsid w:val="00CA542C"/>
    <w:rsid w:val="00D51CA9"/>
    <w:rsid w:val="00D85FEB"/>
    <w:rsid w:val="00E933B3"/>
    <w:rsid w:val="00F24DAA"/>
    <w:rsid w:val="00F4053D"/>
    <w:rsid w:val="00F51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3ECC"/>
  <w15:docId w15:val="{5A3715E1-C342-46CB-BF81-8BAEFF3B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624447"/>
    <w:pPr>
      <w:keepNext/>
      <w:keepLines/>
      <w:spacing w:line="360" w:lineRule="auto"/>
      <w:ind w:firstLineChars="200" w:firstLine="200"/>
      <w:outlineLvl w:val="0"/>
    </w:pPr>
    <w:rPr>
      <w:rFonts w:eastAsia="黑体"/>
      <w:b/>
      <w:bCs/>
      <w:color w:val="000000" w:themeColor="text1"/>
      <w:kern w:val="44"/>
      <w:sz w:val="44"/>
      <w:szCs w:val="44"/>
    </w:rPr>
  </w:style>
  <w:style w:type="paragraph" w:styleId="2">
    <w:name w:val="heading 2"/>
    <w:basedOn w:val="a"/>
    <w:next w:val="a"/>
    <w:link w:val="20"/>
    <w:uiPriority w:val="9"/>
    <w:semiHidden/>
    <w:unhideWhenUsed/>
    <w:qFormat/>
    <w:rsid w:val="00624447"/>
    <w:pPr>
      <w:keepNext/>
      <w:keepLines/>
      <w:spacing w:before="260" w:after="260" w:line="416" w:lineRule="auto"/>
      <w:ind w:firstLineChars="200" w:firstLine="200"/>
      <w:outlineLvl w:val="1"/>
    </w:pPr>
    <w:rPr>
      <w:rFonts w:asciiTheme="majorHAnsi" w:eastAsia="黑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447"/>
    <w:rPr>
      <w:rFonts w:eastAsia="黑体"/>
      <w:b/>
      <w:bCs/>
      <w:color w:val="000000" w:themeColor="text1"/>
      <w:kern w:val="44"/>
      <w:sz w:val="44"/>
      <w:szCs w:val="44"/>
    </w:rPr>
  </w:style>
  <w:style w:type="character" w:customStyle="1" w:styleId="20">
    <w:name w:val="标题 2 字符"/>
    <w:basedOn w:val="a0"/>
    <w:link w:val="2"/>
    <w:uiPriority w:val="9"/>
    <w:semiHidden/>
    <w:rsid w:val="00624447"/>
    <w:rPr>
      <w:rFonts w:asciiTheme="majorHAnsi" w:eastAsia="黑体" w:hAnsiTheme="majorHAnsi" w:cstheme="majorBidi"/>
      <w:bCs/>
      <w:sz w:val="36"/>
      <w:szCs w:val="32"/>
    </w:rPr>
  </w:style>
  <w:style w:type="paragraph" w:styleId="a3">
    <w:name w:val="List Paragraph"/>
    <w:basedOn w:val="a"/>
    <w:uiPriority w:val="34"/>
    <w:qFormat/>
    <w:rsid w:val="00491803"/>
    <w:pPr>
      <w:ind w:firstLineChars="200" w:firstLine="420"/>
    </w:pPr>
  </w:style>
  <w:style w:type="paragraph" w:styleId="a4">
    <w:name w:val="annotation text"/>
    <w:basedOn w:val="a"/>
    <w:link w:val="a5"/>
    <w:semiHidden/>
    <w:unhideWhenUsed/>
    <w:qFormat/>
    <w:rsid w:val="00D51CA9"/>
    <w:pPr>
      <w:jc w:val="left"/>
    </w:pPr>
  </w:style>
  <w:style w:type="character" w:customStyle="1" w:styleId="a5">
    <w:name w:val="批注文字 字符"/>
    <w:basedOn w:val="a0"/>
    <w:link w:val="a4"/>
    <w:uiPriority w:val="99"/>
    <w:semiHidden/>
    <w:qFormat/>
    <w:rsid w:val="00D51CA9"/>
  </w:style>
  <w:style w:type="paragraph" w:styleId="a6">
    <w:name w:val="Balloon Text"/>
    <w:basedOn w:val="a"/>
    <w:link w:val="a7"/>
    <w:uiPriority w:val="99"/>
    <w:semiHidden/>
    <w:unhideWhenUsed/>
    <w:rsid w:val="00D51CA9"/>
    <w:rPr>
      <w:sz w:val="18"/>
      <w:szCs w:val="18"/>
    </w:rPr>
  </w:style>
  <w:style w:type="character" w:customStyle="1" w:styleId="a7">
    <w:name w:val="批注框文本 字符"/>
    <w:basedOn w:val="a0"/>
    <w:link w:val="a6"/>
    <w:uiPriority w:val="99"/>
    <w:semiHidden/>
    <w:rsid w:val="00D51CA9"/>
    <w:rPr>
      <w:sz w:val="18"/>
      <w:szCs w:val="18"/>
    </w:rPr>
  </w:style>
  <w:style w:type="character" w:styleId="a8">
    <w:name w:val="annotation reference"/>
    <w:basedOn w:val="a0"/>
    <w:uiPriority w:val="99"/>
    <w:semiHidden/>
    <w:unhideWhenUsed/>
    <w:rPr>
      <w:sz w:val="21"/>
      <w:szCs w:val="21"/>
    </w:rPr>
  </w:style>
  <w:style w:type="paragraph" w:styleId="a9">
    <w:name w:val="header"/>
    <w:basedOn w:val="a"/>
    <w:link w:val="aa"/>
    <w:uiPriority w:val="99"/>
    <w:unhideWhenUsed/>
    <w:rsid w:val="00B1789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17899"/>
    <w:rPr>
      <w:sz w:val="18"/>
      <w:szCs w:val="18"/>
    </w:rPr>
  </w:style>
  <w:style w:type="paragraph" w:styleId="ab">
    <w:name w:val="footer"/>
    <w:basedOn w:val="a"/>
    <w:link w:val="ac"/>
    <w:uiPriority w:val="99"/>
    <w:unhideWhenUsed/>
    <w:rsid w:val="00B17899"/>
    <w:pPr>
      <w:tabs>
        <w:tab w:val="center" w:pos="4153"/>
        <w:tab w:val="right" w:pos="8306"/>
      </w:tabs>
      <w:snapToGrid w:val="0"/>
      <w:jc w:val="left"/>
    </w:pPr>
    <w:rPr>
      <w:sz w:val="18"/>
      <w:szCs w:val="18"/>
    </w:rPr>
  </w:style>
  <w:style w:type="character" w:customStyle="1" w:styleId="ac">
    <w:name w:val="页脚 字符"/>
    <w:basedOn w:val="a0"/>
    <w:link w:val="ab"/>
    <w:uiPriority w:val="99"/>
    <w:rsid w:val="00B178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18200">
      <w:bodyDiv w:val="1"/>
      <w:marLeft w:val="0"/>
      <w:marRight w:val="0"/>
      <w:marTop w:val="0"/>
      <w:marBottom w:val="0"/>
      <w:divBdr>
        <w:top w:val="none" w:sz="0" w:space="0" w:color="auto"/>
        <w:left w:val="none" w:sz="0" w:space="0" w:color="auto"/>
        <w:bottom w:val="none" w:sz="0" w:space="0" w:color="auto"/>
        <w:right w:val="none" w:sz="0" w:space="0" w:color="auto"/>
      </w:divBdr>
      <w:divsChild>
        <w:div w:id="457529734">
          <w:marLeft w:val="0"/>
          <w:marRight w:val="0"/>
          <w:marTop w:val="0"/>
          <w:marBottom w:val="0"/>
          <w:divBdr>
            <w:top w:val="none" w:sz="0" w:space="0" w:color="auto"/>
            <w:left w:val="none" w:sz="0" w:space="0" w:color="auto"/>
            <w:bottom w:val="none" w:sz="0" w:space="0" w:color="auto"/>
            <w:right w:val="none" w:sz="0" w:space="0" w:color="auto"/>
          </w:divBdr>
        </w:div>
        <w:div w:id="404034671">
          <w:marLeft w:val="0"/>
          <w:marRight w:val="0"/>
          <w:marTop w:val="0"/>
          <w:marBottom w:val="0"/>
          <w:divBdr>
            <w:top w:val="none" w:sz="0" w:space="0" w:color="auto"/>
            <w:left w:val="none" w:sz="0" w:space="0" w:color="auto"/>
            <w:bottom w:val="none" w:sz="0" w:space="0" w:color="auto"/>
            <w:right w:val="none" w:sz="0" w:space="0" w:color="auto"/>
          </w:divBdr>
        </w:div>
        <w:div w:id="1789812173">
          <w:marLeft w:val="0"/>
          <w:marRight w:val="0"/>
          <w:marTop w:val="0"/>
          <w:marBottom w:val="0"/>
          <w:divBdr>
            <w:top w:val="none" w:sz="0" w:space="0" w:color="auto"/>
            <w:left w:val="none" w:sz="0" w:space="0" w:color="auto"/>
            <w:bottom w:val="none" w:sz="0" w:space="0" w:color="auto"/>
            <w:right w:val="none" w:sz="0" w:space="0" w:color="auto"/>
          </w:divBdr>
        </w:div>
      </w:divsChild>
    </w:div>
    <w:div w:id="15426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明伟 薛</dc:creator>
  <cp:keywords/>
  <dc:description/>
  <cp:lastModifiedBy>林 玲</cp:lastModifiedBy>
  <cp:revision>21</cp:revision>
  <dcterms:created xsi:type="dcterms:W3CDTF">2021-06-24T11:40:00Z</dcterms:created>
  <dcterms:modified xsi:type="dcterms:W3CDTF">2021-07-05T08:16:00Z</dcterms:modified>
</cp:coreProperties>
</file>