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6EE" w:rsidRPr="0085471E" w:rsidRDefault="00F706EE" w:rsidP="00F706EE">
      <w:pPr>
        <w:adjustRightInd w:val="0"/>
        <w:snapToGrid w:val="0"/>
        <w:spacing w:line="360" w:lineRule="auto"/>
        <w:rPr>
          <w:rFonts w:ascii="宋体" w:hAnsi="宋体"/>
          <w:sz w:val="24"/>
        </w:rPr>
      </w:pPr>
      <w:r w:rsidRPr="0085471E">
        <w:rPr>
          <w:rFonts w:ascii="宋体" w:hAnsi="宋体" w:hint="eastAsia"/>
          <w:sz w:val="24"/>
        </w:rPr>
        <w:t>证券代码：</w:t>
      </w:r>
      <w:r w:rsidR="007B2E77">
        <w:rPr>
          <w:rFonts w:ascii="宋体" w:hAnsi="宋体" w:hint="eastAsia"/>
          <w:sz w:val="24"/>
        </w:rPr>
        <w:t>60381</w:t>
      </w:r>
      <w:r w:rsidR="00C252E9" w:rsidRPr="0085471E">
        <w:rPr>
          <w:rFonts w:ascii="宋体" w:hAnsi="宋体" w:hint="eastAsia"/>
          <w:sz w:val="24"/>
        </w:rPr>
        <w:t xml:space="preserve">5     </w:t>
      </w:r>
      <w:r w:rsidR="007B2E77">
        <w:rPr>
          <w:rFonts w:ascii="宋体" w:hAnsi="宋体"/>
          <w:sz w:val="24"/>
        </w:rPr>
        <w:t xml:space="preserve"> </w:t>
      </w:r>
      <w:r w:rsidR="0085471E">
        <w:rPr>
          <w:rFonts w:ascii="宋体" w:hAnsi="宋体" w:hint="eastAsia"/>
          <w:sz w:val="24"/>
        </w:rPr>
        <w:t xml:space="preserve">  </w:t>
      </w:r>
      <w:r w:rsidR="00D63081" w:rsidRPr="0085471E">
        <w:rPr>
          <w:rFonts w:ascii="宋体" w:hAnsi="宋体" w:hint="eastAsia"/>
          <w:sz w:val="24"/>
        </w:rPr>
        <w:t xml:space="preserve"> </w:t>
      </w:r>
      <w:r w:rsidRPr="0085471E">
        <w:rPr>
          <w:rFonts w:ascii="宋体" w:hAnsi="宋体" w:hint="eastAsia"/>
          <w:sz w:val="24"/>
        </w:rPr>
        <w:t>证券简称：</w:t>
      </w:r>
      <w:r w:rsidR="00C252E9" w:rsidRPr="0085471E">
        <w:rPr>
          <w:rFonts w:ascii="宋体" w:hAnsi="宋体" w:hint="eastAsia"/>
          <w:sz w:val="24"/>
        </w:rPr>
        <w:t>交建股份</w:t>
      </w:r>
      <w:r w:rsidR="00D63081" w:rsidRPr="0085471E">
        <w:rPr>
          <w:rFonts w:ascii="宋体" w:hAnsi="宋体" w:hint="eastAsia"/>
          <w:sz w:val="24"/>
        </w:rPr>
        <w:t xml:space="preserve">    </w:t>
      </w:r>
      <w:r w:rsidR="00C252E9" w:rsidRPr="0085471E">
        <w:rPr>
          <w:rFonts w:ascii="宋体" w:hAnsi="宋体" w:hint="eastAsia"/>
          <w:sz w:val="24"/>
        </w:rPr>
        <w:t xml:space="preserve">  </w:t>
      </w:r>
      <w:r w:rsidR="0085471E">
        <w:rPr>
          <w:rFonts w:ascii="宋体" w:hAnsi="宋体" w:hint="eastAsia"/>
          <w:sz w:val="24"/>
        </w:rPr>
        <w:t xml:space="preserve">  </w:t>
      </w:r>
      <w:r w:rsidR="00C252E9" w:rsidRPr="0085471E">
        <w:rPr>
          <w:rFonts w:ascii="宋体" w:hAnsi="宋体" w:hint="eastAsia"/>
          <w:sz w:val="24"/>
        </w:rPr>
        <w:t xml:space="preserve"> </w:t>
      </w:r>
      <w:r w:rsidRPr="0085471E">
        <w:rPr>
          <w:rFonts w:ascii="宋体" w:hAnsi="宋体" w:hint="eastAsia"/>
          <w:sz w:val="24"/>
        </w:rPr>
        <w:t>公告编号：</w:t>
      </w:r>
      <w:r w:rsidR="00186051" w:rsidRPr="004312DD">
        <w:t>20</w:t>
      </w:r>
      <w:r w:rsidR="00186051" w:rsidRPr="004312DD">
        <w:rPr>
          <w:rFonts w:hint="eastAsia"/>
        </w:rPr>
        <w:t>2</w:t>
      </w:r>
      <w:r w:rsidR="00D67ABF">
        <w:rPr>
          <w:rFonts w:hint="eastAsia"/>
        </w:rPr>
        <w:t>1</w:t>
      </w:r>
      <w:r w:rsidR="00186051" w:rsidRPr="004312DD">
        <w:t>-</w:t>
      </w:r>
      <w:r w:rsidR="00186051" w:rsidRPr="004312DD">
        <w:rPr>
          <w:rFonts w:hint="eastAsia"/>
        </w:rPr>
        <w:t>0</w:t>
      </w:r>
      <w:r w:rsidR="00D67ABF">
        <w:rPr>
          <w:rFonts w:hint="eastAsia"/>
        </w:rPr>
        <w:t>2</w:t>
      </w:r>
      <w:r w:rsidR="004312DD" w:rsidRPr="004312DD">
        <w:rPr>
          <w:rFonts w:hint="eastAsia"/>
        </w:rPr>
        <w:t>3</w:t>
      </w:r>
    </w:p>
    <w:p w:rsidR="00F706EE" w:rsidRDefault="00F706EE" w:rsidP="007B796E">
      <w:pPr>
        <w:adjustRightInd w:val="0"/>
        <w:snapToGrid w:val="0"/>
        <w:spacing w:line="360" w:lineRule="auto"/>
        <w:jc w:val="center"/>
        <w:rPr>
          <w:rFonts w:ascii="仿宋_GB2312" w:eastAsia="仿宋_GB2312" w:hAnsi="宋体"/>
          <w:sz w:val="30"/>
          <w:szCs w:val="30"/>
        </w:rPr>
      </w:pPr>
    </w:p>
    <w:p w:rsidR="007B796E" w:rsidRPr="009C5E1F" w:rsidRDefault="000E3C25" w:rsidP="009C5E1F">
      <w:pPr>
        <w:snapToGrid w:val="0"/>
        <w:spacing w:line="360" w:lineRule="auto"/>
        <w:jc w:val="center"/>
        <w:rPr>
          <w:rFonts w:ascii="宋体" w:hAnsi="宋体"/>
          <w:b/>
          <w:bCs/>
          <w:color w:val="FF0000"/>
          <w:sz w:val="36"/>
          <w:szCs w:val="36"/>
        </w:rPr>
      </w:pPr>
      <w:r w:rsidRPr="009C5E1F">
        <w:rPr>
          <w:rFonts w:ascii="宋体" w:hAnsi="宋体" w:hint="eastAsia"/>
          <w:b/>
          <w:bCs/>
          <w:color w:val="FF0000"/>
          <w:sz w:val="36"/>
          <w:szCs w:val="36"/>
        </w:rPr>
        <w:t>安徽省交通建设</w:t>
      </w:r>
      <w:r w:rsidR="00D6509C" w:rsidRPr="009C5E1F">
        <w:rPr>
          <w:rFonts w:ascii="宋体" w:hAnsi="宋体" w:hint="eastAsia"/>
          <w:b/>
          <w:bCs/>
          <w:color w:val="FF0000"/>
          <w:sz w:val="36"/>
          <w:szCs w:val="36"/>
        </w:rPr>
        <w:t>股份有限公司</w:t>
      </w:r>
    </w:p>
    <w:p w:rsidR="00F706EE" w:rsidRPr="009C5E1F" w:rsidRDefault="007B796E" w:rsidP="009C5E1F">
      <w:pPr>
        <w:snapToGrid w:val="0"/>
        <w:spacing w:line="360" w:lineRule="auto"/>
        <w:jc w:val="center"/>
        <w:rPr>
          <w:rFonts w:ascii="宋体" w:hAnsi="宋体"/>
          <w:b/>
          <w:bCs/>
          <w:color w:val="FF0000"/>
          <w:sz w:val="36"/>
          <w:szCs w:val="36"/>
        </w:rPr>
      </w:pPr>
      <w:r w:rsidRPr="009C5E1F">
        <w:rPr>
          <w:rFonts w:ascii="宋体" w:hAnsi="宋体" w:hint="eastAsia"/>
          <w:b/>
          <w:bCs/>
          <w:color w:val="FF0000"/>
          <w:sz w:val="36"/>
          <w:szCs w:val="36"/>
        </w:rPr>
        <w:t>关于</w:t>
      </w:r>
      <w:r w:rsidR="00EA657D" w:rsidRPr="009C5E1F">
        <w:rPr>
          <w:rFonts w:ascii="宋体" w:hAnsi="宋体" w:hint="eastAsia"/>
          <w:b/>
          <w:bCs/>
          <w:color w:val="FF0000"/>
          <w:sz w:val="36"/>
          <w:szCs w:val="36"/>
        </w:rPr>
        <w:t>续聘</w:t>
      </w:r>
      <w:r w:rsidR="00F706EE" w:rsidRPr="009C5E1F">
        <w:rPr>
          <w:rFonts w:ascii="宋体" w:hAnsi="宋体" w:hint="eastAsia"/>
          <w:b/>
          <w:bCs/>
          <w:color w:val="FF0000"/>
          <w:sz w:val="36"/>
          <w:szCs w:val="36"/>
        </w:rPr>
        <w:t>会计师事务所</w:t>
      </w:r>
      <w:r w:rsidRPr="009C5E1F">
        <w:rPr>
          <w:rFonts w:ascii="宋体" w:hAnsi="宋体" w:hint="eastAsia"/>
          <w:b/>
          <w:bCs/>
          <w:color w:val="FF0000"/>
          <w:sz w:val="36"/>
          <w:szCs w:val="36"/>
        </w:rPr>
        <w:t>的</w:t>
      </w:r>
      <w:r w:rsidR="00F706EE" w:rsidRPr="009C5E1F">
        <w:rPr>
          <w:rFonts w:ascii="宋体" w:hAnsi="宋体" w:hint="eastAsia"/>
          <w:b/>
          <w:bCs/>
          <w:color w:val="FF0000"/>
          <w:sz w:val="36"/>
          <w:szCs w:val="36"/>
        </w:rPr>
        <w:t>公告</w:t>
      </w:r>
    </w:p>
    <w:p w:rsidR="00F706EE" w:rsidRPr="00600AB3" w:rsidRDefault="00F706EE" w:rsidP="000E3C25">
      <w:pPr>
        <w:pBdr>
          <w:top w:val="single" w:sz="4" w:space="1" w:color="auto"/>
          <w:left w:val="single" w:sz="4" w:space="4" w:color="auto"/>
          <w:bottom w:val="single" w:sz="4" w:space="1" w:color="auto"/>
          <w:right w:val="single" w:sz="4" w:space="17" w:color="auto"/>
        </w:pBdr>
        <w:adjustRightInd w:val="0"/>
        <w:snapToGrid w:val="0"/>
        <w:spacing w:line="360" w:lineRule="auto"/>
        <w:rPr>
          <w:rFonts w:ascii="宋体" w:hAnsi="宋体"/>
          <w:color w:val="000000"/>
          <w:sz w:val="24"/>
        </w:rPr>
      </w:pPr>
      <w:r>
        <w:rPr>
          <w:rFonts w:ascii="仿宋_GB2312" w:eastAsia="仿宋_GB2312" w:hAnsi="宋体" w:hint="eastAsia"/>
          <w:color w:val="000000"/>
          <w:sz w:val="30"/>
          <w:szCs w:val="30"/>
        </w:rPr>
        <w:t xml:space="preserve"> </w:t>
      </w:r>
      <w:r w:rsidRPr="000E3C25">
        <w:rPr>
          <w:rFonts w:ascii="宋体" w:hAnsi="宋体" w:hint="eastAsia"/>
          <w:color w:val="000000"/>
          <w:sz w:val="28"/>
          <w:szCs w:val="28"/>
        </w:rPr>
        <w:t xml:space="preserve">  </w:t>
      </w:r>
      <w:r w:rsidRPr="00600AB3">
        <w:rPr>
          <w:rFonts w:ascii="宋体" w:hAnsi="宋体" w:hint="eastAsia"/>
          <w:color w:val="000000"/>
          <w:sz w:val="24"/>
        </w:rPr>
        <w:t xml:space="preserve"> 本公司董事会及全体董事保证本公告内容不存在任何虚假记载、误导性陈述或者重大遗漏，并对其内容的真实性、准确性和完整性承担个别及连带责任。</w:t>
      </w:r>
    </w:p>
    <w:p w:rsidR="007B796E" w:rsidRPr="00600AB3" w:rsidRDefault="007B796E" w:rsidP="00600AB3">
      <w:pPr>
        <w:adjustRightInd w:val="0"/>
        <w:snapToGrid w:val="0"/>
        <w:spacing w:line="360" w:lineRule="auto"/>
        <w:ind w:firstLineChars="200" w:firstLine="480"/>
        <w:rPr>
          <w:rFonts w:ascii="宋体" w:hAnsi="宋体"/>
          <w:sz w:val="24"/>
        </w:rPr>
      </w:pPr>
    </w:p>
    <w:p w:rsidR="00F706EE" w:rsidRPr="00600AB3" w:rsidRDefault="00F706EE" w:rsidP="00600AB3">
      <w:pPr>
        <w:adjustRightInd w:val="0"/>
        <w:snapToGrid w:val="0"/>
        <w:spacing w:line="360" w:lineRule="auto"/>
        <w:ind w:firstLineChars="200" w:firstLine="480"/>
        <w:rPr>
          <w:rFonts w:ascii="宋体" w:hAnsi="宋体"/>
          <w:sz w:val="24"/>
        </w:rPr>
      </w:pPr>
      <w:r w:rsidRPr="00600AB3">
        <w:rPr>
          <w:rFonts w:ascii="宋体" w:hAnsi="宋体" w:hint="eastAsia"/>
          <w:sz w:val="24"/>
        </w:rPr>
        <w:t>重要内容提示：</w:t>
      </w:r>
    </w:p>
    <w:p w:rsidR="00F706EE" w:rsidRDefault="00195D1C" w:rsidP="00600AB3">
      <w:pPr>
        <w:numPr>
          <w:ilvl w:val="0"/>
          <w:numId w:val="2"/>
        </w:numPr>
        <w:adjustRightInd w:val="0"/>
        <w:snapToGrid w:val="0"/>
        <w:spacing w:line="360" w:lineRule="auto"/>
        <w:ind w:left="0" w:firstLineChars="200" w:firstLine="480"/>
        <w:rPr>
          <w:rFonts w:ascii="宋体" w:hAnsi="宋体"/>
          <w:sz w:val="24"/>
        </w:rPr>
      </w:pPr>
      <w:r w:rsidRPr="00600AB3">
        <w:rPr>
          <w:rFonts w:ascii="宋体" w:hAnsi="宋体" w:hint="eastAsia"/>
          <w:sz w:val="24"/>
        </w:rPr>
        <w:t>拟</w:t>
      </w:r>
      <w:r w:rsidR="001E7847" w:rsidRPr="00600AB3">
        <w:rPr>
          <w:rFonts w:ascii="宋体" w:hAnsi="宋体" w:hint="eastAsia"/>
          <w:sz w:val="24"/>
        </w:rPr>
        <w:t>聘任</w:t>
      </w:r>
      <w:r w:rsidRPr="00600AB3">
        <w:rPr>
          <w:rFonts w:ascii="宋体" w:hAnsi="宋体" w:hint="eastAsia"/>
          <w:sz w:val="24"/>
        </w:rPr>
        <w:t>的会计师事务所名称</w:t>
      </w:r>
      <w:r w:rsidR="007B796E" w:rsidRPr="00600AB3">
        <w:rPr>
          <w:rFonts w:ascii="宋体" w:hAnsi="宋体" w:hint="eastAsia"/>
          <w:sz w:val="24"/>
        </w:rPr>
        <w:t>：容诚会计师事务所（特殊普通合伙）</w:t>
      </w:r>
    </w:p>
    <w:p w:rsidR="00786708" w:rsidRDefault="00786708" w:rsidP="00786708">
      <w:pPr>
        <w:adjustRightInd w:val="0"/>
        <w:snapToGrid w:val="0"/>
        <w:spacing w:line="360" w:lineRule="auto"/>
        <w:ind w:left="480"/>
        <w:rPr>
          <w:rFonts w:ascii="宋体" w:hAnsi="宋体"/>
          <w:sz w:val="24"/>
        </w:rPr>
      </w:pPr>
    </w:p>
    <w:p w:rsidR="00786708" w:rsidRPr="00600AB3" w:rsidRDefault="00786708" w:rsidP="00786708">
      <w:pPr>
        <w:adjustRightInd w:val="0"/>
        <w:snapToGrid w:val="0"/>
        <w:spacing w:line="360" w:lineRule="auto"/>
        <w:ind w:firstLineChars="200" w:firstLine="480"/>
        <w:rPr>
          <w:rFonts w:ascii="宋体" w:hAnsi="宋体"/>
          <w:sz w:val="24"/>
        </w:rPr>
      </w:pPr>
      <w:r>
        <w:rPr>
          <w:rFonts w:ascii="宋体" w:hAnsi="宋体" w:hint="eastAsia"/>
          <w:sz w:val="24"/>
        </w:rPr>
        <w:t>安徽省交通建设股份有限公司</w:t>
      </w:r>
      <w:r w:rsidRPr="00786708">
        <w:rPr>
          <w:rFonts w:ascii="宋体" w:hAnsi="宋体" w:hint="eastAsia"/>
          <w:sz w:val="24"/>
        </w:rPr>
        <w:t>（以下简称“公司”</w:t>
      </w:r>
      <w:r>
        <w:rPr>
          <w:rFonts w:ascii="宋体" w:hAnsi="宋体" w:hint="eastAsia"/>
          <w:sz w:val="24"/>
        </w:rPr>
        <w:t>或“交建股份”</w:t>
      </w:r>
      <w:r w:rsidRPr="00786708">
        <w:rPr>
          <w:rFonts w:ascii="宋体" w:hAnsi="宋体" w:hint="eastAsia"/>
          <w:sz w:val="24"/>
        </w:rPr>
        <w:t xml:space="preserve">）2021年 </w:t>
      </w:r>
      <w:r>
        <w:rPr>
          <w:rFonts w:ascii="宋体" w:hAnsi="宋体" w:hint="eastAsia"/>
          <w:sz w:val="24"/>
        </w:rPr>
        <w:t>4</w:t>
      </w:r>
      <w:r w:rsidRPr="00786708">
        <w:rPr>
          <w:rFonts w:ascii="宋体" w:hAnsi="宋体" w:hint="eastAsia"/>
          <w:sz w:val="24"/>
        </w:rPr>
        <w:t>月</w:t>
      </w:r>
      <w:r>
        <w:rPr>
          <w:rFonts w:ascii="宋体" w:hAnsi="宋体" w:hint="eastAsia"/>
          <w:sz w:val="24"/>
        </w:rPr>
        <w:t>16</w:t>
      </w:r>
      <w:r w:rsidRPr="00786708">
        <w:rPr>
          <w:rFonts w:ascii="宋体" w:hAnsi="宋体" w:hint="eastAsia"/>
          <w:sz w:val="24"/>
        </w:rPr>
        <w:t>日召开第</w:t>
      </w:r>
      <w:r>
        <w:rPr>
          <w:rFonts w:ascii="宋体" w:hAnsi="宋体" w:hint="eastAsia"/>
          <w:sz w:val="24"/>
        </w:rPr>
        <w:t>二</w:t>
      </w:r>
      <w:r w:rsidRPr="00786708">
        <w:rPr>
          <w:rFonts w:ascii="宋体" w:hAnsi="宋体" w:hint="eastAsia"/>
          <w:sz w:val="24"/>
        </w:rPr>
        <w:t>届董事会第</w:t>
      </w:r>
      <w:r>
        <w:rPr>
          <w:rFonts w:ascii="宋体" w:hAnsi="宋体" w:hint="eastAsia"/>
          <w:sz w:val="24"/>
        </w:rPr>
        <w:t>十三</w:t>
      </w:r>
      <w:r w:rsidRPr="00786708">
        <w:rPr>
          <w:rFonts w:ascii="宋体" w:hAnsi="宋体" w:hint="eastAsia"/>
          <w:sz w:val="24"/>
        </w:rPr>
        <w:t>次会议，审议通过了</w:t>
      </w:r>
      <w:r w:rsidR="00C6644A" w:rsidRPr="00C6644A">
        <w:rPr>
          <w:rFonts w:ascii="宋体" w:hAnsi="宋体" w:hint="eastAsia"/>
          <w:sz w:val="24"/>
        </w:rPr>
        <w:t>《关于公司续聘会计师事务所的议案》</w:t>
      </w:r>
      <w:r w:rsidRPr="00786708">
        <w:rPr>
          <w:rFonts w:ascii="宋体" w:hAnsi="宋体" w:hint="eastAsia"/>
          <w:sz w:val="24"/>
        </w:rPr>
        <w:t>，拟续聘</w:t>
      </w:r>
      <w:r w:rsidRPr="00786708">
        <w:rPr>
          <w:rFonts w:ascii="宋体" w:hAnsi="宋体"/>
          <w:sz w:val="24"/>
        </w:rPr>
        <w:t>容诚会计师事务所</w:t>
      </w:r>
      <w:r w:rsidRPr="00786708">
        <w:rPr>
          <w:rFonts w:ascii="宋体" w:hAnsi="宋体" w:hint="eastAsia"/>
          <w:sz w:val="24"/>
        </w:rPr>
        <w:t>（特殊普通合伙）</w:t>
      </w:r>
      <w:r w:rsidR="00C6644A" w:rsidRPr="005604D2">
        <w:rPr>
          <w:rFonts w:ascii="宋体" w:hAnsi="宋体" w:hint="eastAsia"/>
          <w:sz w:val="24"/>
        </w:rPr>
        <w:t>为公司2</w:t>
      </w:r>
      <w:r w:rsidR="00C6644A" w:rsidRPr="005604D2">
        <w:rPr>
          <w:rFonts w:ascii="宋体" w:hAnsi="宋体"/>
          <w:sz w:val="24"/>
        </w:rPr>
        <w:t>02</w:t>
      </w:r>
      <w:r w:rsidR="00C6644A" w:rsidRPr="005604D2">
        <w:rPr>
          <w:rFonts w:ascii="宋体" w:hAnsi="宋体" w:hint="eastAsia"/>
          <w:sz w:val="24"/>
        </w:rPr>
        <w:t>1年度审计机构，负责为公司提供各项审计及相关服务</w:t>
      </w:r>
      <w:r w:rsidR="00C6644A">
        <w:rPr>
          <w:rFonts w:ascii="宋体" w:hAnsi="宋体" w:hint="eastAsia"/>
          <w:sz w:val="24"/>
        </w:rPr>
        <w:t>。</w:t>
      </w:r>
      <w:r w:rsidRPr="00786708">
        <w:rPr>
          <w:rFonts w:ascii="宋体" w:hAnsi="宋体" w:hint="eastAsia"/>
          <w:sz w:val="24"/>
        </w:rPr>
        <w:t>该事项尚须提交公司</w:t>
      </w:r>
      <w:r w:rsidR="00B61EC9">
        <w:rPr>
          <w:rFonts w:ascii="宋体" w:hAnsi="宋体" w:hint="eastAsia"/>
          <w:sz w:val="24"/>
        </w:rPr>
        <w:t>2020年年度</w:t>
      </w:r>
      <w:r w:rsidRPr="00786708">
        <w:rPr>
          <w:rFonts w:ascii="宋体" w:hAnsi="宋体" w:hint="eastAsia"/>
          <w:sz w:val="24"/>
        </w:rPr>
        <w:t>股东大会审议，现将有关事宜公告如下：</w:t>
      </w:r>
    </w:p>
    <w:p w:rsidR="008625DC" w:rsidRPr="00600AB3" w:rsidRDefault="008625DC" w:rsidP="00CE1E99">
      <w:pPr>
        <w:adjustRightInd w:val="0"/>
        <w:snapToGrid w:val="0"/>
        <w:spacing w:line="360" w:lineRule="auto"/>
        <w:outlineLvl w:val="0"/>
        <w:rPr>
          <w:rFonts w:ascii="宋体" w:hAnsi="宋体"/>
          <w:b/>
          <w:sz w:val="24"/>
        </w:rPr>
      </w:pPr>
      <w:r w:rsidRPr="00600AB3">
        <w:rPr>
          <w:rFonts w:ascii="宋体" w:hAnsi="宋体" w:hint="eastAsia"/>
          <w:sz w:val="24"/>
        </w:rPr>
        <w:t xml:space="preserve">    </w:t>
      </w:r>
      <w:r w:rsidRPr="00600AB3">
        <w:rPr>
          <w:rFonts w:ascii="宋体" w:hAnsi="宋体" w:hint="eastAsia"/>
          <w:b/>
          <w:sz w:val="24"/>
        </w:rPr>
        <w:t>一、拟</w:t>
      </w:r>
      <w:r w:rsidR="001E7847" w:rsidRPr="00600AB3">
        <w:rPr>
          <w:rFonts w:ascii="宋体" w:hAnsi="宋体" w:hint="eastAsia"/>
          <w:b/>
          <w:sz w:val="24"/>
        </w:rPr>
        <w:t>聘任</w:t>
      </w:r>
      <w:r w:rsidRPr="00600AB3">
        <w:rPr>
          <w:rFonts w:ascii="宋体" w:hAnsi="宋体" w:hint="eastAsia"/>
          <w:b/>
          <w:sz w:val="24"/>
        </w:rPr>
        <w:t>会计师事务所的基本情况</w:t>
      </w:r>
    </w:p>
    <w:p w:rsidR="006F68C5" w:rsidRPr="00600AB3" w:rsidRDefault="009F3D69" w:rsidP="00600AB3">
      <w:pPr>
        <w:adjustRightInd w:val="0"/>
        <w:snapToGrid w:val="0"/>
        <w:spacing w:line="360" w:lineRule="auto"/>
        <w:ind w:firstLineChars="200" w:firstLine="480"/>
        <w:rPr>
          <w:rFonts w:ascii="宋体" w:hAnsi="宋体"/>
          <w:sz w:val="24"/>
        </w:rPr>
      </w:pPr>
      <w:r w:rsidRPr="00600AB3">
        <w:rPr>
          <w:rFonts w:ascii="宋体" w:hAnsi="宋体" w:hint="eastAsia"/>
          <w:sz w:val="24"/>
        </w:rPr>
        <w:t>（一</w:t>
      </w:r>
      <w:r w:rsidRPr="00600AB3">
        <w:rPr>
          <w:rFonts w:ascii="宋体" w:hAnsi="宋体"/>
          <w:sz w:val="24"/>
        </w:rPr>
        <w:t>）</w:t>
      </w:r>
      <w:r w:rsidR="006F68C5" w:rsidRPr="00600AB3">
        <w:rPr>
          <w:rFonts w:ascii="宋体" w:hAnsi="宋体" w:hint="eastAsia"/>
          <w:sz w:val="24"/>
        </w:rPr>
        <w:t>机构</w:t>
      </w:r>
      <w:r w:rsidR="008625DC" w:rsidRPr="00600AB3">
        <w:rPr>
          <w:rFonts w:ascii="宋体" w:hAnsi="宋体" w:hint="eastAsia"/>
          <w:sz w:val="24"/>
        </w:rPr>
        <w:t>信息</w:t>
      </w:r>
    </w:p>
    <w:p w:rsidR="00CE1E99" w:rsidRPr="00600AB3" w:rsidRDefault="006F68C5" w:rsidP="00600AB3">
      <w:pPr>
        <w:adjustRightInd w:val="0"/>
        <w:snapToGrid w:val="0"/>
        <w:spacing w:line="360" w:lineRule="auto"/>
        <w:ind w:firstLineChars="200" w:firstLine="480"/>
        <w:rPr>
          <w:rFonts w:ascii="宋体" w:hAnsi="宋体"/>
          <w:sz w:val="24"/>
        </w:rPr>
      </w:pPr>
      <w:r w:rsidRPr="00600AB3">
        <w:rPr>
          <w:rFonts w:ascii="宋体" w:hAnsi="宋体" w:hint="eastAsia"/>
          <w:sz w:val="24"/>
        </w:rPr>
        <w:t>1</w:t>
      </w:r>
      <w:r w:rsidR="009F3D69" w:rsidRPr="00600AB3">
        <w:rPr>
          <w:rFonts w:ascii="宋体" w:hAnsi="宋体"/>
          <w:sz w:val="24"/>
        </w:rPr>
        <w:t>.</w:t>
      </w:r>
      <w:r w:rsidRPr="00600AB3">
        <w:rPr>
          <w:rFonts w:ascii="宋体" w:hAnsi="宋体" w:hint="eastAsia"/>
          <w:sz w:val="24"/>
        </w:rPr>
        <w:t>基本信息</w:t>
      </w:r>
    </w:p>
    <w:p w:rsidR="003D5CEC" w:rsidRPr="00600AB3" w:rsidRDefault="00C6644A" w:rsidP="00C6644A">
      <w:pPr>
        <w:adjustRightInd w:val="0"/>
        <w:snapToGrid w:val="0"/>
        <w:spacing w:line="360" w:lineRule="auto"/>
        <w:ind w:firstLineChars="200" w:firstLine="480"/>
        <w:rPr>
          <w:rFonts w:ascii="宋体" w:hAnsi="宋体"/>
          <w:sz w:val="24"/>
        </w:rPr>
      </w:pPr>
      <w:r w:rsidRPr="00C6644A">
        <w:rPr>
          <w:rFonts w:ascii="宋体" w:hAnsi="宋体" w:hint="eastAsia"/>
          <w:sz w:val="24"/>
        </w:rPr>
        <w:t>容诚会计师事务所（特殊普通合伙）由原华普天健会计师事务所（特殊普通合伙）更名而来，初始成立于1988年8月，2</w:t>
      </w:r>
      <w:r w:rsidRPr="00C6644A">
        <w:rPr>
          <w:rFonts w:ascii="宋体" w:hAnsi="宋体"/>
          <w:sz w:val="24"/>
        </w:rPr>
        <w:t>013</w:t>
      </w:r>
      <w:r w:rsidRPr="00C6644A">
        <w:rPr>
          <w:rFonts w:ascii="宋体" w:hAnsi="宋体" w:hint="eastAsia"/>
          <w:sz w:val="24"/>
        </w:rPr>
        <w:t>年1</w:t>
      </w:r>
      <w:r w:rsidRPr="00C6644A">
        <w:rPr>
          <w:rFonts w:ascii="宋体" w:hAnsi="宋体"/>
          <w:sz w:val="24"/>
        </w:rPr>
        <w:t>2</w:t>
      </w:r>
      <w:r w:rsidRPr="00C6644A">
        <w:rPr>
          <w:rFonts w:ascii="宋体" w:hAnsi="宋体" w:hint="eastAsia"/>
          <w:sz w:val="24"/>
        </w:rPr>
        <w:t>月1</w:t>
      </w:r>
      <w:r w:rsidRPr="00C6644A">
        <w:rPr>
          <w:rFonts w:ascii="宋体" w:hAnsi="宋体"/>
          <w:sz w:val="24"/>
        </w:rPr>
        <w:t>0</w:t>
      </w:r>
      <w:r w:rsidRPr="00C6644A">
        <w:rPr>
          <w:rFonts w:ascii="宋体" w:hAnsi="宋体" w:hint="eastAsia"/>
          <w:sz w:val="24"/>
        </w:rPr>
        <w:t>日改制为特殊普通合伙企业，是国内最早获准从事证券服务业务的会计师事务所之一，长期从事证券服务业务。注册地址为北京市西城区阜成门外大街</w:t>
      </w:r>
      <w:r w:rsidR="006613F7">
        <w:rPr>
          <w:rFonts w:ascii="宋体" w:hAnsi="宋体" w:hint="eastAsia"/>
          <w:sz w:val="24"/>
        </w:rPr>
        <w:t>22</w:t>
      </w:r>
      <w:r w:rsidRPr="00C6644A">
        <w:rPr>
          <w:rFonts w:ascii="宋体" w:hAnsi="宋体" w:hint="eastAsia"/>
          <w:sz w:val="24"/>
        </w:rPr>
        <w:t>号1幢外经贸大厦901-22至901-26，首席合伙人肖厚发。</w:t>
      </w:r>
    </w:p>
    <w:p w:rsidR="00C6644A" w:rsidRPr="00C6644A" w:rsidRDefault="00C6644A" w:rsidP="00C6644A">
      <w:pPr>
        <w:adjustRightInd w:val="0"/>
        <w:snapToGrid w:val="0"/>
        <w:spacing w:line="360" w:lineRule="auto"/>
        <w:ind w:firstLineChars="200" w:firstLine="480"/>
        <w:rPr>
          <w:rFonts w:ascii="宋体" w:hAnsi="宋体"/>
          <w:sz w:val="24"/>
        </w:rPr>
      </w:pPr>
      <w:r w:rsidRPr="00C6644A">
        <w:rPr>
          <w:rFonts w:ascii="宋体" w:hAnsi="宋体"/>
          <w:sz w:val="24"/>
        </w:rPr>
        <w:t>2.</w:t>
      </w:r>
      <w:r w:rsidRPr="00C6644A">
        <w:rPr>
          <w:rFonts w:ascii="宋体" w:hAnsi="宋体" w:hint="eastAsia"/>
          <w:sz w:val="24"/>
        </w:rPr>
        <w:t>人员</w:t>
      </w:r>
      <w:r w:rsidRPr="00C6644A">
        <w:rPr>
          <w:rFonts w:ascii="宋体" w:hAnsi="宋体"/>
          <w:sz w:val="24"/>
        </w:rPr>
        <w:t>信息</w:t>
      </w:r>
    </w:p>
    <w:p w:rsidR="00C6644A" w:rsidRPr="00C6644A" w:rsidRDefault="00C6644A" w:rsidP="00C6644A">
      <w:pPr>
        <w:adjustRightInd w:val="0"/>
        <w:snapToGrid w:val="0"/>
        <w:spacing w:line="360" w:lineRule="auto"/>
        <w:ind w:firstLineChars="200" w:firstLine="480"/>
        <w:rPr>
          <w:rFonts w:ascii="宋体" w:hAnsi="宋体"/>
          <w:sz w:val="24"/>
        </w:rPr>
      </w:pPr>
      <w:r w:rsidRPr="00C6644A">
        <w:rPr>
          <w:rFonts w:ascii="宋体" w:hAnsi="宋体" w:hint="eastAsia"/>
          <w:sz w:val="24"/>
        </w:rPr>
        <w:t>截至2020年12月31日，容诚会计师事务所共有合伙人132人，共有注册会计师1018人，其中445人签署过证券服务业务审计报告。</w:t>
      </w:r>
    </w:p>
    <w:p w:rsidR="00C6644A" w:rsidRPr="00C6644A" w:rsidRDefault="00C6644A" w:rsidP="00C6644A">
      <w:pPr>
        <w:adjustRightInd w:val="0"/>
        <w:snapToGrid w:val="0"/>
        <w:spacing w:line="360" w:lineRule="auto"/>
        <w:ind w:firstLineChars="200" w:firstLine="480"/>
        <w:rPr>
          <w:rFonts w:ascii="宋体" w:hAnsi="宋体"/>
          <w:sz w:val="24"/>
        </w:rPr>
      </w:pPr>
      <w:r w:rsidRPr="00C6644A">
        <w:rPr>
          <w:rFonts w:ascii="宋体" w:hAnsi="宋体"/>
          <w:sz w:val="24"/>
        </w:rPr>
        <w:t>3</w:t>
      </w:r>
      <w:r w:rsidRPr="00C6644A">
        <w:rPr>
          <w:rFonts w:ascii="宋体" w:hAnsi="宋体" w:hint="eastAsia"/>
          <w:sz w:val="24"/>
        </w:rPr>
        <w:t>.业务规模</w:t>
      </w:r>
    </w:p>
    <w:p w:rsidR="00C6644A" w:rsidRPr="00C6644A" w:rsidRDefault="00C6644A" w:rsidP="00C6644A">
      <w:pPr>
        <w:adjustRightInd w:val="0"/>
        <w:snapToGrid w:val="0"/>
        <w:spacing w:line="360" w:lineRule="auto"/>
        <w:ind w:firstLineChars="200" w:firstLine="480"/>
        <w:rPr>
          <w:rFonts w:ascii="宋体" w:hAnsi="宋体"/>
          <w:sz w:val="24"/>
        </w:rPr>
      </w:pPr>
      <w:r w:rsidRPr="00C6644A">
        <w:rPr>
          <w:rFonts w:ascii="宋体" w:hAnsi="宋体" w:hint="eastAsia"/>
          <w:sz w:val="24"/>
        </w:rPr>
        <w:t>容诚会计师事务所经审计的2019年度收入总额为105</w:t>
      </w:r>
      <w:r w:rsidRPr="00C6644A">
        <w:rPr>
          <w:rFonts w:ascii="宋体" w:hAnsi="宋体"/>
          <w:sz w:val="24"/>
        </w:rPr>
        <w:t>,</w:t>
      </w:r>
      <w:r w:rsidRPr="00C6644A">
        <w:rPr>
          <w:rFonts w:ascii="宋体" w:hAnsi="宋体" w:hint="eastAsia"/>
          <w:sz w:val="24"/>
        </w:rPr>
        <w:t>772.13万元，其中审</w:t>
      </w:r>
      <w:r w:rsidRPr="00C6644A">
        <w:rPr>
          <w:rFonts w:ascii="宋体" w:hAnsi="宋体" w:hint="eastAsia"/>
          <w:sz w:val="24"/>
        </w:rPr>
        <w:lastRenderedPageBreak/>
        <w:t>计业务收入82,969.01万元，证券期货业务收入46,621.72万元。</w:t>
      </w:r>
    </w:p>
    <w:p w:rsidR="00C6644A" w:rsidRPr="00C6644A" w:rsidRDefault="00C6644A" w:rsidP="00C6644A">
      <w:pPr>
        <w:adjustRightInd w:val="0"/>
        <w:snapToGrid w:val="0"/>
        <w:spacing w:line="360" w:lineRule="auto"/>
        <w:ind w:firstLineChars="200" w:firstLine="480"/>
        <w:rPr>
          <w:rFonts w:ascii="宋体" w:hAnsi="宋体"/>
          <w:sz w:val="24"/>
        </w:rPr>
      </w:pPr>
      <w:r w:rsidRPr="00C6644A">
        <w:rPr>
          <w:rFonts w:ascii="宋体" w:hAnsi="宋体" w:hint="eastAsia"/>
          <w:sz w:val="24"/>
        </w:rPr>
        <w:t>容诚会计师事务所共承担2</w:t>
      </w:r>
      <w:r w:rsidRPr="00C6644A">
        <w:rPr>
          <w:rFonts w:ascii="宋体" w:hAnsi="宋体"/>
          <w:sz w:val="24"/>
        </w:rPr>
        <w:t>10</w:t>
      </w:r>
      <w:r w:rsidRPr="00C6644A">
        <w:rPr>
          <w:rFonts w:ascii="宋体" w:hAnsi="宋体" w:hint="eastAsia"/>
          <w:sz w:val="24"/>
        </w:rPr>
        <w:t>家上市公司201</w:t>
      </w:r>
      <w:r w:rsidRPr="00C6644A">
        <w:rPr>
          <w:rFonts w:ascii="宋体" w:hAnsi="宋体"/>
          <w:sz w:val="24"/>
        </w:rPr>
        <w:t>9</w:t>
      </w:r>
      <w:r w:rsidRPr="00C6644A">
        <w:rPr>
          <w:rFonts w:ascii="宋体" w:hAnsi="宋体" w:hint="eastAsia"/>
          <w:sz w:val="24"/>
        </w:rPr>
        <w:t>年年报审计业务，</w:t>
      </w:r>
      <w:bookmarkStart w:id="0" w:name="_Hlk46928521"/>
      <w:r w:rsidRPr="00C6644A">
        <w:rPr>
          <w:rFonts w:ascii="宋体" w:hAnsi="宋体" w:hint="eastAsia"/>
          <w:sz w:val="24"/>
        </w:rPr>
        <w:t>审计收费总额25,290.04万元，客户主要集中在制造业（包括但不限于汽车及零部件制造、化学原料和化学制品、电气机械和器材、通信和其他电子设备、专用设备、有色金属冶炼和压延加工业、服装、家具、食品饮料）及信息传输、软件和信息技术服务业，批发和零售业，建筑业，交通运输、仓储和邮政业，租赁和商业服务业，文化、体育和娱乐业，科学研究和技术服务业，电力、热力、燃气及水生产和供应业，金融业，水利、环境和公共设施管理业等多个行业。</w:t>
      </w:r>
      <w:bookmarkEnd w:id="0"/>
      <w:r w:rsidRPr="00C6644A">
        <w:rPr>
          <w:rFonts w:ascii="宋体" w:hAnsi="宋体" w:hint="eastAsia"/>
          <w:sz w:val="24"/>
        </w:rPr>
        <w:t>容诚会计师事务所对安徽省交通建设股份有限公司所在的相同行业上市公司审计客户家数为10家。</w:t>
      </w:r>
    </w:p>
    <w:p w:rsidR="00C6644A" w:rsidRPr="00C6644A" w:rsidRDefault="00C6644A" w:rsidP="00C6644A">
      <w:pPr>
        <w:adjustRightInd w:val="0"/>
        <w:snapToGrid w:val="0"/>
        <w:spacing w:line="360" w:lineRule="auto"/>
        <w:ind w:firstLineChars="200" w:firstLine="480"/>
        <w:rPr>
          <w:rFonts w:ascii="宋体" w:hAnsi="宋体"/>
          <w:sz w:val="24"/>
        </w:rPr>
      </w:pPr>
      <w:r w:rsidRPr="00C6644A">
        <w:rPr>
          <w:rFonts w:ascii="宋体" w:hAnsi="宋体"/>
          <w:sz w:val="24"/>
        </w:rPr>
        <w:t>4.</w:t>
      </w:r>
      <w:r w:rsidRPr="00C6644A">
        <w:rPr>
          <w:rFonts w:ascii="宋体" w:hAnsi="宋体" w:hint="eastAsia"/>
          <w:sz w:val="24"/>
        </w:rPr>
        <w:t>投资者保护能力</w:t>
      </w:r>
    </w:p>
    <w:p w:rsidR="00C6644A" w:rsidRPr="00C6644A" w:rsidRDefault="00C6644A" w:rsidP="00C6644A">
      <w:pPr>
        <w:adjustRightInd w:val="0"/>
        <w:snapToGrid w:val="0"/>
        <w:spacing w:line="360" w:lineRule="auto"/>
        <w:ind w:firstLineChars="200" w:firstLine="480"/>
        <w:rPr>
          <w:rFonts w:ascii="宋体" w:hAnsi="宋体"/>
          <w:sz w:val="24"/>
        </w:rPr>
      </w:pPr>
      <w:r w:rsidRPr="00C6644A">
        <w:rPr>
          <w:rFonts w:ascii="宋体" w:hAnsi="宋体" w:hint="eastAsia"/>
          <w:sz w:val="24"/>
        </w:rPr>
        <w:t>容诚会计师事务所已购买注册会计师职业责任保险，职业保险购买符合相关规定；截至2</w:t>
      </w:r>
      <w:r w:rsidRPr="00C6644A">
        <w:rPr>
          <w:rFonts w:ascii="宋体" w:hAnsi="宋体"/>
          <w:sz w:val="24"/>
        </w:rPr>
        <w:t>020</w:t>
      </w:r>
      <w:r w:rsidRPr="00C6644A">
        <w:rPr>
          <w:rFonts w:ascii="宋体" w:hAnsi="宋体" w:hint="eastAsia"/>
          <w:sz w:val="24"/>
        </w:rPr>
        <w:t>年1</w:t>
      </w:r>
      <w:r w:rsidRPr="00C6644A">
        <w:rPr>
          <w:rFonts w:ascii="宋体" w:hAnsi="宋体"/>
          <w:sz w:val="24"/>
        </w:rPr>
        <w:t>2</w:t>
      </w:r>
      <w:r w:rsidRPr="00C6644A">
        <w:rPr>
          <w:rFonts w:ascii="宋体" w:hAnsi="宋体" w:hint="eastAsia"/>
          <w:sz w:val="24"/>
        </w:rPr>
        <w:t>月3</w:t>
      </w:r>
      <w:r w:rsidRPr="00C6644A">
        <w:rPr>
          <w:rFonts w:ascii="宋体" w:hAnsi="宋体"/>
          <w:sz w:val="24"/>
        </w:rPr>
        <w:t>1</w:t>
      </w:r>
      <w:r w:rsidRPr="00C6644A">
        <w:rPr>
          <w:rFonts w:ascii="宋体" w:hAnsi="宋体" w:hint="eastAsia"/>
          <w:sz w:val="24"/>
        </w:rPr>
        <w:t>日累计责任赔偿限额7亿元；近三年无因执业行为发生相关民事诉讼。</w:t>
      </w:r>
    </w:p>
    <w:p w:rsidR="00C6644A" w:rsidRPr="00C6644A" w:rsidRDefault="00C6644A" w:rsidP="00C6644A">
      <w:pPr>
        <w:adjustRightInd w:val="0"/>
        <w:snapToGrid w:val="0"/>
        <w:spacing w:line="360" w:lineRule="auto"/>
        <w:ind w:firstLineChars="200" w:firstLine="480"/>
        <w:rPr>
          <w:rFonts w:ascii="宋体" w:hAnsi="宋体"/>
          <w:sz w:val="24"/>
        </w:rPr>
      </w:pPr>
      <w:r w:rsidRPr="00C6644A">
        <w:rPr>
          <w:rFonts w:ascii="宋体" w:hAnsi="宋体"/>
          <w:sz w:val="24"/>
        </w:rPr>
        <w:t>5</w:t>
      </w:r>
      <w:r w:rsidRPr="00C6644A">
        <w:rPr>
          <w:rFonts w:ascii="宋体" w:hAnsi="宋体" w:hint="eastAsia"/>
          <w:sz w:val="24"/>
        </w:rPr>
        <w:t>.诚信记录</w:t>
      </w:r>
    </w:p>
    <w:p w:rsidR="00C6644A" w:rsidRPr="00C6644A" w:rsidRDefault="00C6644A" w:rsidP="00C6644A">
      <w:pPr>
        <w:adjustRightInd w:val="0"/>
        <w:snapToGrid w:val="0"/>
        <w:spacing w:line="360" w:lineRule="auto"/>
        <w:ind w:firstLineChars="200" w:firstLine="480"/>
        <w:rPr>
          <w:rFonts w:ascii="宋体" w:hAnsi="宋体"/>
          <w:sz w:val="24"/>
        </w:rPr>
      </w:pPr>
      <w:r w:rsidRPr="00C6644A">
        <w:rPr>
          <w:rFonts w:ascii="宋体" w:hAnsi="宋体" w:hint="eastAsia"/>
          <w:sz w:val="24"/>
        </w:rPr>
        <w:t>容诚会计师事务所近三年因执业行为受到刑事处罚 0 次、行政处罚 0 次、监督管理措施 1 次、自律监管措施 0 次、纪律处分</w:t>
      </w:r>
      <w:r w:rsidR="006613F7">
        <w:rPr>
          <w:rFonts w:ascii="宋体" w:hAnsi="宋体" w:hint="eastAsia"/>
          <w:sz w:val="24"/>
        </w:rPr>
        <w:t>0</w:t>
      </w:r>
      <w:r w:rsidRPr="00C6644A">
        <w:rPr>
          <w:rFonts w:ascii="宋体" w:hAnsi="宋体" w:hint="eastAsia"/>
          <w:sz w:val="24"/>
        </w:rPr>
        <w:t>次。</w:t>
      </w:r>
    </w:p>
    <w:p w:rsidR="00C6644A" w:rsidRPr="00C6644A" w:rsidRDefault="00C6644A" w:rsidP="00C6644A">
      <w:pPr>
        <w:adjustRightInd w:val="0"/>
        <w:snapToGrid w:val="0"/>
        <w:spacing w:line="360" w:lineRule="auto"/>
        <w:ind w:firstLineChars="200" w:firstLine="480"/>
        <w:rPr>
          <w:rFonts w:ascii="宋体" w:hAnsi="宋体"/>
          <w:sz w:val="24"/>
        </w:rPr>
      </w:pPr>
      <w:r w:rsidRPr="00C6644A">
        <w:rPr>
          <w:rFonts w:ascii="宋体" w:hAnsi="宋体" w:hint="eastAsia"/>
          <w:sz w:val="24"/>
        </w:rPr>
        <w:t>2名从业人员近三年在容诚会计师事务所执业期间对同一客户执业行为受到自律监管措施1次；11名从业人员近三年在容诚会计师事务所执业期间受到监督管理措施各</w:t>
      </w:r>
      <w:r w:rsidRPr="00C6644A">
        <w:rPr>
          <w:rFonts w:ascii="宋体" w:hAnsi="宋体"/>
          <w:sz w:val="24"/>
        </w:rPr>
        <w:t>1</w:t>
      </w:r>
      <w:r w:rsidRPr="00C6644A">
        <w:rPr>
          <w:rFonts w:ascii="宋体" w:hAnsi="宋体" w:hint="eastAsia"/>
          <w:sz w:val="24"/>
        </w:rPr>
        <w:t>次。</w:t>
      </w:r>
    </w:p>
    <w:p w:rsidR="00C6644A" w:rsidRPr="00C6644A" w:rsidRDefault="00C6644A" w:rsidP="00C6644A">
      <w:pPr>
        <w:adjustRightInd w:val="0"/>
        <w:snapToGrid w:val="0"/>
        <w:spacing w:line="360" w:lineRule="auto"/>
        <w:ind w:firstLineChars="200" w:firstLine="480"/>
        <w:rPr>
          <w:rFonts w:ascii="宋体" w:hAnsi="宋体"/>
          <w:sz w:val="24"/>
        </w:rPr>
      </w:pPr>
      <w:r w:rsidRPr="00C6644A">
        <w:rPr>
          <w:rFonts w:ascii="宋体" w:hAnsi="宋体"/>
          <w:sz w:val="24"/>
        </w:rPr>
        <w:t>3</w:t>
      </w:r>
      <w:r w:rsidRPr="00C6644A">
        <w:rPr>
          <w:rFonts w:ascii="宋体" w:hAnsi="宋体" w:hint="eastAsia"/>
          <w:sz w:val="24"/>
        </w:rPr>
        <w:t>名从业人员近三年在其他会计师事务所执业期间对同一客户执业行为受到监督管理措施</w:t>
      </w:r>
      <w:r w:rsidRPr="00C6644A">
        <w:rPr>
          <w:rFonts w:ascii="宋体" w:hAnsi="宋体"/>
          <w:sz w:val="24"/>
        </w:rPr>
        <w:t>1</w:t>
      </w:r>
      <w:r w:rsidRPr="00C6644A">
        <w:rPr>
          <w:rFonts w:ascii="宋体" w:hAnsi="宋体" w:hint="eastAsia"/>
          <w:sz w:val="24"/>
        </w:rPr>
        <w:t>次；4名从业人员近三年在其他会计师事务所执业期间对不同客户执业行为受到监督管理措施各</w:t>
      </w:r>
      <w:r w:rsidRPr="00C6644A">
        <w:rPr>
          <w:rFonts w:ascii="宋体" w:hAnsi="宋体"/>
          <w:sz w:val="24"/>
        </w:rPr>
        <w:t>1</w:t>
      </w:r>
      <w:r w:rsidRPr="00C6644A">
        <w:rPr>
          <w:rFonts w:ascii="宋体" w:hAnsi="宋体" w:hint="eastAsia"/>
          <w:sz w:val="24"/>
        </w:rPr>
        <w:t>次。</w:t>
      </w:r>
    </w:p>
    <w:p w:rsidR="006613F7" w:rsidRPr="006613F7" w:rsidRDefault="006613F7" w:rsidP="006613F7">
      <w:pPr>
        <w:adjustRightInd w:val="0"/>
        <w:snapToGrid w:val="0"/>
        <w:spacing w:line="360" w:lineRule="auto"/>
        <w:ind w:firstLineChars="200" w:firstLine="480"/>
        <w:outlineLvl w:val="0"/>
        <w:rPr>
          <w:rFonts w:ascii="宋体" w:hAnsi="宋体"/>
          <w:sz w:val="24"/>
        </w:rPr>
      </w:pPr>
      <w:r w:rsidRPr="006613F7">
        <w:rPr>
          <w:rFonts w:ascii="宋体" w:hAnsi="宋体" w:hint="eastAsia"/>
          <w:sz w:val="24"/>
        </w:rPr>
        <w:t>（二）项目信息</w:t>
      </w:r>
    </w:p>
    <w:p w:rsidR="006613F7" w:rsidRPr="006613F7" w:rsidRDefault="006613F7" w:rsidP="006613F7">
      <w:pPr>
        <w:adjustRightInd w:val="0"/>
        <w:snapToGrid w:val="0"/>
        <w:spacing w:line="360" w:lineRule="auto"/>
        <w:ind w:firstLineChars="200" w:firstLine="480"/>
        <w:rPr>
          <w:rFonts w:ascii="宋体" w:hAnsi="宋体"/>
          <w:sz w:val="24"/>
        </w:rPr>
      </w:pPr>
      <w:r w:rsidRPr="006613F7">
        <w:rPr>
          <w:rFonts w:ascii="宋体" w:hAnsi="宋体" w:hint="eastAsia"/>
          <w:sz w:val="24"/>
        </w:rPr>
        <w:t>1</w:t>
      </w:r>
      <w:r w:rsidRPr="006613F7">
        <w:rPr>
          <w:rFonts w:ascii="宋体" w:hAnsi="宋体"/>
          <w:sz w:val="24"/>
        </w:rPr>
        <w:t>.</w:t>
      </w:r>
      <w:r w:rsidRPr="006613F7">
        <w:rPr>
          <w:rFonts w:ascii="宋体" w:hAnsi="宋体" w:hint="eastAsia"/>
          <w:sz w:val="24"/>
        </w:rPr>
        <w:t>基本</w:t>
      </w:r>
      <w:r w:rsidRPr="006613F7">
        <w:rPr>
          <w:rFonts w:ascii="宋体" w:hAnsi="宋体"/>
          <w:sz w:val="24"/>
        </w:rPr>
        <w:t>信息</w:t>
      </w:r>
    </w:p>
    <w:p w:rsidR="006613F7" w:rsidRPr="006613F7" w:rsidRDefault="006613F7" w:rsidP="006613F7">
      <w:pPr>
        <w:adjustRightInd w:val="0"/>
        <w:snapToGrid w:val="0"/>
        <w:spacing w:line="360" w:lineRule="auto"/>
        <w:ind w:firstLineChars="200" w:firstLine="480"/>
        <w:rPr>
          <w:rFonts w:ascii="宋体" w:hAnsi="宋体"/>
          <w:sz w:val="24"/>
        </w:rPr>
      </w:pPr>
      <w:r w:rsidRPr="006613F7">
        <w:rPr>
          <w:rFonts w:ascii="宋体" w:hAnsi="宋体" w:hint="eastAsia"/>
          <w:sz w:val="24"/>
        </w:rPr>
        <w:t>项目合伙人：卢珍，中国注册会计师、中国注册资产评估师、中国注册税务师、安徽省注册会计师行业领军人才。2</w:t>
      </w:r>
      <w:r w:rsidRPr="006613F7">
        <w:rPr>
          <w:rFonts w:ascii="宋体" w:hAnsi="宋体"/>
          <w:sz w:val="24"/>
        </w:rPr>
        <w:t>004</w:t>
      </w:r>
      <w:r w:rsidRPr="006613F7">
        <w:rPr>
          <w:rFonts w:ascii="宋体" w:hAnsi="宋体" w:hint="eastAsia"/>
          <w:sz w:val="24"/>
        </w:rPr>
        <w:t>年开始从事审计业务，曾为安徽合力（6</w:t>
      </w:r>
      <w:r w:rsidRPr="006613F7">
        <w:rPr>
          <w:rFonts w:ascii="宋体" w:hAnsi="宋体"/>
          <w:sz w:val="24"/>
        </w:rPr>
        <w:t>00761</w:t>
      </w:r>
      <w:r w:rsidRPr="006613F7">
        <w:rPr>
          <w:rFonts w:ascii="宋体" w:hAnsi="宋体" w:hint="eastAsia"/>
          <w:sz w:val="24"/>
        </w:rPr>
        <w:t>）、安纳达（0</w:t>
      </w:r>
      <w:r w:rsidRPr="006613F7">
        <w:rPr>
          <w:rFonts w:ascii="宋体" w:hAnsi="宋体"/>
          <w:sz w:val="24"/>
        </w:rPr>
        <w:t>02136</w:t>
      </w:r>
      <w:r w:rsidRPr="006613F7">
        <w:rPr>
          <w:rFonts w:ascii="宋体" w:hAnsi="宋体" w:hint="eastAsia"/>
          <w:sz w:val="24"/>
        </w:rPr>
        <w:t>）、中科新材（0</w:t>
      </w:r>
      <w:r w:rsidRPr="006613F7">
        <w:rPr>
          <w:rFonts w:ascii="宋体" w:hAnsi="宋体"/>
          <w:sz w:val="24"/>
        </w:rPr>
        <w:t>02290</w:t>
      </w:r>
      <w:r w:rsidRPr="006613F7">
        <w:rPr>
          <w:rFonts w:ascii="宋体" w:hAnsi="宋体" w:hint="eastAsia"/>
          <w:sz w:val="24"/>
        </w:rPr>
        <w:t>）、长信科技（3</w:t>
      </w:r>
      <w:r w:rsidRPr="006613F7">
        <w:rPr>
          <w:rFonts w:ascii="宋体" w:hAnsi="宋体"/>
          <w:sz w:val="24"/>
        </w:rPr>
        <w:t>00088</w:t>
      </w:r>
      <w:r w:rsidRPr="006613F7">
        <w:rPr>
          <w:rFonts w:ascii="宋体" w:hAnsi="宋体" w:hint="eastAsia"/>
          <w:sz w:val="24"/>
        </w:rPr>
        <w:t>）、合肥城建（0</w:t>
      </w:r>
      <w:r w:rsidRPr="006613F7">
        <w:rPr>
          <w:rFonts w:ascii="宋体" w:hAnsi="宋体"/>
          <w:sz w:val="24"/>
        </w:rPr>
        <w:t>02208</w:t>
      </w:r>
      <w:r w:rsidRPr="006613F7">
        <w:rPr>
          <w:rFonts w:ascii="宋体" w:hAnsi="宋体" w:hint="eastAsia"/>
          <w:sz w:val="24"/>
        </w:rPr>
        <w:t>）等上市公司提供财务报表审计、内部控制审计等各项证券服务业务，无兼职情况。</w:t>
      </w:r>
    </w:p>
    <w:p w:rsidR="006613F7" w:rsidRPr="006613F7" w:rsidRDefault="006613F7" w:rsidP="006613F7">
      <w:pPr>
        <w:adjustRightInd w:val="0"/>
        <w:snapToGrid w:val="0"/>
        <w:spacing w:line="360" w:lineRule="auto"/>
        <w:ind w:firstLineChars="200" w:firstLine="480"/>
        <w:rPr>
          <w:rFonts w:ascii="宋体" w:hAnsi="宋体"/>
          <w:sz w:val="24"/>
        </w:rPr>
      </w:pPr>
      <w:r w:rsidRPr="006613F7">
        <w:rPr>
          <w:rFonts w:ascii="宋体" w:hAnsi="宋体" w:hint="eastAsia"/>
          <w:sz w:val="24"/>
        </w:rPr>
        <w:t>项目签字注册会计师：王书彦，中国注册会计师，2</w:t>
      </w:r>
      <w:r w:rsidRPr="006613F7">
        <w:rPr>
          <w:rFonts w:ascii="宋体" w:hAnsi="宋体"/>
          <w:sz w:val="24"/>
        </w:rPr>
        <w:t>01</w:t>
      </w:r>
      <w:r w:rsidRPr="006613F7">
        <w:rPr>
          <w:rFonts w:ascii="宋体" w:hAnsi="宋体" w:hint="eastAsia"/>
          <w:sz w:val="24"/>
        </w:rPr>
        <w:t>1年开始从事审计业</w:t>
      </w:r>
      <w:r w:rsidRPr="006613F7">
        <w:rPr>
          <w:rFonts w:ascii="宋体" w:hAnsi="宋体" w:hint="eastAsia"/>
          <w:sz w:val="24"/>
        </w:rPr>
        <w:lastRenderedPageBreak/>
        <w:t>务，曾为设计总院（603357）、皖仪科技（688600）、美悦股份（872458）、润东科技（836590）等上市公司、新三板挂牌企业提供财务报表审计、内部控制审计等各项证券服务业务，无兼职情况。</w:t>
      </w:r>
    </w:p>
    <w:p w:rsidR="006613F7" w:rsidRPr="006613F7" w:rsidRDefault="006613F7" w:rsidP="006613F7">
      <w:pPr>
        <w:adjustRightInd w:val="0"/>
        <w:snapToGrid w:val="0"/>
        <w:spacing w:line="360" w:lineRule="auto"/>
        <w:ind w:firstLineChars="200" w:firstLine="480"/>
        <w:rPr>
          <w:rFonts w:ascii="宋体" w:hAnsi="宋体"/>
          <w:sz w:val="24"/>
        </w:rPr>
      </w:pPr>
      <w:r w:rsidRPr="006613F7">
        <w:rPr>
          <w:rFonts w:ascii="宋体" w:hAnsi="宋体" w:hint="eastAsia"/>
          <w:sz w:val="24"/>
        </w:rPr>
        <w:t>项目质量控制复核人：郑贤中，中国注册会计师，2009年开始从事审计业务，拥有12年证券服务业务工作经验，无兼职情况。</w:t>
      </w:r>
    </w:p>
    <w:p w:rsidR="006613F7" w:rsidRPr="006613F7" w:rsidRDefault="006613F7" w:rsidP="006613F7">
      <w:pPr>
        <w:adjustRightInd w:val="0"/>
        <w:snapToGrid w:val="0"/>
        <w:spacing w:line="360" w:lineRule="auto"/>
        <w:ind w:firstLineChars="200" w:firstLine="480"/>
        <w:rPr>
          <w:rFonts w:ascii="宋体" w:hAnsi="宋体"/>
          <w:sz w:val="24"/>
        </w:rPr>
      </w:pPr>
      <w:r w:rsidRPr="006613F7">
        <w:rPr>
          <w:rFonts w:ascii="宋体" w:hAnsi="宋体" w:hint="eastAsia"/>
          <w:sz w:val="24"/>
        </w:rPr>
        <w:t>2</w:t>
      </w:r>
      <w:r w:rsidRPr="006613F7">
        <w:rPr>
          <w:rFonts w:ascii="宋体" w:hAnsi="宋体"/>
          <w:sz w:val="24"/>
        </w:rPr>
        <w:t>.</w:t>
      </w:r>
      <w:r w:rsidRPr="006613F7">
        <w:rPr>
          <w:rFonts w:ascii="宋体" w:hAnsi="宋体" w:hint="eastAsia"/>
          <w:sz w:val="24"/>
        </w:rPr>
        <w:t>上述</w:t>
      </w:r>
      <w:r w:rsidRPr="006613F7">
        <w:rPr>
          <w:rFonts w:ascii="宋体" w:hAnsi="宋体"/>
          <w:sz w:val="24"/>
        </w:rPr>
        <w:t>相关人员的</w:t>
      </w:r>
      <w:r w:rsidRPr="006613F7">
        <w:rPr>
          <w:rFonts w:ascii="宋体" w:hAnsi="宋体" w:hint="eastAsia"/>
          <w:sz w:val="24"/>
        </w:rPr>
        <w:t>诚信记录情况</w:t>
      </w:r>
    </w:p>
    <w:p w:rsidR="006613F7" w:rsidRPr="006613F7" w:rsidRDefault="006613F7" w:rsidP="006613F7">
      <w:pPr>
        <w:adjustRightInd w:val="0"/>
        <w:snapToGrid w:val="0"/>
        <w:spacing w:line="360" w:lineRule="auto"/>
        <w:ind w:firstLineChars="200" w:firstLine="480"/>
        <w:rPr>
          <w:rFonts w:ascii="宋体" w:hAnsi="宋体"/>
          <w:sz w:val="24"/>
        </w:rPr>
      </w:pPr>
      <w:r w:rsidRPr="006613F7">
        <w:rPr>
          <w:rFonts w:ascii="宋体" w:hAnsi="宋体"/>
          <w:sz w:val="24"/>
        </w:rPr>
        <w:t>项目合伙人</w:t>
      </w:r>
      <w:r w:rsidRPr="006613F7">
        <w:rPr>
          <w:rFonts w:ascii="宋体" w:hAnsi="宋体" w:hint="eastAsia"/>
          <w:sz w:val="24"/>
        </w:rPr>
        <w:t>卢珍、</w:t>
      </w:r>
      <w:r w:rsidRPr="006613F7">
        <w:rPr>
          <w:rFonts w:ascii="宋体" w:hAnsi="宋体"/>
          <w:sz w:val="24"/>
        </w:rPr>
        <w:t>签字注册会计师</w:t>
      </w:r>
      <w:r w:rsidRPr="006613F7">
        <w:rPr>
          <w:rFonts w:ascii="宋体" w:hAnsi="宋体" w:hint="eastAsia"/>
          <w:sz w:val="24"/>
        </w:rPr>
        <w:t>王书彦</w:t>
      </w:r>
      <w:r w:rsidRPr="006613F7">
        <w:rPr>
          <w:rFonts w:ascii="宋体" w:hAnsi="宋体"/>
          <w:sz w:val="24"/>
        </w:rPr>
        <w:t>、项目质量控制复核人</w:t>
      </w:r>
      <w:r w:rsidRPr="006613F7">
        <w:rPr>
          <w:rFonts w:ascii="宋体" w:hAnsi="宋体" w:hint="eastAsia"/>
          <w:sz w:val="24"/>
        </w:rPr>
        <w:t>郑贤中</w:t>
      </w:r>
      <w:r w:rsidRPr="006613F7">
        <w:rPr>
          <w:rFonts w:ascii="宋体" w:hAnsi="宋体"/>
          <w:sz w:val="24"/>
        </w:rPr>
        <w:t>近三年内未曾因执业行为受到刑事处罚、行政处罚、监督管理措施和自律监管措施、纪律处分。</w:t>
      </w:r>
    </w:p>
    <w:p w:rsidR="006613F7" w:rsidRPr="006613F7" w:rsidRDefault="006613F7" w:rsidP="006613F7">
      <w:pPr>
        <w:adjustRightInd w:val="0"/>
        <w:snapToGrid w:val="0"/>
        <w:spacing w:line="360" w:lineRule="auto"/>
        <w:ind w:firstLineChars="200" w:firstLine="480"/>
        <w:rPr>
          <w:rFonts w:ascii="宋体" w:hAnsi="宋体"/>
          <w:sz w:val="24"/>
        </w:rPr>
      </w:pPr>
      <w:r w:rsidRPr="006613F7">
        <w:rPr>
          <w:rFonts w:ascii="宋体" w:hAnsi="宋体" w:hint="eastAsia"/>
          <w:sz w:val="24"/>
        </w:rPr>
        <w:t>3.独立性</w:t>
      </w:r>
    </w:p>
    <w:p w:rsidR="006613F7" w:rsidRPr="006613F7" w:rsidRDefault="006613F7" w:rsidP="006613F7">
      <w:pPr>
        <w:adjustRightInd w:val="0"/>
        <w:snapToGrid w:val="0"/>
        <w:spacing w:line="360" w:lineRule="auto"/>
        <w:ind w:firstLineChars="200" w:firstLine="480"/>
        <w:rPr>
          <w:rFonts w:ascii="宋体" w:hAnsi="宋体"/>
          <w:sz w:val="24"/>
        </w:rPr>
      </w:pPr>
      <w:r w:rsidRPr="006613F7">
        <w:rPr>
          <w:rFonts w:ascii="宋体" w:hAnsi="宋体" w:hint="eastAsia"/>
          <w:sz w:val="24"/>
        </w:rPr>
        <w:t>容诚会计师事务所及上述人员不存在违反《中国注册会计师职业道德守则》对独立性要求的情形。</w:t>
      </w:r>
    </w:p>
    <w:p w:rsidR="006613F7" w:rsidRPr="006613F7" w:rsidRDefault="006613F7" w:rsidP="006613F7">
      <w:pPr>
        <w:adjustRightInd w:val="0"/>
        <w:snapToGrid w:val="0"/>
        <w:spacing w:line="360" w:lineRule="auto"/>
        <w:ind w:firstLineChars="200" w:firstLine="480"/>
        <w:rPr>
          <w:rFonts w:ascii="宋体" w:hAnsi="宋体"/>
          <w:sz w:val="24"/>
        </w:rPr>
      </w:pPr>
      <w:r w:rsidRPr="006613F7">
        <w:rPr>
          <w:rFonts w:ascii="宋体" w:hAnsi="宋体" w:hint="eastAsia"/>
          <w:sz w:val="24"/>
        </w:rPr>
        <w:t>4.审计收费</w:t>
      </w:r>
    </w:p>
    <w:p w:rsidR="00F7542B" w:rsidRPr="00F7542B" w:rsidRDefault="006613F7" w:rsidP="00B42897">
      <w:pPr>
        <w:adjustRightInd w:val="0"/>
        <w:snapToGrid w:val="0"/>
        <w:spacing w:line="360" w:lineRule="auto"/>
        <w:ind w:firstLineChars="200" w:firstLine="480"/>
        <w:rPr>
          <w:rFonts w:ascii="宋体" w:hAnsi="宋体"/>
          <w:sz w:val="24"/>
        </w:rPr>
      </w:pPr>
      <w:r w:rsidRPr="006613F7">
        <w:rPr>
          <w:rFonts w:ascii="宋体" w:hAnsi="宋体"/>
          <w:sz w:val="24"/>
        </w:rPr>
        <w:t>公司2020年度财务审计、内部控制审计等审计费用合计</w:t>
      </w:r>
      <w:r>
        <w:rPr>
          <w:rFonts w:ascii="宋体" w:hAnsi="宋体" w:hint="eastAsia"/>
          <w:sz w:val="24"/>
        </w:rPr>
        <w:t>110</w:t>
      </w:r>
      <w:r w:rsidRPr="006613F7">
        <w:rPr>
          <w:rFonts w:ascii="宋体" w:hAnsi="宋体"/>
          <w:sz w:val="24"/>
        </w:rPr>
        <w:t>万元。</w:t>
      </w:r>
      <w:r w:rsidR="00B42897">
        <w:rPr>
          <w:rFonts w:ascii="宋体" w:hAnsi="宋体" w:hint="eastAsia"/>
          <w:sz w:val="24"/>
        </w:rPr>
        <w:t>2021年</w:t>
      </w:r>
      <w:r w:rsidR="00B42897" w:rsidRPr="008137BC">
        <w:rPr>
          <w:rFonts w:asciiTheme="minorEastAsia" w:hAnsiTheme="minorEastAsia" w:hint="eastAsia"/>
          <w:color w:val="000000" w:themeColor="text1"/>
          <w:sz w:val="24"/>
        </w:rPr>
        <w:t>具体审计费用将依照市场公允、合理的定价原则，根据公司股东大会的授权，由公司经营层根据行业标准及公司审计的实际工作量，</w:t>
      </w:r>
      <w:r w:rsidR="00B42897">
        <w:rPr>
          <w:rFonts w:asciiTheme="minorEastAsia" w:hAnsiTheme="minorEastAsia" w:hint="eastAsia"/>
          <w:color w:val="000000" w:themeColor="text1"/>
          <w:sz w:val="24"/>
        </w:rPr>
        <w:t>与</w:t>
      </w:r>
      <w:r w:rsidR="00B42897" w:rsidRPr="008137BC">
        <w:rPr>
          <w:rFonts w:asciiTheme="minorEastAsia" w:hAnsiTheme="minorEastAsia" w:hint="eastAsia"/>
          <w:color w:val="000000" w:themeColor="text1"/>
          <w:sz w:val="24"/>
        </w:rPr>
        <w:t>容诚所协商确定。</w:t>
      </w:r>
    </w:p>
    <w:p w:rsidR="00933966" w:rsidRPr="00600AB3" w:rsidRDefault="00F37C92" w:rsidP="00600AB3">
      <w:pPr>
        <w:adjustRightInd w:val="0"/>
        <w:snapToGrid w:val="0"/>
        <w:spacing w:line="360" w:lineRule="auto"/>
        <w:ind w:firstLineChars="200" w:firstLine="482"/>
        <w:outlineLvl w:val="0"/>
        <w:rPr>
          <w:rFonts w:ascii="宋体" w:hAnsi="宋体"/>
          <w:b/>
          <w:sz w:val="24"/>
        </w:rPr>
      </w:pPr>
      <w:r w:rsidRPr="00186051">
        <w:rPr>
          <w:rFonts w:ascii="宋体" w:hAnsi="宋体" w:hint="eastAsia"/>
          <w:b/>
          <w:sz w:val="24"/>
        </w:rPr>
        <w:t>二</w:t>
      </w:r>
      <w:r w:rsidR="00FB0A00" w:rsidRPr="00186051">
        <w:rPr>
          <w:rFonts w:ascii="宋体" w:hAnsi="宋体" w:hint="eastAsia"/>
          <w:b/>
          <w:sz w:val="24"/>
        </w:rPr>
        <w:t>、</w:t>
      </w:r>
      <w:r w:rsidR="009A0C2D" w:rsidRPr="00186051">
        <w:rPr>
          <w:rFonts w:ascii="宋体" w:hAnsi="宋体" w:hint="eastAsia"/>
          <w:b/>
          <w:sz w:val="24"/>
        </w:rPr>
        <w:t>拟</w:t>
      </w:r>
      <w:r w:rsidR="00976657" w:rsidRPr="00186051">
        <w:rPr>
          <w:rFonts w:ascii="宋体" w:hAnsi="宋体" w:hint="eastAsia"/>
          <w:b/>
          <w:sz w:val="24"/>
        </w:rPr>
        <w:t>续聘</w:t>
      </w:r>
      <w:r w:rsidR="00933966" w:rsidRPr="00186051">
        <w:rPr>
          <w:rFonts w:ascii="宋体" w:hAnsi="宋体" w:hint="eastAsia"/>
          <w:b/>
          <w:sz w:val="24"/>
        </w:rPr>
        <w:t>会计事务所履行的程序</w:t>
      </w:r>
    </w:p>
    <w:p w:rsidR="0085471E" w:rsidRDefault="00232B40" w:rsidP="00600AB3">
      <w:pPr>
        <w:adjustRightInd w:val="0"/>
        <w:snapToGrid w:val="0"/>
        <w:spacing w:line="360" w:lineRule="auto"/>
        <w:ind w:firstLineChars="200" w:firstLine="480"/>
        <w:rPr>
          <w:rFonts w:ascii="宋体" w:hAnsi="宋体"/>
          <w:sz w:val="24"/>
        </w:rPr>
      </w:pPr>
      <w:r w:rsidRPr="00600AB3">
        <w:rPr>
          <w:rFonts w:ascii="宋体" w:hAnsi="宋体" w:hint="eastAsia"/>
          <w:sz w:val="24"/>
        </w:rPr>
        <w:t>（一</w:t>
      </w:r>
      <w:r w:rsidRPr="00600AB3">
        <w:rPr>
          <w:rFonts w:ascii="宋体" w:hAnsi="宋体"/>
          <w:sz w:val="24"/>
        </w:rPr>
        <w:t>）</w:t>
      </w:r>
      <w:r w:rsidR="00952B3C" w:rsidRPr="00600AB3">
        <w:rPr>
          <w:rFonts w:ascii="宋体" w:hAnsi="宋体" w:hint="eastAsia"/>
          <w:sz w:val="24"/>
        </w:rPr>
        <w:t>审计委员</w:t>
      </w:r>
      <w:r w:rsidR="0085471E">
        <w:rPr>
          <w:rFonts w:ascii="宋体" w:hAnsi="宋体" w:hint="eastAsia"/>
          <w:sz w:val="24"/>
        </w:rPr>
        <w:t>会</w:t>
      </w:r>
      <w:r w:rsidR="000E0B72" w:rsidRPr="00600AB3">
        <w:rPr>
          <w:rFonts w:ascii="宋体" w:hAnsi="宋体" w:hint="eastAsia"/>
          <w:sz w:val="24"/>
        </w:rPr>
        <w:t>审查</w:t>
      </w:r>
      <w:r w:rsidR="00E22641" w:rsidRPr="00600AB3">
        <w:rPr>
          <w:rFonts w:ascii="宋体" w:hAnsi="宋体" w:hint="eastAsia"/>
          <w:sz w:val="24"/>
        </w:rPr>
        <w:t>意见</w:t>
      </w:r>
    </w:p>
    <w:p w:rsidR="00061CD7" w:rsidRPr="00B42897" w:rsidRDefault="0085471E" w:rsidP="00061CD7">
      <w:pPr>
        <w:adjustRightInd w:val="0"/>
        <w:snapToGrid w:val="0"/>
        <w:spacing w:line="360" w:lineRule="auto"/>
        <w:ind w:firstLineChars="200" w:firstLine="480"/>
        <w:rPr>
          <w:rFonts w:ascii="宋体" w:hAnsi="宋体"/>
          <w:sz w:val="24"/>
        </w:rPr>
      </w:pPr>
      <w:r w:rsidRPr="0085471E">
        <w:rPr>
          <w:rFonts w:ascii="宋体" w:hAnsi="宋体" w:hint="eastAsia"/>
          <w:sz w:val="24"/>
        </w:rPr>
        <w:t>审计委员会对</w:t>
      </w:r>
      <w:r>
        <w:rPr>
          <w:rFonts w:ascii="宋体" w:hAnsi="宋体" w:hint="eastAsia"/>
          <w:sz w:val="24"/>
        </w:rPr>
        <w:t>容诚</w:t>
      </w:r>
      <w:r w:rsidRPr="0085471E">
        <w:rPr>
          <w:rFonts w:ascii="宋体" w:hAnsi="宋体" w:hint="eastAsia"/>
          <w:sz w:val="24"/>
        </w:rPr>
        <w:t>会计师事务所（特殊普通合伙）相关资质进行了审查，</w:t>
      </w:r>
      <w:r w:rsidR="00B42897" w:rsidRPr="00B42897">
        <w:rPr>
          <w:rFonts w:ascii="宋体" w:hAnsi="宋体" w:hint="eastAsia"/>
          <w:sz w:val="24"/>
        </w:rPr>
        <w:t>认为其</w:t>
      </w:r>
      <w:r w:rsidR="00B42897" w:rsidRPr="00B42897">
        <w:rPr>
          <w:rFonts w:ascii="宋体" w:hAnsi="宋体"/>
          <w:sz w:val="24"/>
        </w:rPr>
        <w:t>具备从事证券、期货相关业务</w:t>
      </w:r>
      <w:r w:rsidR="00B42897" w:rsidRPr="00B42897">
        <w:rPr>
          <w:rFonts w:ascii="宋体" w:hAnsi="宋体" w:hint="eastAsia"/>
          <w:sz w:val="24"/>
        </w:rPr>
        <w:t>的</w:t>
      </w:r>
      <w:r w:rsidR="00B42897" w:rsidRPr="00B42897">
        <w:rPr>
          <w:rFonts w:ascii="宋体" w:hAnsi="宋体"/>
          <w:sz w:val="24"/>
        </w:rPr>
        <w:t>资格，具有丰富的上市公司审计工作经验，在过去的审计服务中，</w:t>
      </w:r>
      <w:r w:rsidR="00B42897" w:rsidRPr="00B42897">
        <w:rPr>
          <w:rFonts w:ascii="宋体" w:hAnsi="宋体" w:hint="eastAsia"/>
          <w:sz w:val="24"/>
        </w:rPr>
        <w:t>能够合理安排审计队伍，</w:t>
      </w:r>
      <w:r w:rsidR="00B42897" w:rsidRPr="00B42897">
        <w:rPr>
          <w:rFonts w:ascii="宋体" w:hAnsi="宋体"/>
          <w:sz w:val="24"/>
        </w:rPr>
        <w:t>严格遵循相关法律、法规和政策，遵照独立、客观、公正的执业准则，勤勉尽责，</w:t>
      </w:r>
      <w:r w:rsidR="00B42897" w:rsidRPr="00B42897">
        <w:rPr>
          <w:rFonts w:ascii="宋体" w:hAnsi="宋体" w:hint="eastAsia"/>
          <w:sz w:val="24"/>
        </w:rPr>
        <w:t>表现出良好的执业操守，</w:t>
      </w:r>
      <w:r w:rsidR="00B42897" w:rsidRPr="00B42897">
        <w:rPr>
          <w:rFonts w:ascii="宋体" w:hAnsi="宋体"/>
          <w:sz w:val="24"/>
        </w:rPr>
        <w:t>较好地完成了公司各项审计工作，其出具的各项报告能够客观、公正、公允地反映公司财务情况和经营</w:t>
      </w:r>
      <w:r w:rsidR="00B42897" w:rsidRPr="00B42897">
        <w:rPr>
          <w:rFonts w:ascii="宋体" w:hAnsi="宋体" w:hint="eastAsia"/>
          <w:sz w:val="24"/>
        </w:rPr>
        <w:t>成果</w:t>
      </w:r>
      <w:r w:rsidR="00B42897" w:rsidRPr="00B42897">
        <w:rPr>
          <w:rFonts w:ascii="宋体" w:hAnsi="宋体"/>
          <w:sz w:val="24"/>
        </w:rPr>
        <w:t>，切实履行了审计机构职责，从专业角度维护了公司及股东的合法权益。为保持</w:t>
      </w:r>
      <w:r w:rsidR="00B42897" w:rsidRPr="00B42897">
        <w:rPr>
          <w:rFonts w:ascii="宋体" w:hAnsi="宋体" w:hint="eastAsia"/>
          <w:sz w:val="24"/>
        </w:rPr>
        <w:t>公司财务</w:t>
      </w:r>
      <w:r w:rsidR="00B42897" w:rsidRPr="00B42897">
        <w:rPr>
          <w:rFonts w:ascii="宋体" w:hAnsi="宋体"/>
          <w:sz w:val="24"/>
        </w:rPr>
        <w:t>审计</w:t>
      </w:r>
      <w:r w:rsidR="00B42897" w:rsidRPr="00B42897">
        <w:rPr>
          <w:rFonts w:ascii="宋体" w:hAnsi="宋体" w:hint="eastAsia"/>
          <w:sz w:val="24"/>
        </w:rPr>
        <w:t>工作</w:t>
      </w:r>
      <w:r w:rsidR="00B42897" w:rsidRPr="00B42897">
        <w:rPr>
          <w:rFonts w:ascii="宋体" w:hAnsi="宋体"/>
          <w:sz w:val="24"/>
        </w:rPr>
        <w:t>的连续性</w:t>
      </w:r>
      <w:r w:rsidR="00B42897" w:rsidRPr="00B42897">
        <w:rPr>
          <w:rFonts w:ascii="宋体" w:hAnsi="宋体" w:hint="eastAsia"/>
          <w:sz w:val="24"/>
        </w:rPr>
        <w:t>，经公司</w:t>
      </w:r>
      <w:bookmarkStart w:id="1" w:name="_GoBack"/>
      <w:bookmarkEnd w:id="1"/>
      <w:r w:rsidR="00B42897" w:rsidRPr="00B42897">
        <w:rPr>
          <w:rFonts w:ascii="宋体" w:hAnsi="宋体" w:hint="eastAsia"/>
          <w:sz w:val="24"/>
        </w:rPr>
        <w:t>董事会审计委员会审查并提议聘任容诚所为公司2</w:t>
      </w:r>
      <w:r w:rsidR="00B42897" w:rsidRPr="00B42897">
        <w:rPr>
          <w:rFonts w:ascii="宋体" w:hAnsi="宋体"/>
          <w:sz w:val="24"/>
        </w:rPr>
        <w:t>02</w:t>
      </w:r>
      <w:r w:rsidR="00B42897" w:rsidRPr="00B42897">
        <w:rPr>
          <w:rFonts w:ascii="宋体" w:hAnsi="宋体" w:hint="eastAsia"/>
          <w:sz w:val="24"/>
        </w:rPr>
        <w:t>1年度审计机构，</w:t>
      </w:r>
      <w:r w:rsidR="000538A2" w:rsidRPr="000538A2">
        <w:rPr>
          <w:rFonts w:ascii="宋体" w:hAnsi="宋体" w:hint="eastAsia"/>
          <w:sz w:val="24"/>
        </w:rPr>
        <w:t>负责为公司提供2021年度</w:t>
      </w:r>
      <w:r w:rsidR="000538A2" w:rsidRPr="000538A2">
        <w:rPr>
          <w:rFonts w:ascii="宋体" w:hAnsi="宋体"/>
          <w:sz w:val="24"/>
        </w:rPr>
        <w:t>财务报告审计和内部控制审计</w:t>
      </w:r>
      <w:r w:rsidR="000538A2" w:rsidRPr="000538A2">
        <w:rPr>
          <w:rFonts w:ascii="宋体" w:hAnsi="宋体" w:hint="eastAsia"/>
          <w:sz w:val="24"/>
        </w:rPr>
        <w:t>服务。</w:t>
      </w:r>
    </w:p>
    <w:p w:rsidR="0085471E" w:rsidRDefault="00232B40" w:rsidP="00600AB3">
      <w:pPr>
        <w:adjustRightInd w:val="0"/>
        <w:snapToGrid w:val="0"/>
        <w:spacing w:line="360" w:lineRule="auto"/>
        <w:ind w:firstLineChars="200" w:firstLine="480"/>
        <w:rPr>
          <w:rFonts w:ascii="宋体" w:hAnsi="宋体"/>
          <w:sz w:val="24"/>
        </w:rPr>
      </w:pPr>
      <w:r w:rsidRPr="00600AB3">
        <w:rPr>
          <w:rFonts w:ascii="宋体" w:hAnsi="宋体" w:hint="eastAsia"/>
          <w:sz w:val="24"/>
        </w:rPr>
        <w:t>（二</w:t>
      </w:r>
      <w:r w:rsidRPr="00600AB3">
        <w:rPr>
          <w:rFonts w:ascii="宋体" w:hAnsi="宋体"/>
          <w:sz w:val="24"/>
        </w:rPr>
        <w:t>）</w:t>
      </w:r>
      <w:r w:rsidR="009F3D69" w:rsidRPr="00600AB3">
        <w:rPr>
          <w:rFonts w:ascii="宋体" w:hAnsi="宋体" w:hint="eastAsia"/>
          <w:sz w:val="24"/>
        </w:rPr>
        <w:t>独立董事</w:t>
      </w:r>
      <w:r w:rsidR="004D6D29" w:rsidRPr="00600AB3">
        <w:rPr>
          <w:rFonts w:ascii="宋体" w:hAnsi="宋体" w:hint="eastAsia"/>
          <w:sz w:val="24"/>
        </w:rPr>
        <w:t>事前认可</w:t>
      </w:r>
      <w:r w:rsidR="004D6D29" w:rsidRPr="00600AB3">
        <w:rPr>
          <w:rFonts w:ascii="宋体" w:hAnsi="宋体"/>
          <w:sz w:val="24"/>
        </w:rPr>
        <w:t>及</w:t>
      </w:r>
      <w:r w:rsidR="009F3D69" w:rsidRPr="00600AB3">
        <w:rPr>
          <w:rFonts w:ascii="宋体" w:hAnsi="宋体" w:hint="eastAsia"/>
          <w:sz w:val="24"/>
        </w:rPr>
        <w:t>独立意见</w:t>
      </w:r>
    </w:p>
    <w:p w:rsidR="0085471E" w:rsidRPr="0085471E" w:rsidRDefault="00587B49" w:rsidP="0085471E">
      <w:pPr>
        <w:adjustRightInd w:val="0"/>
        <w:snapToGrid w:val="0"/>
        <w:spacing w:line="360" w:lineRule="auto"/>
        <w:ind w:firstLineChars="200" w:firstLine="480"/>
        <w:rPr>
          <w:rFonts w:ascii="宋体" w:hAnsi="宋体"/>
          <w:sz w:val="24"/>
        </w:rPr>
      </w:pPr>
      <w:r>
        <w:rPr>
          <w:rFonts w:ascii="宋体" w:hAnsi="宋体" w:hint="eastAsia"/>
          <w:sz w:val="24"/>
        </w:rPr>
        <w:t>事前认可意见：</w:t>
      </w:r>
      <w:r w:rsidR="003C40EF" w:rsidRPr="008447A7">
        <w:rPr>
          <w:rFonts w:hint="eastAsia"/>
          <w:sz w:val="24"/>
        </w:rPr>
        <w:t>经审核，根据对</w:t>
      </w:r>
      <w:r w:rsidR="003C40EF">
        <w:rPr>
          <w:rFonts w:hint="eastAsia"/>
          <w:sz w:val="24"/>
        </w:rPr>
        <w:t>容诚会计师事务所</w:t>
      </w:r>
      <w:r w:rsidR="003C40EF" w:rsidRPr="008447A7">
        <w:rPr>
          <w:rFonts w:hint="eastAsia"/>
          <w:sz w:val="24"/>
        </w:rPr>
        <w:t>相关情况的了解，我们认为其在为公司提供审计服务过程中，严格遵循独立、客观、公正的执业准则，具</w:t>
      </w:r>
      <w:r w:rsidR="003C40EF" w:rsidRPr="008447A7">
        <w:rPr>
          <w:rFonts w:hint="eastAsia"/>
          <w:sz w:val="24"/>
        </w:rPr>
        <w:lastRenderedPageBreak/>
        <w:t>备从事证券等相关业务资格、执业资质，具有多年为上市公司提供审计服务的经验与胜任能力，能够满足公司审计业务的要求，为保持公司审计工作的连续性和稳定性，我们一致同意《</w:t>
      </w:r>
      <w:r w:rsidR="003C40EF" w:rsidRPr="001C3C7F">
        <w:rPr>
          <w:rFonts w:hint="eastAsia"/>
          <w:sz w:val="24"/>
        </w:rPr>
        <w:t>关于公司续聘会计师事务所的议案</w:t>
      </w:r>
      <w:r w:rsidR="003C40EF" w:rsidRPr="008447A7">
        <w:rPr>
          <w:rFonts w:hint="eastAsia"/>
          <w:sz w:val="24"/>
        </w:rPr>
        <w:t>》，并同意提交公司第</w:t>
      </w:r>
      <w:r w:rsidR="003C40EF">
        <w:rPr>
          <w:rFonts w:hint="eastAsia"/>
          <w:sz w:val="24"/>
        </w:rPr>
        <w:t>二</w:t>
      </w:r>
      <w:r w:rsidR="003C40EF" w:rsidRPr="008447A7">
        <w:rPr>
          <w:rFonts w:hint="eastAsia"/>
          <w:sz w:val="24"/>
        </w:rPr>
        <w:t>届董事会第</w:t>
      </w:r>
      <w:r w:rsidR="003C40EF">
        <w:rPr>
          <w:rFonts w:hint="eastAsia"/>
          <w:sz w:val="24"/>
        </w:rPr>
        <w:t>十三</w:t>
      </w:r>
      <w:r w:rsidR="003C40EF" w:rsidRPr="008447A7">
        <w:rPr>
          <w:rFonts w:hint="eastAsia"/>
          <w:sz w:val="24"/>
        </w:rPr>
        <w:t>次会议审议。</w:t>
      </w:r>
    </w:p>
    <w:p w:rsidR="0085471E" w:rsidRPr="0085471E" w:rsidRDefault="00587B49" w:rsidP="0085471E">
      <w:pPr>
        <w:adjustRightInd w:val="0"/>
        <w:snapToGrid w:val="0"/>
        <w:spacing w:line="360" w:lineRule="auto"/>
        <w:ind w:firstLineChars="200" w:firstLine="480"/>
        <w:rPr>
          <w:rFonts w:ascii="宋体" w:hAnsi="宋体"/>
          <w:sz w:val="24"/>
        </w:rPr>
      </w:pPr>
      <w:r>
        <w:rPr>
          <w:rFonts w:ascii="宋体" w:hAnsi="宋体" w:hint="eastAsia"/>
          <w:sz w:val="24"/>
        </w:rPr>
        <w:t>独立意见：</w:t>
      </w:r>
      <w:r w:rsidR="00265AB3" w:rsidRPr="00265AB3">
        <w:rPr>
          <w:rFonts w:ascii="宋体" w:hAnsi="宋体" w:hint="eastAsia"/>
          <w:sz w:val="24"/>
        </w:rPr>
        <w:t>容诚会计师事务所（特殊普通合伙）</w:t>
      </w:r>
      <w:r w:rsidR="00265AB3" w:rsidRPr="00265AB3">
        <w:rPr>
          <w:rFonts w:ascii="宋体" w:hAnsi="宋体"/>
          <w:sz w:val="24"/>
        </w:rPr>
        <w:t>具备从事证券、期货相关业务</w:t>
      </w:r>
      <w:r w:rsidR="00265AB3" w:rsidRPr="00265AB3">
        <w:rPr>
          <w:rFonts w:ascii="宋体" w:hAnsi="宋体" w:hint="eastAsia"/>
          <w:sz w:val="24"/>
        </w:rPr>
        <w:t>的</w:t>
      </w:r>
      <w:r w:rsidR="00265AB3" w:rsidRPr="00265AB3">
        <w:rPr>
          <w:rFonts w:ascii="宋体" w:hAnsi="宋体"/>
          <w:sz w:val="24"/>
        </w:rPr>
        <w:t>资格，具有丰富的上市公司审计工作经验，在过去的审计服务中，</w:t>
      </w:r>
      <w:r w:rsidR="00265AB3" w:rsidRPr="00265AB3">
        <w:rPr>
          <w:rFonts w:ascii="宋体" w:hAnsi="宋体" w:hint="eastAsia"/>
          <w:sz w:val="24"/>
        </w:rPr>
        <w:t>能够</w:t>
      </w:r>
      <w:r w:rsidR="00265AB3" w:rsidRPr="00265AB3">
        <w:rPr>
          <w:rFonts w:ascii="宋体" w:hAnsi="宋体"/>
          <w:sz w:val="24"/>
        </w:rPr>
        <w:t>严格遵循相关法律、法规和政策，遵照独立、客观、公正的执业准则，勤勉尽责，</w:t>
      </w:r>
      <w:r w:rsidR="00265AB3" w:rsidRPr="00265AB3">
        <w:rPr>
          <w:rFonts w:ascii="宋体" w:hAnsi="宋体" w:hint="eastAsia"/>
          <w:sz w:val="24"/>
        </w:rPr>
        <w:t>表现出良好的执业操守，</w:t>
      </w:r>
      <w:r w:rsidR="00265AB3" w:rsidRPr="00265AB3">
        <w:rPr>
          <w:rFonts w:ascii="宋体" w:hAnsi="宋体"/>
          <w:sz w:val="24"/>
        </w:rPr>
        <w:t>较好地完成了公司各项审计工作，其出具的各项报告能够客观、公正、公允地反映公司财务情况和经营</w:t>
      </w:r>
      <w:r w:rsidR="00265AB3" w:rsidRPr="00265AB3">
        <w:rPr>
          <w:rFonts w:ascii="宋体" w:hAnsi="宋体" w:hint="eastAsia"/>
          <w:sz w:val="24"/>
        </w:rPr>
        <w:t>成果</w:t>
      </w:r>
      <w:r w:rsidR="00265AB3" w:rsidRPr="00265AB3">
        <w:rPr>
          <w:rFonts w:ascii="宋体" w:hAnsi="宋体"/>
          <w:sz w:val="24"/>
        </w:rPr>
        <w:t>，切实履行了审计机构职责。公司董事会在审议该项议案前取得了我们的事前认可。公司本次</w:t>
      </w:r>
      <w:r w:rsidR="00265AB3" w:rsidRPr="00265AB3">
        <w:rPr>
          <w:rFonts w:ascii="宋体" w:hAnsi="宋体" w:hint="eastAsia"/>
          <w:sz w:val="24"/>
        </w:rPr>
        <w:t>聘任容诚所为公司2</w:t>
      </w:r>
      <w:r w:rsidR="00265AB3" w:rsidRPr="00265AB3">
        <w:rPr>
          <w:rFonts w:ascii="宋体" w:hAnsi="宋体"/>
          <w:sz w:val="24"/>
        </w:rPr>
        <w:t>021</w:t>
      </w:r>
      <w:r w:rsidR="00265AB3" w:rsidRPr="00265AB3">
        <w:rPr>
          <w:rFonts w:ascii="宋体" w:hAnsi="宋体" w:hint="eastAsia"/>
          <w:sz w:val="24"/>
        </w:rPr>
        <w:t>年度审计机构，负责为公司提供各项审计及相关服务</w:t>
      </w:r>
      <w:r w:rsidR="00265AB3" w:rsidRPr="00265AB3">
        <w:rPr>
          <w:rFonts w:ascii="宋体" w:hAnsi="宋体"/>
          <w:sz w:val="24"/>
        </w:rPr>
        <w:t>的审议程序符合法律、法规和《公司章程》的有关规定，不存在损害公司及全体股东，</w:t>
      </w:r>
      <w:r w:rsidR="00265AB3" w:rsidRPr="00265AB3">
        <w:rPr>
          <w:rFonts w:ascii="宋体" w:hAnsi="宋体" w:hint="eastAsia"/>
          <w:sz w:val="24"/>
        </w:rPr>
        <w:t>尤其</w:t>
      </w:r>
      <w:r w:rsidR="00265AB3" w:rsidRPr="00265AB3">
        <w:rPr>
          <w:rFonts w:ascii="宋体" w:hAnsi="宋体"/>
          <w:sz w:val="24"/>
        </w:rPr>
        <w:t>是中小股东利益的情形</w:t>
      </w:r>
      <w:r w:rsidR="00265AB3" w:rsidRPr="00265AB3">
        <w:rPr>
          <w:rFonts w:ascii="宋体" w:hAnsi="宋体" w:hint="eastAsia"/>
          <w:sz w:val="24"/>
        </w:rPr>
        <w:t>。</w:t>
      </w:r>
    </w:p>
    <w:p w:rsidR="00692500" w:rsidRDefault="00232B40" w:rsidP="00600AB3">
      <w:pPr>
        <w:adjustRightInd w:val="0"/>
        <w:snapToGrid w:val="0"/>
        <w:spacing w:line="360" w:lineRule="auto"/>
        <w:ind w:firstLineChars="200" w:firstLine="480"/>
        <w:rPr>
          <w:rFonts w:ascii="宋体" w:hAnsi="宋体"/>
          <w:sz w:val="24"/>
        </w:rPr>
      </w:pPr>
      <w:r w:rsidRPr="00600AB3">
        <w:rPr>
          <w:rFonts w:ascii="宋体" w:hAnsi="宋体" w:hint="eastAsia"/>
          <w:sz w:val="24"/>
        </w:rPr>
        <w:t>（三</w:t>
      </w:r>
      <w:r w:rsidRPr="00600AB3">
        <w:rPr>
          <w:rFonts w:ascii="宋体" w:hAnsi="宋体"/>
          <w:sz w:val="24"/>
        </w:rPr>
        <w:t>）</w:t>
      </w:r>
      <w:r w:rsidR="00692500" w:rsidRPr="00600AB3">
        <w:rPr>
          <w:rFonts w:ascii="宋体" w:hAnsi="宋体" w:hint="eastAsia"/>
          <w:sz w:val="24"/>
        </w:rPr>
        <w:t>董事会审议和表决情况</w:t>
      </w:r>
    </w:p>
    <w:p w:rsidR="0085471E" w:rsidRPr="00600AB3" w:rsidRDefault="0085471E" w:rsidP="0085471E">
      <w:pPr>
        <w:adjustRightInd w:val="0"/>
        <w:snapToGrid w:val="0"/>
        <w:spacing w:line="360" w:lineRule="auto"/>
        <w:ind w:firstLineChars="200" w:firstLine="480"/>
        <w:rPr>
          <w:rFonts w:ascii="宋体" w:hAnsi="宋体"/>
          <w:sz w:val="24"/>
        </w:rPr>
      </w:pPr>
      <w:r w:rsidRPr="0085471E">
        <w:rPr>
          <w:rFonts w:ascii="宋体" w:hAnsi="宋体" w:hint="eastAsia"/>
          <w:sz w:val="24"/>
        </w:rPr>
        <w:t>公司董事会于202</w:t>
      </w:r>
      <w:r w:rsidR="0033633F">
        <w:rPr>
          <w:rFonts w:ascii="宋体" w:hAnsi="宋体" w:hint="eastAsia"/>
          <w:sz w:val="24"/>
        </w:rPr>
        <w:t>1</w:t>
      </w:r>
      <w:r w:rsidRPr="0085471E">
        <w:rPr>
          <w:rFonts w:ascii="宋体" w:hAnsi="宋体" w:hint="eastAsia"/>
          <w:sz w:val="24"/>
        </w:rPr>
        <w:t>年</w:t>
      </w:r>
      <w:r>
        <w:rPr>
          <w:rFonts w:ascii="宋体" w:hAnsi="宋体" w:hint="eastAsia"/>
          <w:sz w:val="24"/>
        </w:rPr>
        <w:t>4</w:t>
      </w:r>
      <w:r w:rsidRPr="0085471E">
        <w:rPr>
          <w:rFonts w:ascii="宋体" w:hAnsi="宋体" w:hint="eastAsia"/>
          <w:sz w:val="24"/>
        </w:rPr>
        <w:t>月</w:t>
      </w:r>
      <w:r w:rsidR="0033633F">
        <w:rPr>
          <w:rFonts w:ascii="宋体" w:hAnsi="宋体" w:hint="eastAsia"/>
          <w:sz w:val="24"/>
        </w:rPr>
        <w:t>1</w:t>
      </w:r>
      <w:r w:rsidR="00587B49">
        <w:rPr>
          <w:rFonts w:ascii="宋体" w:hAnsi="宋体" w:hint="eastAsia"/>
          <w:sz w:val="24"/>
        </w:rPr>
        <w:t>6</w:t>
      </w:r>
      <w:r w:rsidRPr="0085471E">
        <w:rPr>
          <w:rFonts w:ascii="宋体" w:hAnsi="宋体" w:hint="eastAsia"/>
          <w:sz w:val="24"/>
        </w:rPr>
        <w:t>开第</w:t>
      </w:r>
      <w:r>
        <w:rPr>
          <w:rFonts w:ascii="宋体" w:hAnsi="宋体" w:hint="eastAsia"/>
          <w:sz w:val="24"/>
        </w:rPr>
        <w:t>二</w:t>
      </w:r>
      <w:r w:rsidRPr="0085471E">
        <w:rPr>
          <w:rFonts w:ascii="宋体" w:hAnsi="宋体" w:hint="eastAsia"/>
          <w:sz w:val="24"/>
        </w:rPr>
        <w:t>届董事会第</w:t>
      </w:r>
      <w:r w:rsidR="0033633F">
        <w:rPr>
          <w:rFonts w:ascii="宋体" w:hAnsi="宋体" w:hint="eastAsia"/>
          <w:sz w:val="24"/>
        </w:rPr>
        <w:t>十三</w:t>
      </w:r>
      <w:r w:rsidRPr="0085471E">
        <w:rPr>
          <w:rFonts w:ascii="宋体" w:hAnsi="宋体" w:hint="eastAsia"/>
          <w:sz w:val="24"/>
        </w:rPr>
        <w:t>次会议，会议以</w:t>
      </w:r>
      <w:r w:rsidR="0033633F">
        <w:rPr>
          <w:rFonts w:ascii="宋体" w:hAnsi="宋体" w:hint="eastAsia"/>
          <w:sz w:val="24"/>
        </w:rPr>
        <w:t>8</w:t>
      </w:r>
      <w:r w:rsidRPr="0085471E">
        <w:rPr>
          <w:rFonts w:ascii="宋体" w:hAnsi="宋体" w:hint="eastAsia"/>
          <w:sz w:val="24"/>
        </w:rPr>
        <w:t>票同意、0票反对、0票弃权，审议通过了《关于</w:t>
      </w:r>
      <w:r w:rsidR="00587B49">
        <w:rPr>
          <w:rFonts w:ascii="宋体" w:hAnsi="宋体" w:hint="eastAsia"/>
          <w:sz w:val="24"/>
        </w:rPr>
        <w:t>公司</w:t>
      </w:r>
      <w:r>
        <w:rPr>
          <w:rFonts w:ascii="宋体" w:hAnsi="宋体" w:hint="eastAsia"/>
          <w:sz w:val="24"/>
        </w:rPr>
        <w:t>续聘会计师事务所的</w:t>
      </w:r>
      <w:r w:rsidRPr="0085471E">
        <w:rPr>
          <w:rFonts w:ascii="宋体" w:hAnsi="宋体" w:hint="eastAsia"/>
          <w:sz w:val="24"/>
        </w:rPr>
        <w:t>议案》</w:t>
      </w:r>
      <w:r w:rsidR="001D18A4">
        <w:rPr>
          <w:rFonts w:ascii="宋体" w:hAnsi="宋体" w:hint="eastAsia"/>
          <w:sz w:val="24"/>
        </w:rPr>
        <w:t>，决定继续聘</w:t>
      </w:r>
      <w:r w:rsidR="00416D52">
        <w:rPr>
          <w:rFonts w:ascii="宋体" w:hAnsi="宋体" w:hint="eastAsia"/>
          <w:sz w:val="24"/>
        </w:rPr>
        <w:t>任</w:t>
      </w:r>
      <w:r w:rsidR="001D18A4" w:rsidRPr="00587B49">
        <w:rPr>
          <w:rFonts w:ascii="宋体" w:hAnsi="宋体" w:hint="eastAsia"/>
          <w:sz w:val="24"/>
        </w:rPr>
        <w:t>容诚会计师事务所（特殊普通合伙）为公司2</w:t>
      </w:r>
      <w:r w:rsidR="001D18A4" w:rsidRPr="00587B49">
        <w:rPr>
          <w:rFonts w:ascii="宋体" w:hAnsi="宋体"/>
          <w:sz w:val="24"/>
        </w:rPr>
        <w:t>02</w:t>
      </w:r>
      <w:r w:rsidR="0033633F">
        <w:rPr>
          <w:rFonts w:ascii="宋体" w:hAnsi="宋体" w:hint="eastAsia"/>
          <w:sz w:val="24"/>
        </w:rPr>
        <w:t>1</w:t>
      </w:r>
      <w:r w:rsidR="001D18A4" w:rsidRPr="00587B49">
        <w:rPr>
          <w:rFonts w:ascii="宋体" w:hAnsi="宋体" w:hint="eastAsia"/>
          <w:sz w:val="24"/>
        </w:rPr>
        <w:t>年度审计机构</w:t>
      </w:r>
      <w:r w:rsidRPr="0085471E">
        <w:rPr>
          <w:rFonts w:ascii="宋体" w:hAnsi="宋体" w:hint="eastAsia"/>
          <w:sz w:val="24"/>
        </w:rPr>
        <w:t>。</w:t>
      </w:r>
    </w:p>
    <w:p w:rsidR="00952B3C" w:rsidRPr="00600AB3" w:rsidRDefault="00232B40" w:rsidP="00600AB3">
      <w:pPr>
        <w:adjustRightInd w:val="0"/>
        <w:snapToGrid w:val="0"/>
        <w:spacing w:line="360" w:lineRule="auto"/>
        <w:ind w:firstLineChars="200" w:firstLine="480"/>
        <w:rPr>
          <w:rFonts w:ascii="宋体" w:hAnsi="宋体"/>
          <w:sz w:val="24"/>
        </w:rPr>
      </w:pPr>
      <w:r w:rsidRPr="00600AB3">
        <w:rPr>
          <w:rFonts w:ascii="宋体" w:hAnsi="宋体" w:hint="eastAsia"/>
          <w:sz w:val="24"/>
        </w:rPr>
        <w:t>（四</w:t>
      </w:r>
      <w:r w:rsidRPr="00600AB3">
        <w:rPr>
          <w:rFonts w:ascii="宋体" w:hAnsi="宋体"/>
          <w:sz w:val="24"/>
        </w:rPr>
        <w:t>）</w:t>
      </w:r>
      <w:r w:rsidR="000E0B72" w:rsidRPr="00600AB3">
        <w:rPr>
          <w:rFonts w:ascii="宋体" w:hAnsi="宋体" w:hint="eastAsia"/>
          <w:sz w:val="24"/>
        </w:rPr>
        <w:t>本</w:t>
      </w:r>
      <w:r w:rsidR="00E34FA5" w:rsidRPr="00600AB3">
        <w:rPr>
          <w:rFonts w:ascii="宋体" w:hAnsi="宋体" w:hint="eastAsia"/>
          <w:sz w:val="24"/>
        </w:rPr>
        <w:t>次</w:t>
      </w:r>
      <w:r w:rsidR="00E22641" w:rsidRPr="00600AB3">
        <w:rPr>
          <w:rFonts w:ascii="宋体" w:hAnsi="宋体" w:hint="eastAsia"/>
          <w:sz w:val="24"/>
        </w:rPr>
        <w:t>聘任</w:t>
      </w:r>
      <w:r w:rsidR="000E0B72" w:rsidRPr="00600AB3">
        <w:rPr>
          <w:rFonts w:ascii="宋体" w:hAnsi="宋体" w:hint="eastAsia"/>
          <w:sz w:val="24"/>
        </w:rPr>
        <w:t>会计师事务所事项尚需提交公司</w:t>
      </w:r>
      <w:r w:rsidR="00494B26">
        <w:rPr>
          <w:rFonts w:ascii="宋体" w:hAnsi="宋体" w:hint="eastAsia"/>
          <w:sz w:val="24"/>
        </w:rPr>
        <w:t>2020年年度</w:t>
      </w:r>
      <w:r w:rsidR="000E0B72" w:rsidRPr="00600AB3">
        <w:rPr>
          <w:rFonts w:ascii="宋体" w:hAnsi="宋体" w:hint="eastAsia"/>
          <w:sz w:val="24"/>
        </w:rPr>
        <w:t>股东大会审议，并自公司股东大会审议通过之日起生效。</w:t>
      </w:r>
    </w:p>
    <w:p w:rsidR="00933966" w:rsidRPr="00600AB3" w:rsidRDefault="00933966" w:rsidP="00600AB3">
      <w:pPr>
        <w:adjustRightInd w:val="0"/>
        <w:snapToGrid w:val="0"/>
        <w:spacing w:line="360" w:lineRule="auto"/>
        <w:ind w:firstLineChars="200" w:firstLine="480"/>
        <w:rPr>
          <w:rFonts w:ascii="宋体" w:hAnsi="宋体"/>
          <w:sz w:val="24"/>
        </w:rPr>
      </w:pPr>
    </w:p>
    <w:p w:rsidR="00F706EE" w:rsidRPr="00600AB3" w:rsidRDefault="00933966" w:rsidP="00600AB3">
      <w:pPr>
        <w:adjustRightInd w:val="0"/>
        <w:snapToGrid w:val="0"/>
        <w:spacing w:line="360" w:lineRule="auto"/>
        <w:ind w:firstLineChars="200" w:firstLine="480"/>
        <w:rPr>
          <w:rFonts w:ascii="宋体" w:hAnsi="宋体"/>
          <w:sz w:val="24"/>
        </w:rPr>
      </w:pPr>
      <w:r w:rsidRPr="00600AB3">
        <w:rPr>
          <w:rFonts w:ascii="宋体" w:hAnsi="宋体" w:hint="eastAsia"/>
          <w:sz w:val="24"/>
        </w:rPr>
        <w:t>特此公告。</w:t>
      </w:r>
    </w:p>
    <w:p w:rsidR="00944F29" w:rsidRPr="00600AB3" w:rsidRDefault="00944F29" w:rsidP="00600AB3">
      <w:pPr>
        <w:adjustRightInd w:val="0"/>
        <w:snapToGrid w:val="0"/>
        <w:spacing w:line="360" w:lineRule="auto"/>
        <w:ind w:firstLineChars="200" w:firstLine="480"/>
        <w:jc w:val="right"/>
        <w:rPr>
          <w:rFonts w:ascii="宋体" w:hAnsi="宋体"/>
          <w:sz w:val="24"/>
        </w:rPr>
      </w:pPr>
    </w:p>
    <w:p w:rsidR="00944F29" w:rsidRPr="00600AB3" w:rsidRDefault="00944F29" w:rsidP="00600AB3">
      <w:pPr>
        <w:adjustRightInd w:val="0"/>
        <w:snapToGrid w:val="0"/>
        <w:spacing w:line="360" w:lineRule="auto"/>
        <w:ind w:firstLineChars="200" w:firstLine="480"/>
        <w:jc w:val="right"/>
        <w:rPr>
          <w:rFonts w:ascii="宋体" w:hAnsi="宋体"/>
          <w:sz w:val="24"/>
        </w:rPr>
      </w:pPr>
      <w:r w:rsidRPr="00600AB3">
        <w:rPr>
          <w:rFonts w:ascii="宋体" w:hAnsi="宋体" w:hint="eastAsia"/>
          <w:sz w:val="24"/>
        </w:rPr>
        <w:t xml:space="preserve">   </w:t>
      </w:r>
      <w:r w:rsidR="00115B07" w:rsidRPr="00600AB3">
        <w:rPr>
          <w:rFonts w:ascii="宋体" w:hAnsi="宋体" w:hint="eastAsia"/>
          <w:sz w:val="24"/>
        </w:rPr>
        <w:t>安徽省交通建设</w:t>
      </w:r>
      <w:r w:rsidRPr="00600AB3">
        <w:rPr>
          <w:rFonts w:ascii="宋体" w:hAnsi="宋体" w:hint="eastAsia"/>
          <w:sz w:val="24"/>
        </w:rPr>
        <w:t>股份有限公司董事会</w:t>
      </w:r>
    </w:p>
    <w:p w:rsidR="00944F29" w:rsidRPr="00600AB3" w:rsidRDefault="00F7542B" w:rsidP="00600AB3">
      <w:pPr>
        <w:adjustRightInd w:val="0"/>
        <w:snapToGrid w:val="0"/>
        <w:spacing w:line="360" w:lineRule="auto"/>
        <w:ind w:firstLineChars="200" w:firstLine="480"/>
        <w:jc w:val="right"/>
        <w:rPr>
          <w:rFonts w:ascii="宋体" w:hAnsi="宋体"/>
          <w:sz w:val="24"/>
        </w:rPr>
      </w:pPr>
      <w:r>
        <w:rPr>
          <w:rFonts w:ascii="宋体" w:hAnsi="宋体" w:hint="eastAsia"/>
          <w:sz w:val="24"/>
        </w:rPr>
        <w:t>202</w:t>
      </w:r>
      <w:r w:rsidR="0033633F">
        <w:rPr>
          <w:rFonts w:ascii="宋体" w:hAnsi="宋体" w:hint="eastAsia"/>
          <w:sz w:val="24"/>
        </w:rPr>
        <w:t>1</w:t>
      </w:r>
      <w:r w:rsidR="00944F29" w:rsidRPr="00600AB3">
        <w:rPr>
          <w:rFonts w:ascii="宋体" w:hAnsi="宋体" w:hint="eastAsia"/>
          <w:sz w:val="24"/>
        </w:rPr>
        <w:t xml:space="preserve">年 </w:t>
      </w:r>
      <w:r>
        <w:rPr>
          <w:rFonts w:ascii="宋体" w:hAnsi="宋体" w:hint="eastAsia"/>
          <w:sz w:val="24"/>
        </w:rPr>
        <w:t>4</w:t>
      </w:r>
      <w:r w:rsidR="00944F29" w:rsidRPr="00600AB3">
        <w:rPr>
          <w:rFonts w:ascii="宋体" w:hAnsi="宋体" w:hint="eastAsia"/>
          <w:sz w:val="24"/>
        </w:rPr>
        <w:t xml:space="preserve"> 月</w:t>
      </w:r>
      <w:r w:rsidR="0033633F">
        <w:rPr>
          <w:rFonts w:ascii="宋体" w:hAnsi="宋体" w:hint="eastAsia"/>
          <w:sz w:val="24"/>
        </w:rPr>
        <w:t>20</w:t>
      </w:r>
      <w:r w:rsidR="00944F29" w:rsidRPr="00600AB3">
        <w:rPr>
          <w:rFonts w:ascii="宋体" w:hAnsi="宋体" w:hint="eastAsia"/>
          <w:sz w:val="24"/>
        </w:rPr>
        <w:t>日</w:t>
      </w:r>
    </w:p>
    <w:sectPr w:rsidR="00944F29" w:rsidRPr="00600AB3" w:rsidSect="00EA3B25">
      <w:footerReference w:type="default" r:id="rId9"/>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4B7694" w16cid:durableId="21F4D66F"/>
  <w16cid:commentId w16cid:paraId="3F2FCBF7" w16cid:durableId="21F4D670"/>
  <w16cid:commentId w16cid:paraId="27B0AA48" w16cid:durableId="21F4D6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706" w:rsidRDefault="00F03706" w:rsidP="00645F1F">
      <w:r>
        <w:separator/>
      </w:r>
    </w:p>
  </w:endnote>
  <w:endnote w:type="continuationSeparator" w:id="0">
    <w:p w:rsidR="00F03706" w:rsidRDefault="00F03706" w:rsidP="0064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variable"/>
    <w:sig w:usb0="00000000" w:usb1="38CF7CFA" w:usb2="00000016" w:usb3="00000000" w:csb0="0004000F"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491443"/>
      <w:docPartObj>
        <w:docPartGallery w:val="Page Numbers (Bottom of Page)"/>
        <w:docPartUnique/>
      </w:docPartObj>
    </w:sdtPr>
    <w:sdtEndPr/>
    <w:sdtContent>
      <w:p w:rsidR="00587B49" w:rsidRDefault="00587B49">
        <w:pPr>
          <w:pStyle w:val="a4"/>
          <w:jc w:val="center"/>
        </w:pPr>
        <w:r>
          <w:fldChar w:fldCharType="begin"/>
        </w:r>
        <w:r>
          <w:instrText>PAGE   \* MERGEFORMAT</w:instrText>
        </w:r>
        <w:r>
          <w:fldChar w:fldCharType="separate"/>
        </w:r>
        <w:r w:rsidR="000538A2" w:rsidRPr="000538A2">
          <w:rPr>
            <w:noProof/>
            <w:lang w:val="zh-CN"/>
          </w:rPr>
          <w:t>3</w:t>
        </w:r>
        <w:r>
          <w:fldChar w:fldCharType="end"/>
        </w:r>
      </w:p>
    </w:sdtContent>
  </w:sdt>
  <w:p w:rsidR="00587B49" w:rsidRDefault="00587B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706" w:rsidRDefault="00F03706" w:rsidP="00645F1F">
      <w:r>
        <w:separator/>
      </w:r>
    </w:p>
  </w:footnote>
  <w:footnote w:type="continuationSeparator" w:id="0">
    <w:p w:rsidR="00F03706" w:rsidRDefault="00F03706" w:rsidP="00645F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D0067"/>
    <w:multiLevelType w:val="singleLevel"/>
    <w:tmpl w:val="04090001"/>
    <w:lvl w:ilvl="0">
      <w:start w:val="1"/>
      <w:numFmt w:val="bullet"/>
      <w:lvlText w:val=""/>
      <w:lvlJc w:val="left"/>
      <w:pPr>
        <w:tabs>
          <w:tab w:val="num" w:pos="420"/>
        </w:tabs>
        <w:ind w:left="420" w:hanging="420"/>
      </w:pPr>
      <w:rPr>
        <w:rFonts w:ascii="Wingdings" w:hAnsi="Wingdings" w:hint="default"/>
      </w:rPr>
    </w:lvl>
  </w:abstractNum>
  <w:abstractNum w:abstractNumId="1">
    <w:nsid w:val="470A00AC"/>
    <w:multiLevelType w:val="hybridMultilevel"/>
    <w:tmpl w:val="ED929254"/>
    <w:lvl w:ilvl="0" w:tplc="B8DC4720">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53180056"/>
    <w:multiLevelType w:val="hybridMultilevel"/>
    <w:tmpl w:val="4F664C12"/>
    <w:lvl w:ilvl="0" w:tplc="04090001">
      <w:start w:val="1"/>
      <w:numFmt w:val="bullet"/>
      <w:lvlText w:val=""/>
      <w:lvlJc w:val="left"/>
      <w:pPr>
        <w:ind w:left="1022" w:hanging="420"/>
      </w:pPr>
      <w:rPr>
        <w:rFonts w:ascii="Wingdings" w:hAnsi="Wingdings" w:hint="default"/>
      </w:rPr>
    </w:lvl>
    <w:lvl w:ilvl="1" w:tplc="04090003" w:tentative="1">
      <w:start w:val="1"/>
      <w:numFmt w:val="bullet"/>
      <w:lvlText w:val=""/>
      <w:lvlJc w:val="left"/>
      <w:pPr>
        <w:ind w:left="1442" w:hanging="420"/>
      </w:pPr>
      <w:rPr>
        <w:rFonts w:ascii="Wingdings" w:hAnsi="Wingdings" w:hint="default"/>
      </w:rPr>
    </w:lvl>
    <w:lvl w:ilvl="2" w:tplc="04090005"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3" w:tentative="1">
      <w:start w:val="1"/>
      <w:numFmt w:val="bullet"/>
      <w:lvlText w:val=""/>
      <w:lvlJc w:val="left"/>
      <w:pPr>
        <w:ind w:left="2702" w:hanging="420"/>
      </w:pPr>
      <w:rPr>
        <w:rFonts w:ascii="Wingdings" w:hAnsi="Wingdings" w:hint="default"/>
      </w:rPr>
    </w:lvl>
    <w:lvl w:ilvl="5" w:tplc="04090005"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3" w:tentative="1">
      <w:start w:val="1"/>
      <w:numFmt w:val="bullet"/>
      <w:lvlText w:val=""/>
      <w:lvlJc w:val="left"/>
      <w:pPr>
        <w:ind w:left="3962" w:hanging="420"/>
      </w:pPr>
      <w:rPr>
        <w:rFonts w:ascii="Wingdings" w:hAnsi="Wingdings" w:hint="default"/>
      </w:rPr>
    </w:lvl>
    <w:lvl w:ilvl="8" w:tplc="04090005" w:tentative="1">
      <w:start w:val="1"/>
      <w:numFmt w:val="bullet"/>
      <w:lvlText w:val=""/>
      <w:lvlJc w:val="left"/>
      <w:pPr>
        <w:ind w:left="4382" w:hanging="420"/>
      </w:pPr>
      <w:rPr>
        <w:rFonts w:ascii="Wingdings" w:hAnsi="Wingdings" w:hint="default"/>
      </w:rPr>
    </w:lvl>
  </w:abstractNum>
  <w:abstractNum w:abstractNumId="3">
    <w:nsid w:val="68E203A9"/>
    <w:multiLevelType w:val="multilevel"/>
    <w:tmpl w:val="D0E8E1B0"/>
    <w:lvl w:ilvl="0">
      <w:start w:val="1"/>
      <w:numFmt w:val="decimal"/>
      <w:lvlText w:val="%1"/>
      <w:lvlJc w:val="left"/>
      <w:pPr>
        <w:tabs>
          <w:tab w:val="num" w:pos="425"/>
        </w:tabs>
        <w:ind w:left="425" w:hanging="425"/>
      </w:pPr>
      <w:rPr>
        <w:rFonts w:hint="eastAsia"/>
      </w:rPr>
    </w:lvl>
    <w:lvl w:ilvl="1">
      <w:start w:val="1"/>
      <w:numFmt w:val="none"/>
      <w:lvlText w:val="6.1"/>
      <w:lvlJc w:val="left"/>
      <w:pPr>
        <w:tabs>
          <w:tab w:val="num" w:pos="992"/>
        </w:tabs>
        <w:ind w:left="992" w:hanging="567"/>
      </w:pPr>
      <w:rPr>
        <w:rFonts w:ascii="Times New Roman" w:hAnsi="Times New Roman" w:hint="default"/>
        <w:b w:val="0"/>
        <w:i w:val="0"/>
        <w:sz w:val="24"/>
      </w:rPr>
    </w:lvl>
    <w:lvl w:ilvl="2">
      <w:start w:val="1"/>
      <w:numFmt w:val="decimal"/>
      <w:lvlText w:val="6.%2%3"/>
      <w:lvlJc w:val="left"/>
      <w:pPr>
        <w:tabs>
          <w:tab w:val="num" w:pos="1107"/>
        </w:tabs>
        <w:ind w:left="1107" w:hanging="567"/>
      </w:pPr>
      <w:rPr>
        <w:rFonts w:ascii="仿宋_GB2312" w:eastAsia="仿宋_GB2312" w:hAnsi="宋体" w:hint="eastAsia"/>
        <w:b w:val="0"/>
        <w:i w:val="0"/>
        <w:sz w:val="30"/>
        <w:szCs w:val="3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0BAF"/>
    <w:rsid w:val="000355FA"/>
    <w:rsid w:val="00040D89"/>
    <w:rsid w:val="00044EBE"/>
    <w:rsid w:val="00046417"/>
    <w:rsid w:val="0005116E"/>
    <w:rsid w:val="000538A2"/>
    <w:rsid w:val="00061CD7"/>
    <w:rsid w:val="000658E8"/>
    <w:rsid w:val="000800FE"/>
    <w:rsid w:val="0008654A"/>
    <w:rsid w:val="000A1691"/>
    <w:rsid w:val="000A6B53"/>
    <w:rsid w:val="000B6927"/>
    <w:rsid w:val="000C04FF"/>
    <w:rsid w:val="000C0EFB"/>
    <w:rsid w:val="000E0B72"/>
    <w:rsid w:val="000E3C25"/>
    <w:rsid w:val="000F4A37"/>
    <w:rsid w:val="00115B07"/>
    <w:rsid w:val="00140D5D"/>
    <w:rsid w:val="00143FF6"/>
    <w:rsid w:val="001471AA"/>
    <w:rsid w:val="0016624F"/>
    <w:rsid w:val="00173994"/>
    <w:rsid w:val="00176C9F"/>
    <w:rsid w:val="00186051"/>
    <w:rsid w:val="0018634B"/>
    <w:rsid w:val="0018737E"/>
    <w:rsid w:val="00195D1C"/>
    <w:rsid w:val="00196905"/>
    <w:rsid w:val="001A4B79"/>
    <w:rsid w:val="001B351B"/>
    <w:rsid w:val="001B3BFB"/>
    <w:rsid w:val="001D18A4"/>
    <w:rsid w:val="001E7847"/>
    <w:rsid w:val="00200CBC"/>
    <w:rsid w:val="00204247"/>
    <w:rsid w:val="00212056"/>
    <w:rsid w:val="0021532F"/>
    <w:rsid w:val="00220DDB"/>
    <w:rsid w:val="00231B4A"/>
    <w:rsid w:val="00232B40"/>
    <w:rsid w:val="002379AE"/>
    <w:rsid w:val="00246588"/>
    <w:rsid w:val="00265AB3"/>
    <w:rsid w:val="0027785D"/>
    <w:rsid w:val="002929E3"/>
    <w:rsid w:val="00297FC8"/>
    <w:rsid w:val="002B7885"/>
    <w:rsid w:val="002C47C6"/>
    <w:rsid w:val="002C5E6C"/>
    <w:rsid w:val="002F6093"/>
    <w:rsid w:val="002F74D6"/>
    <w:rsid w:val="00306A51"/>
    <w:rsid w:val="00336239"/>
    <w:rsid w:val="0033633F"/>
    <w:rsid w:val="0037739C"/>
    <w:rsid w:val="00377D70"/>
    <w:rsid w:val="00394DE8"/>
    <w:rsid w:val="003A743D"/>
    <w:rsid w:val="003B454A"/>
    <w:rsid w:val="003C40EF"/>
    <w:rsid w:val="003D5CEC"/>
    <w:rsid w:val="003E5FB1"/>
    <w:rsid w:val="0040123D"/>
    <w:rsid w:val="004107C0"/>
    <w:rsid w:val="00416D52"/>
    <w:rsid w:val="0042015D"/>
    <w:rsid w:val="00420E3B"/>
    <w:rsid w:val="004312DD"/>
    <w:rsid w:val="00434504"/>
    <w:rsid w:val="00445E98"/>
    <w:rsid w:val="004612E1"/>
    <w:rsid w:val="00462335"/>
    <w:rsid w:val="0046429E"/>
    <w:rsid w:val="00494B26"/>
    <w:rsid w:val="004A2005"/>
    <w:rsid w:val="004B7A2E"/>
    <w:rsid w:val="004C45A9"/>
    <w:rsid w:val="004D6C6E"/>
    <w:rsid w:val="004D6D29"/>
    <w:rsid w:val="004E5A30"/>
    <w:rsid w:val="00507569"/>
    <w:rsid w:val="00510519"/>
    <w:rsid w:val="00510E07"/>
    <w:rsid w:val="00515CE2"/>
    <w:rsid w:val="00524F77"/>
    <w:rsid w:val="005250BC"/>
    <w:rsid w:val="00547B69"/>
    <w:rsid w:val="005520C3"/>
    <w:rsid w:val="00561515"/>
    <w:rsid w:val="005665AB"/>
    <w:rsid w:val="00587B49"/>
    <w:rsid w:val="00596403"/>
    <w:rsid w:val="005A2F8F"/>
    <w:rsid w:val="005A4215"/>
    <w:rsid w:val="005A6BEB"/>
    <w:rsid w:val="005B5431"/>
    <w:rsid w:val="005E1EFA"/>
    <w:rsid w:val="005E692B"/>
    <w:rsid w:val="005F1F7A"/>
    <w:rsid w:val="00600AB3"/>
    <w:rsid w:val="0060515C"/>
    <w:rsid w:val="00613B02"/>
    <w:rsid w:val="006259B9"/>
    <w:rsid w:val="00630326"/>
    <w:rsid w:val="00645F1F"/>
    <w:rsid w:val="00647F4D"/>
    <w:rsid w:val="006613F7"/>
    <w:rsid w:val="00673F4B"/>
    <w:rsid w:val="00676994"/>
    <w:rsid w:val="00676F96"/>
    <w:rsid w:val="00677560"/>
    <w:rsid w:val="00682B67"/>
    <w:rsid w:val="006834B6"/>
    <w:rsid w:val="00685864"/>
    <w:rsid w:val="00692500"/>
    <w:rsid w:val="006A02D9"/>
    <w:rsid w:val="006A28CB"/>
    <w:rsid w:val="006A29E4"/>
    <w:rsid w:val="006A4812"/>
    <w:rsid w:val="006B17BC"/>
    <w:rsid w:val="006C20E7"/>
    <w:rsid w:val="006C3822"/>
    <w:rsid w:val="006C56D4"/>
    <w:rsid w:val="006C6D33"/>
    <w:rsid w:val="006D062D"/>
    <w:rsid w:val="006E721E"/>
    <w:rsid w:val="006F4893"/>
    <w:rsid w:val="006F68C5"/>
    <w:rsid w:val="00703195"/>
    <w:rsid w:val="007035E9"/>
    <w:rsid w:val="00706FE7"/>
    <w:rsid w:val="007504DA"/>
    <w:rsid w:val="0077085F"/>
    <w:rsid w:val="00786708"/>
    <w:rsid w:val="007A5C54"/>
    <w:rsid w:val="007B2E77"/>
    <w:rsid w:val="007B796E"/>
    <w:rsid w:val="007C4999"/>
    <w:rsid w:val="00831E0D"/>
    <w:rsid w:val="00832F19"/>
    <w:rsid w:val="00836396"/>
    <w:rsid w:val="0085234C"/>
    <w:rsid w:val="0085471E"/>
    <w:rsid w:val="008625DC"/>
    <w:rsid w:val="008626EF"/>
    <w:rsid w:val="00877B93"/>
    <w:rsid w:val="00884E43"/>
    <w:rsid w:val="00890F6D"/>
    <w:rsid w:val="00902708"/>
    <w:rsid w:val="00903B22"/>
    <w:rsid w:val="00911745"/>
    <w:rsid w:val="00912B13"/>
    <w:rsid w:val="00916146"/>
    <w:rsid w:val="00932528"/>
    <w:rsid w:val="00932D51"/>
    <w:rsid w:val="00933966"/>
    <w:rsid w:val="009449EA"/>
    <w:rsid w:val="00944F29"/>
    <w:rsid w:val="00947E64"/>
    <w:rsid w:val="00952B3C"/>
    <w:rsid w:val="00952D2A"/>
    <w:rsid w:val="009724F9"/>
    <w:rsid w:val="00976657"/>
    <w:rsid w:val="0098691C"/>
    <w:rsid w:val="00995267"/>
    <w:rsid w:val="009A0C2D"/>
    <w:rsid w:val="009B3DA5"/>
    <w:rsid w:val="009C0CE0"/>
    <w:rsid w:val="009C5E1F"/>
    <w:rsid w:val="009C718A"/>
    <w:rsid w:val="009F3D69"/>
    <w:rsid w:val="009F589D"/>
    <w:rsid w:val="00A01673"/>
    <w:rsid w:val="00A26300"/>
    <w:rsid w:val="00A30DB8"/>
    <w:rsid w:val="00A73748"/>
    <w:rsid w:val="00AC025C"/>
    <w:rsid w:val="00AC1808"/>
    <w:rsid w:val="00B24160"/>
    <w:rsid w:val="00B31D11"/>
    <w:rsid w:val="00B36A3C"/>
    <w:rsid w:val="00B42897"/>
    <w:rsid w:val="00B44686"/>
    <w:rsid w:val="00B61EC9"/>
    <w:rsid w:val="00B65AC1"/>
    <w:rsid w:val="00B71878"/>
    <w:rsid w:val="00B86A94"/>
    <w:rsid w:val="00BB17E2"/>
    <w:rsid w:val="00BD5C46"/>
    <w:rsid w:val="00C019E1"/>
    <w:rsid w:val="00C252E9"/>
    <w:rsid w:val="00C304BF"/>
    <w:rsid w:val="00C31964"/>
    <w:rsid w:val="00C44516"/>
    <w:rsid w:val="00C52B94"/>
    <w:rsid w:val="00C6644A"/>
    <w:rsid w:val="00C66518"/>
    <w:rsid w:val="00C81EA5"/>
    <w:rsid w:val="00C846DF"/>
    <w:rsid w:val="00CA37EB"/>
    <w:rsid w:val="00CA7A11"/>
    <w:rsid w:val="00CB6948"/>
    <w:rsid w:val="00CC4F46"/>
    <w:rsid w:val="00CC74F7"/>
    <w:rsid w:val="00CD7F61"/>
    <w:rsid w:val="00CE1E99"/>
    <w:rsid w:val="00D07352"/>
    <w:rsid w:val="00D11E29"/>
    <w:rsid w:val="00D4260F"/>
    <w:rsid w:val="00D5525D"/>
    <w:rsid w:val="00D57BBD"/>
    <w:rsid w:val="00D60EDD"/>
    <w:rsid w:val="00D628F6"/>
    <w:rsid w:val="00D63081"/>
    <w:rsid w:val="00D6509C"/>
    <w:rsid w:val="00D67709"/>
    <w:rsid w:val="00D67ABF"/>
    <w:rsid w:val="00D7277B"/>
    <w:rsid w:val="00D73D01"/>
    <w:rsid w:val="00DB5410"/>
    <w:rsid w:val="00E024FA"/>
    <w:rsid w:val="00E22641"/>
    <w:rsid w:val="00E34FA5"/>
    <w:rsid w:val="00E66D59"/>
    <w:rsid w:val="00E8111D"/>
    <w:rsid w:val="00E86C97"/>
    <w:rsid w:val="00E90B3F"/>
    <w:rsid w:val="00E93C6F"/>
    <w:rsid w:val="00EA3B25"/>
    <w:rsid w:val="00EA657D"/>
    <w:rsid w:val="00EE0036"/>
    <w:rsid w:val="00EE314C"/>
    <w:rsid w:val="00EF69DB"/>
    <w:rsid w:val="00F03706"/>
    <w:rsid w:val="00F07762"/>
    <w:rsid w:val="00F24104"/>
    <w:rsid w:val="00F2550F"/>
    <w:rsid w:val="00F37C92"/>
    <w:rsid w:val="00F54165"/>
    <w:rsid w:val="00F62C89"/>
    <w:rsid w:val="00F706EE"/>
    <w:rsid w:val="00F7542B"/>
    <w:rsid w:val="00FA0BAF"/>
    <w:rsid w:val="00FA5CB6"/>
    <w:rsid w:val="00FB0A00"/>
    <w:rsid w:val="00FD3619"/>
    <w:rsid w:val="00FE40AF"/>
    <w:rsid w:val="00FF7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F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5F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5F1F"/>
    <w:rPr>
      <w:sz w:val="18"/>
      <w:szCs w:val="18"/>
    </w:rPr>
  </w:style>
  <w:style w:type="paragraph" w:styleId="a4">
    <w:name w:val="footer"/>
    <w:basedOn w:val="a"/>
    <w:link w:val="Char0"/>
    <w:uiPriority w:val="99"/>
    <w:unhideWhenUsed/>
    <w:rsid w:val="00645F1F"/>
    <w:pPr>
      <w:tabs>
        <w:tab w:val="center" w:pos="4153"/>
        <w:tab w:val="right" w:pos="8306"/>
      </w:tabs>
      <w:snapToGrid w:val="0"/>
      <w:jc w:val="left"/>
    </w:pPr>
    <w:rPr>
      <w:sz w:val="18"/>
      <w:szCs w:val="18"/>
    </w:rPr>
  </w:style>
  <w:style w:type="character" w:customStyle="1" w:styleId="Char0">
    <w:name w:val="页脚 Char"/>
    <w:basedOn w:val="a0"/>
    <w:link w:val="a4"/>
    <w:uiPriority w:val="99"/>
    <w:rsid w:val="00645F1F"/>
    <w:rPr>
      <w:sz w:val="18"/>
      <w:szCs w:val="18"/>
    </w:rPr>
  </w:style>
  <w:style w:type="paragraph" w:styleId="a5">
    <w:name w:val="Body Text Indent"/>
    <w:basedOn w:val="a"/>
    <w:link w:val="Char1"/>
    <w:rsid w:val="00F706EE"/>
    <w:pPr>
      <w:tabs>
        <w:tab w:val="left" w:pos="7020"/>
      </w:tabs>
      <w:spacing w:line="600" w:lineRule="exact"/>
      <w:ind w:firstLineChars="200" w:firstLine="600"/>
    </w:pPr>
    <w:rPr>
      <w:rFonts w:ascii="仿宋_GB2312" w:eastAsia="仿宋_GB2312"/>
      <w:sz w:val="30"/>
    </w:rPr>
  </w:style>
  <w:style w:type="character" w:customStyle="1" w:styleId="Char1">
    <w:name w:val="正文文本缩进 Char"/>
    <w:basedOn w:val="a0"/>
    <w:link w:val="a5"/>
    <w:rsid w:val="00F706EE"/>
    <w:rPr>
      <w:rFonts w:ascii="仿宋_GB2312" w:eastAsia="仿宋_GB2312" w:hAnsi="Times New Roman" w:cs="Times New Roman"/>
      <w:sz w:val="30"/>
      <w:szCs w:val="24"/>
    </w:rPr>
  </w:style>
  <w:style w:type="character" w:styleId="a6">
    <w:name w:val="annotation reference"/>
    <w:basedOn w:val="a0"/>
    <w:uiPriority w:val="99"/>
    <w:semiHidden/>
    <w:unhideWhenUsed/>
    <w:rsid w:val="00196905"/>
    <w:rPr>
      <w:sz w:val="21"/>
      <w:szCs w:val="21"/>
    </w:rPr>
  </w:style>
  <w:style w:type="paragraph" w:styleId="a7">
    <w:name w:val="annotation text"/>
    <w:basedOn w:val="a"/>
    <w:link w:val="Char2"/>
    <w:uiPriority w:val="99"/>
    <w:semiHidden/>
    <w:unhideWhenUsed/>
    <w:rsid w:val="00196905"/>
    <w:pPr>
      <w:jc w:val="left"/>
    </w:pPr>
  </w:style>
  <w:style w:type="character" w:customStyle="1" w:styleId="Char2">
    <w:name w:val="批注文字 Char"/>
    <w:basedOn w:val="a0"/>
    <w:link w:val="a7"/>
    <w:uiPriority w:val="99"/>
    <w:semiHidden/>
    <w:rsid w:val="00196905"/>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196905"/>
    <w:rPr>
      <w:b/>
      <w:bCs/>
    </w:rPr>
  </w:style>
  <w:style w:type="character" w:customStyle="1" w:styleId="Char3">
    <w:name w:val="批注主题 Char"/>
    <w:basedOn w:val="Char2"/>
    <w:link w:val="a8"/>
    <w:uiPriority w:val="99"/>
    <w:semiHidden/>
    <w:rsid w:val="00196905"/>
    <w:rPr>
      <w:rFonts w:ascii="Times New Roman" w:eastAsia="宋体" w:hAnsi="Times New Roman" w:cs="Times New Roman"/>
      <w:b/>
      <w:bCs/>
      <w:szCs w:val="24"/>
    </w:rPr>
  </w:style>
  <w:style w:type="paragraph" w:styleId="a9">
    <w:name w:val="Balloon Text"/>
    <w:basedOn w:val="a"/>
    <w:link w:val="Char4"/>
    <w:uiPriority w:val="99"/>
    <w:semiHidden/>
    <w:unhideWhenUsed/>
    <w:rsid w:val="00196905"/>
    <w:rPr>
      <w:sz w:val="18"/>
      <w:szCs w:val="18"/>
    </w:rPr>
  </w:style>
  <w:style w:type="character" w:customStyle="1" w:styleId="Char4">
    <w:name w:val="批注框文本 Char"/>
    <w:basedOn w:val="a0"/>
    <w:link w:val="a9"/>
    <w:uiPriority w:val="99"/>
    <w:semiHidden/>
    <w:rsid w:val="00196905"/>
    <w:rPr>
      <w:rFonts w:ascii="Times New Roman" w:eastAsia="宋体" w:hAnsi="Times New Roman" w:cs="Times New Roman"/>
      <w:sz w:val="18"/>
      <w:szCs w:val="18"/>
    </w:rPr>
  </w:style>
  <w:style w:type="paragraph" w:styleId="aa">
    <w:name w:val="List Paragraph"/>
    <w:basedOn w:val="a"/>
    <w:qFormat/>
    <w:rsid w:val="00B36A3C"/>
    <w:pPr>
      <w:ind w:firstLineChars="200" w:firstLine="420"/>
    </w:pPr>
  </w:style>
  <w:style w:type="paragraph" w:styleId="ab">
    <w:name w:val="Document Map"/>
    <w:basedOn w:val="a"/>
    <w:link w:val="Char5"/>
    <w:uiPriority w:val="99"/>
    <w:semiHidden/>
    <w:unhideWhenUsed/>
    <w:rsid w:val="00CE1E99"/>
    <w:rPr>
      <w:rFonts w:ascii="宋体"/>
      <w:sz w:val="18"/>
      <w:szCs w:val="18"/>
    </w:rPr>
  </w:style>
  <w:style w:type="character" w:customStyle="1" w:styleId="Char5">
    <w:name w:val="文档结构图 Char"/>
    <w:basedOn w:val="a0"/>
    <w:link w:val="ab"/>
    <w:uiPriority w:val="99"/>
    <w:semiHidden/>
    <w:rsid w:val="00CE1E99"/>
    <w:rPr>
      <w:rFonts w:ascii="宋体" w:eastAsia="宋体" w:hAnsi="Times New Roman" w:cs="Times New Roman"/>
      <w:sz w:val="18"/>
      <w:szCs w:val="18"/>
    </w:rPr>
  </w:style>
  <w:style w:type="table" w:styleId="ac">
    <w:name w:val="Table Grid"/>
    <w:basedOn w:val="a1"/>
    <w:uiPriority w:val="39"/>
    <w:rsid w:val="00CC74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051261">
      <w:bodyDiv w:val="1"/>
      <w:marLeft w:val="0"/>
      <w:marRight w:val="0"/>
      <w:marTop w:val="0"/>
      <w:marBottom w:val="0"/>
      <w:divBdr>
        <w:top w:val="none" w:sz="0" w:space="0" w:color="auto"/>
        <w:left w:val="none" w:sz="0" w:space="0" w:color="auto"/>
        <w:bottom w:val="none" w:sz="0" w:space="0" w:color="auto"/>
        <w:right w:val="none" w:sz="0" w:space="0" w:color="auto"/>
      </w:divBdr>
    </w:div>
    <w:div w:id="822284087">
      <w:bodyDiv w:val="1"/>
      <w:marLeft w:val="0"/>
      <w:marRight w:val="0"/>
      <w:marTop w:val="0"/>
      <w:marBottom w:val="0"/>
      <w:divBdr>
        <w:top w:val="none" w:sz="0" w:space="0" w:color="auto"/>
        <w:left w:val="none" w:sz="0" w:space="0" w:color="auto"/>
        <w:bottom w:val="none" w:sz="0" w:space="0" w:color="auto"/>
        <w:right w:val="none" w:sz="0" w:space="0" w:color="auto"/>
      </w:divBdr>
      <w:divsChild>
        <w:div w:id="599526706">
          <w:marLeft w:val="0"/>
          <w:marRight w:val="0"/>
          <w:marTop w:val="0"/>
          <w:marBottom w:val="0"/>
          <w:divBdr>
            <w:top w:val="none" w:sz="0" w:space="0" w:color="auto"/>
            <w:left w:val="none" w:sz="0" w:space="0" w:color="auto"/>
            <w:bottom w:val="none" w:sz="0" w:space="0" w:color="auto"/>
            <w:right w:val="none" w:sz="0" w:space="0" w:color="auto"/>
          </w:divBdr>
        </w:div>
        <w:div w:id="1410884529">
          <w:marLeft w:val="0"/>
          <w:marRight w:val="0"/>
          <w:marTop w:val="0"/>
          <w:marBottom w:val="0"/>
          <w:divBdr>
            <w:top w:val="none" w:sz="0" w:space="0" w:color="auto"/>
            <w:left w:val="none" w:sz="0" w:space="0" w:color="auto"/>
            <w:bottom w:val="none" w:sz="0" w:space="0" w:color="auto"/>
            <w:right w:val="none" w:sz="0" w:space="0" w:color="auto"/>
          </w:divBdr>
        </w:div>
        <w:div w:id="848064161">
          <w:marLeft w:val="0"/>
          <w:marRight w:val="0"/>
          <w:marTop w:val="0"/>
          <w:marBottom w:val="0"/>
          <w:divBdr>
            <w:top w:val="none" w:sz="0" w:space="0" w:color="auto"/>
            <w:left w:val="none" w:sz="0" w:space="0" w:color="auto"/>
            <w:bottom w:val="none" w:sz="0" w:space="0" w:color="auto"/>
            <w:right w:val="none" w:sz="0" w:space="0" w:color="auto"/>
          </w:divBdr>
        </w:div>
      </w:divsChild>
    </w:div>
    <w:div w:id="845946689">
      <w:bodyDiv w:val="1"/>
      <w:marLeft w:val="0"/>
      <w:marRight w:val="0"/>
      <w:marTop w:val="0"/>
      <w:marBottom w:val="0"/>
      <w:divBdr>
        <w:top w:val="none" w:sz="0" w:space="0" w:color="auto"/>
        <w:left w:val="none" w:sz="0" w:space="0" w:color="auto"/>
        <w:bottom w:val="none" w:sz="0" w:space="0" w:color="auto"/>
        <w:right w:val="none" w:sz="0" w:space="0" w:color="auto"/>
      </w:divBdr>
    </w:div>
    <w:div w:id="935406653">
      <w:bodyDiv w:val="1"/>
      <w:marLeft w:val="0"/>
      <w:marRight w:val="0"/>
      <w:marTop w:val="0"/>
      <w:marBottom w:val="0"/>
      <w:divBdr>
        <w:top w:val="none" w:sz="0" w:space="0" w:color="auto"/>
        <w:left w:val="none" w:sz="0" w:space="0" w:color="auto"/>
        <w:bottom w:val="none" w:sz="0" w:space="0" w:color="auto"/>
        <w:right w:val="none" w:sz="0" w:space="0" w:color="auto"/>
      </w:divBdr>
    </w:div>
    <w:div w:id="1160271203">
      <w:bodyDiv w:val="1"/>
      <w:marLeft w:val="0"/>
      <w:marRight w:val="0"/>
      <w:marTop w:val="0"/>
      <w:marBottom w:val="0"/>
      <w:divBdr>
        <w:top w:val="none" w:sz="0" w:space="0" w:color="auto"/>
        <w:left w:val="none" w:sz="0" w:space="0" w:color="auto"/>
        <w:bottom w:val="none" w:sz="0" w:space="0" w:color="auto"/>
        <w:right w:val="none" w:sz="0" w:space="0" w:color="auto"/>
      </w:divBdr>
      <w:divsChild>
        <w:div w:id="1534146481">
          <w:marLeft w:val="0"/>
          <w:marRight w:val="0"/>
          <w:marTop w:val="0"/>
          <w:marBottom w:val="0"/>
          <w:divBdr>
            <w:top w:val="none" w:sz="0" w:space="0" w:color="auto"/>
            <w:left w:val="none" w:sz="0" w:space="0" w:color="auto"/>
            <w:bottom w:val="none" w:sz="0" w:space="0" w:color="auto"/>
            <w:right w:val="none" w:sz="0" w:space="0" w:color="auto"/>
          </w:divBdr>
        </w:div>
        <w:div w:id="736049413">
          <w:marLeft w:val="0"/>
          <w:marRight w:val="0"/>
          <w:marTop w:val="0"/>
          <w:marBottom w:val="0"/>
          <w:divBdr>
            <w:top w:val="none" w:sz="0" w:space="0" w:color="auto"/>
            <w:left w:val="none" w:sz="0" w:space="0" w:color="auto"/>
            <w:bottom w:val="none" w:sz="0" w:space="0" w:color="auto"/>
            <w:right w:val="none" w:sz="0" w:space="0" w:color="auto"/>
          </w:divBdr>
        </w:div>
        <w:div w:id="482160322">
          <w:marLeft w:val="0"/>
          <w:marRight w:val="0"/>
          <w:marTop w:val="0"/>
          <w:marBottom w:val="0"/>
          <w:divBdr>
            <w:top w:val="none" w:sz="0" w:space="0" w:color="auto"/>
            <w:left w:val="none" w:sz="0" w:space="0" w:color="auto"/>
            <w:bottom w:val="none" w:sz="0" w:space="0" w:color="auto"/>
            <w:right w:val="none" w:sz="0" w:space="0" w:color="auto"/>
          </w:divBdr>
        </w:div>
        <w:div w:id="1837987533">
          <w:marLeft w:val="0"/>
          <w:marRight w:val="0"/>
          <w:marTop w:val="0"/>
          <w:marBottom w:val="0"/>
          <w:divBdr>
            <w:top w:val="none" w:sz="0" w:space="0" w:color="auto"/>
            <w:left w:val="none" w:sz="0" w:space="0" w:color="auto"/>
            <w:bottom w:val="none" w:sz="0" w:space="0" w:color="auto"/>
            <w:right w:val="none" w:sz="0" w:space="0" w:color="auto"/>
          </w:divBdr>
        </w:div>
        <w:div w:id="1281572690">
          <w:marLeft w:val="0"/>
          <w:marRight w:val="0"/>
          <w:marTop w:val="0"/>
          <w:marBottom w:val="0"/>
          <w:divBdr>
            <w:top w:val="none" w:sz="0" w:space="0" w:color="auto"/>
            <w:left w:val="none" w:sz="0" w:space="0" w:color="auto"/>
            <w:bottom w:val="none" w:sz="0" w:space="0" w:color="auto"/>
            <w:right w:val="none" w:sz="0" w:space="0" w:color="auto"/>
          </w:divBdr>
        </w:div>
      </w:divsChild>
    </w:div>
    <w:div w:id="1226452085">
      <w:bodyDiv w:val="1"/>
      <w:marLeft w:val="0"/>
      <w:marRight w:val="0"/>
      <w:marTop w:val="0"/>
      <w:marBottom w:val="0"/>
      <w:divBdr>
        <w:top w:val="none" w:sz="0" w:space="0" w:color="auto"/>
        <w:left w:val="none" w:sz="0" w:space="0" w:color="auto"/>
        <w:bottom w:val="none" w:sz="0" w:space="0" w:color="auto"/>
        <w:right w:val="none" w:sz="0" w:space="0" w:color="auto"/>
      </w:divBdr>
    </w:div>
    <w:div w:id="2014796464">
      <w:bodyDiv w:val="1"/>
      <w:marLeft w:val="0"/>
      <w:marRight w:val="0"/>
      <w:marTop w:val="0"/>
      <w:marBottom w:val="0"/>
      <w:divBdr>
        <w:top w:val="none" w:sz="0" w:space="0" w:color="auto"/>
        <w:left w:val="none" w:sz="0" w:space="0" w:color="auto"/>
        <w:bottom w:val="none" w:sz="0" w:space="0" w:color="auto"/>
        <w:right w:val="none" w:sz="0" w:space="0" w:color="auto"/>
      </w:divBdr>
    </w:div>
    <w:div w:id="2143499621">
      <w:bodyDiv w:val="1"/>
      <w:marLeft w:val="0"/>
      <w:marRight w:val="0"/>
      <w:marTop w:val="0"/>
      <w:marBottom w:val="0"/>
      <w:divBdr>
        <w:top w:val="none" w:sz="0" w:space="0" w:color="auto"/>
        <w:left w:val="none" w:sz="0" w:space="0" w:color="auto"/>
        <w:bottom w:val="none" w:sz="0" w:space="0" w:color="auto"/>
        <w:right w:val="none" w:sz="0" w:space="0" w:color="auto"/>
      </w:divBdr>
      <w:divsChild>
        <w:div w:id="909462551">
          <w:marLeft w:val="0"/>
          <w:marRight w:val="0"/>
          <w:marTop w:val="0"/>
          <w:marBottom w:val="0"/>
          <w:divBdr>
            <w:top w:val="none" w:sz="0" w:space="0" w:color="auto"/>
            <w:left w:val="none" w:sz="0" w:space="0" w:color="auto"/>
            <w:bottom w:val="none" w:sz="0" w:space="0" w:color="auto"/>
            <w:right w:val="none" w:sz="0" w:space="0" w:color="auto"/>
          </w:divBdr>
        </w:div>
        <w:div w:id="852761237">
          <w:marLeft w:val="0"/>
          <w:marRight w:val="0"/>
          <w:marTop w:val="0"/>
          <w:marBottom w:val="0"/>
          <w:divBdr>
            <w:top w:val="none" w:sz="0" w:space="0" w:color="auto"/>
            <w:left w:val="none" w:sz="0" w:space="0" w:color="auto"/>
            <w:bottom w:val="none" w:sz="0" w:space="0" w:color="auto"/>
            <w:right w:val="none" w:sz="0" w:space="0" w:color="auto"/>
          </w:divBdr>
        </w:div>
        <w:div w:id="1160006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C4B8E-35AF-41E3-8A19-0B756723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4</Pages>
  <Words>446</Words>
  <Characters>2543</Characters>
  <Application>Microsoft Office Word</Application>
  <DocSecurity>0</DocSecurity>
  <Lines>21</Lines>
  <Paragraphs>5</Paragraphs>
  <ScaleCrop>false</ScaleCrop>
  <Company>Microsoft</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ycli</dc:creator>
  <cp:lastModifiedBy>孙大伟</cp:lastModifiedBy>
  <cp:revision>69</cp:revision>
  <cp:lastPrinted>2020-02-28T06:28:00Z</cp:lastPrinted>
  <dcterms:created xsi:type="dcterms:W3CDTF">2020-02-25T10:09:00Z</dcterms:created>
  <dcterms:modified xsi:type="dcterms:W3CDTF">2021-04-17T08:22:00Z</dcterms:modified>
</cp:coreProperties>
</file>