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34" w:rsidRDefault="00427F7C">
      <w:pPr>
        <w:rPr>
          <w:rFonts w:asciiTheme="minorEastAsia" w:hAnsiTheme="minorEastAsia" w:cstheme="minorEastAsia"/>
        </w:rPr>
      </w:pPr>
      <w:r>
        <w:rPr>
          <w:rFonts w:asciiTheme="minorEastAsia" w:hAnsiTheme="minorEastAsia" w:cstheme="minorEastAsia" w:hint="eastAsia"/>
          <w:b/>
          <w:bCs/>
          <w:sz w:val="24"/>
        </w:rPr>
        <w:t xml:space="preserve">证券代码：603815        </w:t>
      </w:r>
      <w:r>
        <w:rPr>
          <w:rFonts w:asciiTheme="minorEastAsia" w:hAnsiTheme="minorEastAsia" w:cstheme="minorEastAsia"/>
          <w:b/>
          <w:bCs/>
          <w:sz w:val="24"/>
        </w:rPr>
        <w:t xml:space="preserve">   </w:t>
      </w:r>
      <w:r>
        <w:rPr>
          <w:rFonts w:asciiTheme="minorEastAsia" w:hAnsiTheme="minorEastAsia" w:cstheme="minorEastAsia" w:hint="eastAsia"/>
          <w:b/>
          <w:bCs/>
          <w:sz w:val="24"/>
        </w:rPr>
        <w:t>证券简称：</w:t>
      </w:r>
      <w:proofErr w:type="gramStart"/>
      <w:r>
        <w:rPr>
          <w:rFonts w:asciiTheme="minorEastAsia" w:hAnsiTheme="minorEastAsia" w:cstheme="minorEastAsia" w:hint="eastAsia"/>
          <w:b/>
          <w:bCs/>
          <w:sz w:val="24"/>
        </w:rPr>
        <w:t>交建</w:t>
      </w:r>
      <w:r>
        <w:rPr>
          <w:rFonts w:asciiTheme="minorEastAsia" w:hAnsiTheme="minorEastAsia" w:cstheme="minorEastAsia"/>
          <w:b/>
          <w:bCs/>
          <w:sz w:val="24"/>
        </w:rPr>
        <w:t>股份</w:t>
      </w:r>
      <w:proofErr w:type="gramEnd"/>
      <w:r>
        <w:rPr>
          <w:rFonts w:asciiTheme="minorEastAsia" w:hAnsiTheme="minorEastAsia" w:cstheme="minorEastAsia" w:hint="eastAsia"/>
          <w:b/>
          <w:bCs/>
          <w:sz w:val="24"/>
        </w:rPr>
        <w:t xml:space="preserve">      </w:t>
      </w:r>
      <w:r>
        <w:rPr>
          <w:rFonts w:asciiTheme="minorEastAsia" w:hAnsiTheme="minorEastAsia" w:cstheme="minorEastAsia"/>
          <w:b/>
          <w:bCs/>
          <w:sz w:val="24"/>
        </w:rPr>
        <w:t xml:space="preserve"> </w:t>
      </w:r>
      <w:r>
        <w:rPr>
          <w:rFonts w:asciiTheme="minorEastAsia" w:hAnsiTheme="minorEastAsia" w:cstheme="minorEastAsia" w:hint="eastAsia"/>
          <w:b/>
          <w:bCs/>
          <w:sz w:val="24"/>
        </w:rPr>
        <w:t>公告编号：2</w:t>
      </w:r>
      <w:r>
        <w:rPr>
          <w:rFonts w:asciiTheme="minorEastAsia" w:hAnsiTheme="minorEastAsia" w:cstheme="minorEastAsia"/>
          <w:b/>
          <w:bCs/>
          <w:sz w:val="24"/>
        </w:rPr>
        <w:t>0</w:t>
      </w:r>
      <w:r>
        <w:rPr>
          <w:rFonts w:asciiTheme="minorEastAsia" w:hAnsiTheme="minorEastAsia" w:cstheme="minorEastAsia" w:hint="eastAsia"/>
          <w:b/>
          <w:bCs/>
          <w:sz w:val="24"/>
        </w:rPr>
        <w:t>20</w:t>
      </w:r>
      <w:r>
        <w:rPr>
          <w:rFonts w:asciiTheme="minorEastAsia" w:hAnsiTheme="minorEastAsia" w:cstheme="minorEastAsia"/>
          <w:b/>
          <w:bCs/>
          <w:sz w:val="24"/>
        </w:rPr>
        <w:t>-</w:t>
      </w:r>
      <w:r>
        <w:rPr>
          <w:rFonts w:asciiTheme="minorEastAsia" w:hAnsiTheme="minorEastAsia" w:cstheme="minorEastAsia" w:hint="eastAsia"/>
          <w:b/>
          <w:bCs/>
          <w:sz w:val="24"/>
        </w:rPr>
        <w:t>0</w:t>
      </w:r>
      <w:r w:rsidR="00E71EE7">
        <w:rPr>
          <w:rFonts w:asciiTheme="minorEastAsia" w:hAnsiTheme="minorEastAsia" w:cstheme="minorEastAsia"/>
          <w:b/>
          <w:bCs/>
          <w:sz w:val="24"/>
        </w:rPr>
        <w:t>70</w:t>
      </w:r>
    </w:p>
    <w:p w:rsidR="00877134" w:rsidRDefault="00427F7C" w:rsidP="00AC3EC5">
      <w:pPr>
        <w:spacing w:beforeLines="150" w:before="468"/>
        <w:jc w:val="center"/>
        <w:rPr>
          <w:rFonts w:ascii="黑体" w:eastAsia="黑体" w:hAnsi="黑体" w:cstheme="minorEastAsia"/>
          <w:b/>
          <w:bCs/>
          <w:sz w:val="36"/>
          <w:szCs w:val="36"/>
        </w:rPr>
      </w:pPr>
      <w:r>
        <w:rPr>
          <w:rFonts w:ascii="黑体" w:eastAsia="黑体" w:hAnsi="黑体" w:cstheme="minorEastAsia" w:hint="eastAsia"/>
          <w:b/>
          <w:bCs/>
          <w:sz w:val="36"/>
          <w:szCs w:val="36"/>
        </w:rPr>
        <w:t>安徽省交通建设股份有限公司</w:t>
      </w:r>
    </w:p>
    <w:p w:rsidR="00877134" w:rsidRDefault="00427F7C">
      <w:pPr>
        <w:jc w:val="center"/>
        <w:rPr>
          <w:rFonts w:ascii="黑体" w:eastAsia="黑体" w:hAnsi="黑体" w:cstheme="minorEastAsia"/>
          <w:b/>
          <w:bCs/>
          <w:sz w:val="36"/>
          <w:szCs w:val="36"/>
        </w:rPr>
      </w:pPr>
      <w:r>
        <w:rPr>
          <w:rFonts w:ascii="黑体" w:eastAsia="黑体" w:hAnsi="黑体" w:cstheme="minorEastAsia" w:hint="eastAsia"/>
          <w:b/>
          <w:bCs/>
          <w:sz w:val="36"/>
          <w:szCs w:val="36"/>
        </w:rPr>
        <w:t>股票交易异常波动公告</w:t>
      </w:r>
    </w:p>
    <w:p w:rsidR="00877134" w:rsidRDefault="00877134">
      <w:pPr>
        <w:jc w:val="center"/>
        <w:rPr>
          <w:rFonts w:asciiTheme="minorEastAsia" w:hAnsiTheme="minorEastAsia" w:cstheme="minorEastAsia"/>
          <w:b/>
          <w:bCs/>
          <w:sz w:val="36"/>
          <w:szCs w:val="36"/>
        </w:rPr>
      </w:pPr>
    </w:p>
    <w:p w:rsidR="00877134" w:rsidRDefault="00427F7C">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Theme="minorEastAsia" w:hAnsiTheme="minorEastAsia" w:cstheme="minorEastAsia"/>
          <w:color w:val="000000"/>
          <w:sz w:val="24"/>
        </w:rPr>
      </w:pPr>
      <w:r>
        <w:rPr>
          <w:rFonts w:asciiTheme="minorEastAsia" w:hAnsiTheme="minorEastAsia" w:cstheme="minorEastAsia" w:hint="eastAsia"/>
        </w:rPr>
        <w:t xml:space="preserve"> </w:t>
      </w:r>
      <w:r>
        <w:rPr>
          <w:rFonts w:asciiTheme="minorEastAsia" w:hAnsiTheme="minorEastAsia" w:cstheme="minorEastAsia" w:hint="eastAsia"/>
          <w:color w:val="000000"/>
          <w:sz w:val="24"/>
        </w:rPr>
        <w:t>本公司董事会及全体董事保证本公告内容不存在任何虚假记载、误导性陈述或者重大遗漏，并对其内容的真实性、准确性和完整性承担个别及连带责任。</w:t>
      </w:r>
    </w:p>
    <w:p w:rsidR="00877134" w:rsidRDefault="00877134">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highlight w:val="yellow"/>
        </w:rPr>
      </w:pPr>
    </w:p>
    <w:p w:rsidR="00877134" w:rsidRDefault="00427F7C">
      <w:pPr>
        <w:tabs>
          <w:tab w:val="left" w:pos="0"/>
        </w:tabs>
        <w:autoSpaceDE w:val="0"/>
        <w:autoSpaceDN w:val="0"/>
        <w:adjustRightInd w:val="0"/>
        <w:snapToGrid w:val="0"/>
        <w:spacing w:line="360" w:lineRule="auto"/>
        <w:ind w:firstLineChars="200" w:firstLine="482"/>
        <w:rPr>
          <w:rFonts w:asciiTheme="minorEastAsia" w:hAnsiTheme="minorEastAsia" w:cstheme="minorEastAsia"/>
          <w:b/>
          <w:kern w:val="0"/>
          <w:sz w:val="24"/>
        </w:rPr>
      </w:pPr>
      <w:r>
        <w:rPr>
          <w:rFonts w:asciiTheme="minorEastAsia" w:hAnsiTheme="minorEastAsia" w:cstheme="minorEastAsia" w:hint="eastAsia"/>
          <w:b/>
          <w:kern w:val="0"/>
          <w:sz w:val="24"/>
        </w:rPr>
        <w:t>重要内容提示：</w:t>
      </w:r>
    </w:p>
    <w:p w:rsidR="00877134" w:rsidRDefault="00427F7C">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安徽省交通建设股份有限公司（以下简称“公司”）股票于2020年</w:t>
      </w:r>
      <w:r w:rsidR="00E71EE7">
        <w:rPr>
          <w:rFonts w:asciiTheme="minorEastAsia" w:hAnsiTheme="minorEastAsia" w:cstheme="minorEastAsia"/>
          <w:sz w:val="24"/>
        </w:rPr>
        <w:t>10</w:t>
      </w:r>
      <w:r>
        <w:rPr>
          <w:rFonts w:asciiTheme="minorEastAsia" w:hAnsiTheme="minorEastAsia" w:cstheme="minorEastAsia" w:hint="eastAsia"/>
          <w:sz w:val="24"/>
        </w:rPr>
        <w:t>月</w:t>
      </w:r>
      <w:r w:rsidR="00E71EE7">
        <w:rPr>
          <w:rFonts w:asciiTheme="minorEastAsia" w:hAnsiTheme="minorEastAsia" w:cstheme="minorEastAsia"/>
          <w:sz w:val="24"/>
        </w:rPr>
        <w:t>21</w:t>
      </w:r>
      <w:r>
        <w:rPr>
          <w:rFonts w:asciiTheme="minorEastAsia" w:hAnsiTheme="minorEastAsia" w:cstheme="minorEastAsia" w:hint="eastAsia"/>
          <w:sz w:val="24"/>
        </w:rPr>
        <w:t>日、</w:t>
      </w:r>
      <w:r w:rsidR="00E71EE7">
        <w:rPr>
          <w:rFonts w:asciiTheme="minorEastAsia" w:hAnsiTheme="minorEastAsia" w:cstheme="minorEastAsia"/>
          <w:sz w:val="24"/>
        </w:rPr>
        <w:t>10</w:t>
      </w:r>
      <w:r>
        <w:rPr>
          <w:rFonts w:asciiTheme="minorEastAsia" w:hAnsiTheme="minorEastAsia" w:cstheme="minorEastAsia" w:hint="eastAsia"/>
          <w:sz w:val="24"/>
        </w:rPr>
        <w:t>月2</w:t>
      </w:r>
      <w:r w:rsidR="00E71EE7">
        <w:rPr>
          <w:rFonts w:asciiTheme="minorEastAsia" w:hAnsiTheme="minorEastAsia" w:cstheme="minorEastAsia"/>
          <w:sz w:val="24"/>
        </w:rPr>
        <w:t>2</w:t>
      </w:r>
      <w:r>
        <w:rPr>
          <w:rFonts w:asciiTheme="minorEastAsia" w:hAnsiTheme="minorEastAsia" w:cstheme="minorEastAsia" w:hint="eastAsia"/>
          <w:sz w:val="24"/>
        </w:rPr>
        <w:t>日、</w:t>
      </w:r>
      <w:r w:rsidR="00E71EE7">
        <w:rPr>
          <w:rFonts w:asciiTheme="minorEastAsia" w:hAnsiTheme="minorEastAsia" w:cstheme="minorEastAsia"/>
          <w:sz w:val="24"/>
        </w:rPr>
        <w:t>10</w:t>
      </w:r>
      <w:r>
        <w:rPr>
          <w:rFonts w:asciiTheme="minorEastAsia" w:hAnsiTheme="minorEastAsia" w:cstheme="minorEastAsia" w:hint="eastAsia"/>
          <w:sz w:val="24"/>
        </w:rPr>
        <w:t>月2</w:t>
      </w:r>
      <w:r w:rsidR="00E71EE7">
        <w:rPr>
          <w:rFonts w:asciiTheme="minorEastAsia" w:hAnsiTheme="minorEastAsia" w:cstheme="minorEastAsia"/>
          <w:sz w:val="24"/>
        </w:rPr>
        <w:t>3</w:t>
      </w:r>
      <w:r>
        <w:rPr>
          <w:rFonts w:asciiTheme="minorEastAsia" w:hAnsiTheme="minorEastAsia" w:cstheme="minorEastAsia" w:hint="eastAsia"/>
          <w:sz w:val="24"/>
        </w:rPr>
        <w:t>日连续3个交易日内收盘价格</w:t>
      </w:r>
      <w:bookmarkStart w:id="0" w:name="_Hlk54357386"/>
      <w:r w:rsidR="00AC54ED">
        <w:rPr>
          <w:rFonts w:asciiTheme="minorEastAsia" w:hAnsiTheme="minorEastAsia" w:cstheme="minorEastAsia" w:hint="eastAsia"/>
          <w:sz w:val="24"/>
        </w:rPr>
        <w:t>跌幅</w:t>
      </w:r>
      <w:bookmarkEnd w:id="0"/>
      <w:proofErr w:type="gramStart"/>
      <w:r>
        <w:rPr>
          <w:rFonts w:asciiTheme="minorEastAsia" w:hAnsiTheme="minorEastAsia" w:cstheme="minorEastAsia" w:hint="eastAsia"/>
          <w:sz w:val="24"/>
        </w:rPr>
        <w:t>偏离值</w:t>
      </w:r>
      <w:proofErr w:type="gramEnd"/>
      <w:r>
        <w:rPr>
          <w:rFonts w:asciiTheme="minorEastAsia" w:hAnsiTheme="minorEastAsia" w:cstheme="minorEastAsia" w:hint="eastAsia"/>
          <w:sz w:val="24"/>
        </w:rPr>
        <w:t xml:space="preserve">累计超过20%，根据《上海证券交易所交易规则》的有关规定，属于股票交易异常波动情况。 </w:t>
      </w:r>
    </w:p>
    <w:p w:rsidR="00877134" w:rsidRDefault="00427F7C">
      <w:pPr>
        <w:numPr>
          <w:ilvl w:val="0"/>
          <w:numId w:val="1"/>
        </w:numPr>
        <w:spacing w:line="360" w:lineRule="auto"/>
        <w:rPr>
          <w:rFonts w:asciiTheme="minorEastAsia" w:hAnsiTheme="minorEastAsia" w:cstheme="minorEastAsia"/>
          <w:sz w:val="24"/>
        </w:rPr>
      </w:pPr>
      <w:r>
        <w:rPr>
          <w:rFonts w:asciiTheme="minorEastAsia" w:hAnsiTheme="minorEastAsia" w:cstheme="minorEastAsia" w:hint="eastAsia"/>
          <w:sz w:val="24"/>
        </w:rPr>
        <w:t>经公司自查并向控股股东、实际控制人书面发函查证，截止本公告披露日，确认不存在应披露而未披露的重大事项或重要信息。</w:t>
      </w:r>
      <w:bookmarkStart w:id="1" w:name="_GoBack"/>
      <w:bookmarkEnd w:id="1"/>
    </w:p>
    <w:p w:rsidR="00877134" w:rsidRDefault="00427F7C">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一、股票交易异常波动的具体情况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公司股票于</w:t>
      </w:r>
      <w:r w:rsidR="00E71EE7">
        <w:rPr>
          <w:rFonts w:asciiTheme="minorEastAsia" w:hAnsiTheme="minorEastAsia" w:cstheme="minorEastAsia" w:hint="eastAsia"/>
          <w:sz w:val="24"/>
        </w:rPr>
        <w:t>2020年</w:t>
      </w:r>
      <w:r w:rsidR="00E71EE7">
        <w:rPr>
          <w:rFonts w:asciiTheme="minorEastAsia" w:hAnsiTheme="minorEastAsia" w:cstheme="minorEastAsia"/>
          <w:sz w:val="24"/>
        </w:rPr>
        <w:t>10</w:t>
      </w:r>
      <w:r w:rsidR="00E71EE7">
        <w:rPr>
          <w:rFonts w:asciiTheme="minorEastAsia" w:hAnsiTheme="minorEastAsia" w:cstheme="minorEastAsia" w:hint="eastAsia"/>
          <w:sz w:val="24"/>
        </w:rPr>
        <w:t>月</w:t>
      </w:r>
      <w:r w:rsidR="00E71EE7">
        <w:rPr>
          <w:rFonts w:asciiTheme="minorEastAsia" w:hAnsiTheme="minorEastAsia" w:cstheme="minorEastAsia"/>
          <w:sz w:val="24"/>
        </w:rPr>
        <w:t>21</w:t>
      </w:r>
      <w:r w:rsidR="00E71EE7">
        <w:rPr>
          <w:rFonts w:asciiTheme="minorEastAsia" w:hAnsiTheme="minorEastAsia" w:cstheme="minorEastAsia" w:hint="eastAsia"/>
          <w:sz w:val="24"/>
        </w:rPr>
        <w:t>日、</w:t>
      </w:r>
      <w:r w:rsidR="00E71EE7">
        <w:rPr>
          <w:rFonts w:asciiTheme="minorEastAsia" w:hAnsiTheme="minorEastAsia" w:cstheme="minorEastAsia"/>
          <w:sz w:val="24"/>
        </w:rPr>
        <w:t>10</w:t>
      </w:r>
      <w:r w:rsidR="00E71EE7">
        <w:rPr>
          <w:rFonts w:asciiTheme="minorEastAsia" w:hAnsiTheme="minorEastAsia" w:cstheme="minorEastAsia" w:hint="eastAsia"/>
          <w:sz w:val="24"/>
        </w:rPr>
        <w:t>月2</w:t>
      </w:r>
      <w:r w:rsidR="00E71EE7">
        <w:rPr>
          <w:rFonts w:asciiTheme="minorEastAsia" w:hAnsiTheme="minorEastAsia" w:cstheme="minorEastAsia"/>
          <w:sz w:val="24"/>
        </w:rPr>
        <w:t>2</w:t>
      </w:r>
      <w:r w:rsidR="00E71EE7">
        <w:rPr>
          <w:rFonts w:asciiTheme="minorEastAsia" w:hAnsiTheme="minorEastAsia" w:cstheme="minorEastAsia" w:hint="eastAsia"/>
          <w:sz w:val="24"/>
        </w:rPr>
        <w:t>日、</w:t>
      </w:r>
      <w:r w:rsidR="00E71EE7">
        <w:rPr>
          <w:rFonts w:asciiTheme="minorEastAsia" w:hAnsiTheme="minorEastAsia" w:cstheme="minorEastAsia"/>
          <w:sz w:val="24"/>
        </w:rPr>
        <w:t>10</w:t>
      </w:r>
      <w:r w:rsidR="00E71EE7">
        <w:rPr>
          <w:rFonts w:asciiTheme="minorEastAsia" w:hAnsiTheme="minorEastAsia" w:cstheme="minorEastAsia" w:hint="eastAsia"/>
          <w:sz w:val="24"/>
        </w:rPr>
        <w:t>月2</w:t>
      </w:r>
      <w:r w:rsidR="00E71EE7">
        <w:rPr>
          <w:rFonts w:asciiTheme="minorEastAsia" w:hAnsiTheme="minorEastAsia" w:cstheme="minorEastAsia"/>
          <w:sz w:val="24"/>
        </w:rPr>
        <w:t>3</w:t>
      </w:r>
      <w:r w:rsidR="00E71EE7">
        <w:rPr>
          <w:rFonts w:asciiTheme="minorEastAsia" w:hAnsiTheme="minorEastAsia" w:cstheme="minorEastAsia" w:hint="eastAsia"/>
          <w:sz w:val="24"/>
        </w:rPr>
        <w:t>日</w:t>
      </w:r>
      <w:r>
        <w:rPr>
          <w:rFonts w:asciiTheme="minorEastAsia" w:hAnsiTheme="minorEastAsia" w:cstheme="minorEastAsia" w:hint="eastAsia"/>
          <w:sz w:val="24"/>
        </w:rPr>
        <w:t>连续3个交易日内收盘价格</w:t>
      </w:r>
      <w:r w:rsidR="00AC54ED">
        <w:rPr>
          <w:rFonts w:asciiTheme="minorEastAsia" w:hAnsiTheme="minorEastAsia" w:cstheme="minorEastAsia" w:hint="eastAsia"/>
          <w:sz w:val="24"/>
        </w:rPr>
        <w:t>跌幅</w:t>
      </w:r>
      <w:proofErr w:type="gramStart"/>
      <w:r>
        <w:rPr>
          <w:rFonts w:asciiTheme="minorEastAsia" w:hAnsiTheme="minorEastAsia" w:cstheme="minorEastAsia" w:hint="eastAsia"/>
          <w:sz w:val="24"/>
        </w:rPr>
        <w:t>偏离值</w:t>
      </w:r>
      <w:proofErr w:type="gramEnd"/>
      <w:r>
        <w:rPr>
          <w:rFonts w:asciiTheme="minorEastAsia" w:hAnsiTheme="minorEastAsia" w:cstheme="minorEastAsia" w:hint="eastAsia"/>
          <w:sz w:val="24"/>
        </w:rPr>
        <w:t xml:space="preserve">累计超过20%，根据《上海证券交易所交易规则》的有关规定，属于股票交易异常波动情况。 </w:t>
      </w:r>
    </w:p>
    <w:p w:rsidR="00877134" w:rsidRDefault="00427F7C">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二、公司关注并核实的相关情况</w:t>
      </w:r>
      <w:r>
        <w:rPr>
          <w:rFonts w:asciiTheme="minorEastAsia" w:hAnsiTheme="minorEastAsia" w:cstheme="minorEastAsia" w:hint="eastAsia"/>
          <w:sz w:val="24"/>
        </w:rPr>
        <w:t xml:space="preserve">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（一）生产经营情况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经公司自查，公司目前经营状况正常；公司不存在影响公司股票交易价格异常波动的重大事项；公司前期披露的信息不存在需要更正、补充之处；公司不存在应披露而未披露的重大信息。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（二）重大事项情况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自查，并书面问询公司控股股东、实际控制人，确认截止本公告披露日，公司控股股东、实际控制人不存在影响公司股票交易异常波动的重大事项，不存在其他应披露而未披露的重大信息，包括但不限于重大资产重组、发行股份、上市公司收购、债务重组、业务重组、资产剥离和资产注入等重大事项。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（三）媒体报道、市场传闻、热点概念情况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经公司自查，公司未发现对公司股票交易价格可能产生重大影响的媒体报道或市场传闻；亦未涉及市场热点概念</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（四）其他股价敏感信息</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经公司核实，公司董事、监事、高级管理人员、控股股东及其一致行动人在公司股票异常波动期间未买卖公司股票。 </w:t>
      </w:r>
    </w:p>
    <w:p w:rsidR="00877134" w:rsidRDefault="00427F7C">
      <w:pPr>
        <w:numPr>
          <w:ilvl w:val="255"/>
          <w:numId w:val="0"/>
        </w:num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三、相关风险提示</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公司郑重提醒广大投资者，有关公司信息以公司在上海证券交易所网站（www.sse.com.cn）和公司指定信息披露媒体《中国证券报》、《上海证券报》、《证券时报》、《证券日报》上刊登的相关公告为准。敬请广大投资者理性投资、注意投资风险。</w:t>
      </w:r>
    </w:p>
    <w:p w:rsidR="00877134" w:rsidRDefault="00427F7C">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四、董事会声明 </w:t>
      </w: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本公司董事会确认，公司没有任何根据《上海证券交易所股票上市规则》等有关规定应披露而未披露的事项或与该等事项有关的筹划、商谈、意向、协议等，董事会也未获悉本公司有根据《上海证券交易所股票上市规则》等有关规定应披露而未披露的、对本公司股票及其衍生品种交易价格可能产生较大影响的信息。 </w:t>
      </w:r>
    </w:p>
    <w:p w:rsidR="00877134" w:rsidRDefault="00877134">
      <w:pPr>
        <w:spacing w:line="360" w:lineRule="auto"/>
        <w:ind w:firstLineChars="200" w:firstLine="480"/>
        <w:rPr>
          <w:rFonts w:asciiTheme="minorEastAsia" w:hAnsiTheme="minorEastAsia" w:cstheme="minorEastAsia"/>
          <w:sz w:val="24"/>
        </w:rPr>
      </w:pPr>
    </w:p>
    <w:p w:rsidR="00877134" w:rsidRDefault="00427F7C">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特此公告。</w:t>
      </w:r>
    </w:p>
    <w:p w:rsidR="00877134" w:rsidRDefault="00427F7C">
      <w:pPr>
        <w:rPr>
          <w:rFonts w:asciiTheme="minorEastAsia" w:hAnsiTheme="minorEastAsia" w:cstheme="minorEastAsia"/>
        </w:rPr>
      </w:pPr>
      <w:r>
        <w:rPr>
          <w:rFonts w:asciiTheme="minorEastAsia" w:hAnsiTheme="minorEastAsia" w:cstheme="minorEastAsia" w:hint="eastAsia"/>
        </w:rPr>
        <w:t xml:space="preserve"> </w:t>
      </w:r>
    </w:p>
    <w:p w:rsidR="00877134" w:rsidRDefault="00427F7C">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安徽省交通建设股份有限公司董事会 </w:t>
      </w:r>
    </w:p>
    <w:p w:rsidR="00877134" w:rsidRDefault="00427F7C">
      <w:pPr>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                                       2020年 </w:t>
      </w:r>
      <w:r w:rsidR="00E71EE7">
        <w:rPr>
          <w:rFonts w:asciiTheme="minorEastAsia" w:hAnsiTheme="minorEastAsia" w:cstheme="minorEastAsia"/>
          <w:sz w:val="24"/>
        </w:rPr>
        <w:t>10</w:t>
      </w:r>
      <w:r>
        <w:rPr>
          <w:rFonts w:asciiTheme="minorEastAsia" w:hAnsiTheme="minorEastAsia" w:cstheme="minorEastAsia" w:hint="eastAsia"/>
          <w:sz w:val="24"/>
        </w:rPr>
        <w:t>月 2</w:t>
      </w:r>
      <w:r w:rsidR="00E71EE7">
        <w:rPr>
          <w:rFonts w:asciiTheme="minorEastAsia" w:hAnsiTheme="minorEastAsia" w:cstheme="minorEastAsia"/>
          <w:sz w:val="24"/>
        </w:rPr>
        <w:t>4</w:t>
      </w:r>
      <w:r>
        <w:rPr>
          <w:rFonts w:asciiTheme="minorEastAsia" w:hAnsiTheme="minorEastAsia" w:cstheme="minorEastAsia" w:hint="eastAsia"/>
          <w:sz w:val="24"/>
        </w:rPr>
        <w:t xml:space="preserve">日 </w:t>
      </w:r>
    </w:p>
    <w:p w:rsidR="00877134" w:rsidRDefault="00877134"/>
    <w:p w:rsidR="00877134" w:rsidRDefault="00877134"/>
    <w:sectPr w:rsidR="00877134" w:rsidSect="008771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049" w:rsidRDefault="00857049" w:rsidP="0010766A">
      <w:r>
        <w:separator/>
      </w:r>
    </w:p>
  </w:endnote>
  <w:endnote w:type="continuationSeparator" w:id="0">
    <w:p w:rsidR="00857049" w:rsidRDefault="00857049" w:rsidP="0010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049" w:rsidRDefault="00857049" w:rsidP="0010766A">
      <w:r>
        <w:separator/>
      </w:r>
    </w:p>
  </w:footnote>
  <w:footnote w:type="continuationSeparator" w:id="0">
    <w:p w:rsidR="00857049" w:rsidRDefault="00857049" w:rsidP="00107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A089E"/>
    <w:multiLevelType w:val="singleLevel"/>
    <w:tmpl w:val="59EA089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5ED20E9"/>
    <w:rsid w:val="DF3F5BA8"/>
    <w:rsid w:val="F7D54702"/>
    <w:rsid w:val="000076C6"/>
    <w:rsid w:val="000F4BD4"/>
    <w:rsid w:val="0010766A"/>
    <w:rsid w:val="00123C91"/>
    <w:rsid w:val="001556D3"/>
    <w:rsid w:val="00185138"/>
    <w:rsid w:val="00194AFA"/>
    <w:rsid w:val="001F3A23"/>
    <w:rsid w:val="00221E68"/>
    <w:rsid w:val="00232FA6"/>
    <w:rsid w:val="00296A68"/>
    <w:rsid w:val="00307590"/>
    <w:rsid w:val="003F6FF7"/>
    <w:rsid w:val="00422F42"/>
    <w:rsid w:val="00427F7C"/>
    <w:rsid w:val="00436E7F"/>
    <w:rsid w:val="005321C9"/>
    <w:rsid w:val="005608CB"/>
    <w:rsid w:val="00620B66"/>
    <w:rsid w:val="006B3398"/>
    <w:rsid w:val="007D1FC0"/>
    <w:rsid w:val="007D6649"/>
    <w:rsid w:val="00857049"/>
    <w:rsid w:val="00877134"/>
    <w:rsid w:val="00891B8E"/>
    <w:rsid w:val="008943C4"/>
    <w:rsid w:val="008946D5"/>
    <w:rsid w:val="00940291"/>
    <w:rsid w:val="009518DC"/>
    <w:rsid w:val="00983D9F"/>
    <w:rsid w:val="009A3A95"/>
    <w:rsid w:val="00A125CC"/>
    <w:rsid w:val="00AC3EC5"/>
    <w:rsid w:val="00AC54ED"/>
    <w:rsid w:val="00AF0BCA"/>
    <w:rsid w:val="00B2580D"/>
    <w:rsid w:val="00C158FC"/>
    <w:rsid w:val="00C73EE2"/>
    <w:rsid w:val="00CA19A7"/>
    <w:rsid w:val="00D04B7D"/>
    <w:rsid w:val="00D35A8C"/>
    <w:rsid w:val="00D53FA9"/>
    <w:rsid w:val="00E16DF7"/>
    <w:rsid w:val="00E61504"/>
    <w:rsid w:val="00E71EE7"/>
    <w:rsid w:val="00ED2543"/>
    <w:rsid w:val="00F31C7A"/>
    <w:rsid w:val="00F92A86"/>
    <w:rsid w:val="00FB09F5"/>
    <w:rsid w:val="0123079C"/>
    <w:rsid w:val="06806094"/>
    <w:rsid w:val="078B01EA"/>
    <w:rsid w:val="086050BA"/>
    <w:rsid w:val="0C2521CC"/>
    <w:rsid w:val="10C05203"/>
    <w:rsid w:val="13C57A88"/>
    <w:rsid w:val="18085A7F"/>
    <w:rsid w:val="252E60BB"/>
    <w:rsid w:val="286B6244"/>
    <w:rsid w:val="2935653A"/>
    <w:rsid w:val="2CD418F5"/>
    <w:rsid w:val="2D18767A"/>
    <w:rsid w:val="2F675012"/>
    <w:rsid w:val="33E2188E"/>
    <w:rsid w:val="394A203E"/>
    <w:rsid w:val="3EA0041E"/>
    <w:rsid w:val="45ED20E9"/>
    <w:rsid w:val="47334FF0"/>
    <w:rsid w:val="4ECE5CF7"/>
    <w:rsid w:val="60E56F0A"/>
    <w:rsid w:val="664A3438"/>
    <w:rsid w:val="6A281DA3"/>
    <w:rsid w:val="6BBF0A51"/>
    <w:rsid w:val="6FE9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73DDF"/>
  <w15:docId w15:val="{024C5A46-575E-4689-959F-366BE527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13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877134"/>
    <w:pPr>
      <w:jc w:val="left"/>
    </w:pPr>
  </w:style>
  <w:style w:type="paragraph" w:styleId="a5">
    <w:name w:val="Balloon Text"/>
    <w:basedOn w:val="a"/>
    <w:link w:val="a6"/>
    <w:qFormat/>
    <w:rsid w:val="00877134"/>
    <w:rPr>
      <w:sz w:val="18"/>
      <w:szCs w:val="18"/>
    </w:rPr>
  </w:style>
  <w:style w:type="paragraph" w:styleId="a7">
    <w:name w:val="footer"/>
    <w:basedOn w:val="a"/>
    <w:link w:val="a8"/>
    <w:qFormat/>
    <w:rsid w:val="00877134"/>
    <w:pPr>
      <w:tabs>
        <w:tab w:val="center" w:pos="4153"/>
        <w:tab w:val="right" w:pos="8306"/>
      </w:tabs>
      <w:snapToGrid w:val="0"/>
      <w:jc w:val="left"/>
    </w:pPr>
    <w:rPr>
      <w:sz w:val="18"/>
      <w:szCs w:val="18"/>
    </w:rPr>
  </w:style>
  <w:style w:type="paragraph" w:styleId="a9">
    <w:name w:val="header"/>
    <w:basedOn w:val="a"/>
    <w:link w:val="aa"/>
    <w:qFormat/>
    <w:rsid w:val="0087713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sid w:val="00877134"/>
    <w:rPr>
      <w:b/>
      <w:bCs/>
    </w:rPr>
  </w:style>
  <w:style w:type="character" w:styleId="ad">
    <w:name w:val="annotation reference"/>
    <w:basedOn w:val="a0"/>
    <w:qFormat/>
    <w:rsid w:val="00877134"/>
    <w:rPr>
      <w:sz w:val="21"/>
      <w:szCs w:val="21"/>
    </w:rPr>
  </w:style>
  <w:style w:type="character" w:customStyle="1" w:styleId="a4">
    <w:name w:val="批注文字 字符"/>
    <w:basedOn w:val="a0"/>
    <w:link w:val="a3"/>
    <w:qFormat/>
    <w:rsid w:val="00877134"/>
    <w:rPr>
      <w:rFonts w:asciiTheme="minorHAnsi" w:eastAsiaTheme="minorEastAsia" w:hAnsiTheme="minorHAnsi" w:cstheme="minorBidi"/>
      <w:kern w:val="2"/>
      <w:sz w:val="21"/>
      <w:szCs w:val="24"/>
    </w:rPr>
  </w:style>
  <w:style w:type="character" w:customStyle="1" w:styleId="ac">
    <w:name w:val="批注主题 字符"/>
    <w:basedOn w:val="a4"/>
    <w:link w:val="ab"/>
    <w:qFormat/>
    <w:rsid w:val="00877134"/>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sid w:val="00877134"/>
    <w:rPr>
      <w:rFonts w:asciiTheme="minorHAnsi" w:eastAsiaTheme="minorEastAsia" w:hAnsiTheme="minorHAnsi" w:cstheme="minorBidi"/>
      <w:kern w:val="2"/>
      <w:sz w:val="18"/>
      <w:szCs w:val="18"/>
    </w:rPr>
  </w:style>
  <w:style w:type="character" w:customStyle="1" w:styleId="aa">
    <w:name w:val="页眉 字符"/>
    <w:basedOn w:val="a0"/>
    <w:link w:val="a9"/>
    <w:qFormat/>
    <w:rsid w:val="00877134"/>
    <w:rPr>
      <w:rFonts w:asciiTheme="minorHAnsi" w:eastAsiaTheme="minorEastAsia" w:hAnsiTheme="minorHAnsi" w:cstheme="minorBidi"/>
      <w:kern w:val="2"/>
      <w:sz w:val="18"/>
      <w:szCs w:val="18"/>
    </w:rPr>
  </w:style>
  <w:style w:type="character" w:customStyle="1" w:styleId="a8">
    <w:name w:val="页脚 字符"/>
    <w:basedOn w:val="a0"/>
    <w:link w:val="a7"/>
    <w:qFormat/>
    <w:rsid w:val="008771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4841C-4510-4097-96A7-812ECDAE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177</Words>
  <Characters>1009</Characters>
  <Application>Microsoft Office Word</Application>
  <DocSecurity>0</DocSecurity>
  <Lines>8</Lines>
  <Paragraphs>2</Paragraphs>
  <ScaleCrop>false</ScaleCrop>
  <Company>SDAU</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redemption</dc:creator>
  <cp:lastModifiedBy>林玲</cp:lastModifiedBy>
  <cp:revision>29</cp:revision>
  <dcterms:created xsi:type="dcterms:W3CDTF">2017-08-24T07:16:00Z</dcterms:created>
  <dcterms:modified xsi:type="dcterms:W3CDTF">2020-10-23T06:59:00Z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