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3B4C" w:rsidRDefault="00EF2D08">
      <w:pPr>
        <w:adjustRightInd w:val="0"/>
        <w:snapToGrid w:val="0"/>
        <w:spacing w:line="560" w:lineRule="exact"/>
        <w:rPr>
          <w:rFonts w:ascii="宋体" w:hAnsi="宋体"/>
          <w:sz w:val="24"/>
        </w:rPr>
      </w:pPr>
      <w:r>
        <w:rPr>
          <w:rFonts w:ascii="宋体" w:hAnsi="宋体" w:hint="eastAsia"/>
          <w:sz w:val="24"/>
        </w:rPr>
        <w:t>证券代码：</w:t>
      </w:r>
      <w:r>
        <w:rPr>
          <w:rFonts w:ascii="宋体" w:hAnsi="宋体" w:hint="eastAsia"/>
          <w:sz w:val="24"/>
        </w:rPr>
        <w:t xml:space="preserve">603815           </w:t>
      </w:r>
      <w:r>
        <w:rPr>
          <w:rFonts w:ascii="宋体" w:hAnsi="宋体" w:hint="eastAsia"/>
          <w:sz w:val="24"/>
        </w:rPr>
        <w:t>证券简称：</w:t>
      </w:r>
      <w:proofErr w:type="gramStart"/>
      <w:r>
        <w:rPr>
          <w:rFonts w:ascii="宋体" w:hAnsi="宋体" w:hint="eastAsia"/>
          <w:sz w:val="24"/>
        </w:rPr>
        <w:t>交建股份</w:t>
      </w:r>
      <w:proofErr w:type="gramEnd"/>
      <w:r>
        <w:rPr>
          <w:rFonts w:ascii="宋体" w:hAnsi="宋体" w:hint="eastAsia"/>
          <w:sz w:val="24"/>
        </w:rPr>
        <w:t xml:space="preserve">       </w:t>
      </w:r>
      <w:r>
        <w:rPr>
          <w:rFonts w:ascii="宋体" w:hAnsi="宋体" w:hint="eastAsia"/>
          <w:sz w:val="24"/>
        </w:rPr>
        <w:t>公告编号：</w:t>
      </w:r>
      <w:r>
        <w:rPr>
          <w:rFonts w:ascii="宋体" w:hAnsi="宋体" w:hint="eastAsia"/>
          <w:sz w:val="24"/>
        </w:rPr>
        <w:t>2</w:t>
      </w:r>
      <w:r>
        <w:rPr>
          <w:rFonts w:ascii="宋体" w:hAnsi="宋体"/>
          <w:sz w:val="24"/>
        </w:rPr>
        <w:t>020-</w:t>
      </w:r>
      <w:r>
        <w:rPr>
          <w:rFonts w:ascii="宋体" w:hAnsi="宋体" w:hint="eastAsia"/>
          <w:sz w:val="24"/>
        </w:rPr>
        <w:t>087</w:t>
      </w:r>
    </w:p>
    <w:p w:rsidR="00EB3B4C" w:rsidRDefault="00EB3B4C">
      <w:pPr>
        <w:jc w:val="center"/>
        <w:rPr>
          <w:b/>
          <w:sz w:val="32"/>
          <w:szCs w:val="32"/>
        </w:rPr>
      </w:pPr>
    </w:p>
    <w:p w:rsidR="00EB3B4C" w:rsidRDefault="00EF2D08">
      <w:pPr>
        <w:jc w:val="center"/>
        <w:rPr>
          <w:rFonts w:ascii="黑体" w:eastAsia="黑体" w:hAnsi="黑体"/>
          <w:b/>
          <w:sz w:val="36"/>
          <w:szCs w:val="36"/>
        </w:rPr>
      </w:pPr>
      <w:r>
        <w:rPr>
          <w:rFonts w:ascii="黑体" w:eastAsia="黑体" w:hAnsi="黑体"/>
          <w:b/>
          <w:sz w:val="36"/>
          <w:szCs w:val="36"/>
        </w:rPr>
        <w:t>安徽省交通建设股份有限公司</w:t>
      </w:r>
    </w:p>
    <w:p w:rsidR="00EB3B4C" w:rsidRDefault="00EF2D08">
      <w:pPr>
        <w:spacing w:after="100" w:afterAutospacing="1"/>
        <w:jc w:val="center"/>
        <w:rPr>
          <w:rFonts w:ascii="黑体" w:eastAsia="黑体" w:hAnsi="黑体"/>
          <w:b/>
          <w:sz w:val="36"/>
          <w:szCs w:val="36"/>
        </w:rPr>
      </w:pPr>
      <w:r>
        <w:rPr>
          <w:rFonts w:ascii="黑体" w:eastAsia="黑体" w:hAnsi="黑体"/>
          <w:b/>
          <w:sz w:val="36"/>
          <w:szCs w:val="36"/>
        </w:rPr>
        <w:t>关于筹划重大资产重组的进展公告</w:t>
      </w:r>
      <w:bookmarkStart w:id="0" w:name="_GoBack"/>
      <w:bookmarkEnd w:id="0"/>
    </w:p>
    <w:p w:rsidR="00EB3B4C" w:rsidRDefault="00EF2D08">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480"/>
        <w:rPr>
          <w:rFonts w:ascii="宋体" w:hAnsi="宋体"/>
          <w:color w:val="000000"/>
          <w:sz w:val="24"/>
        </w:rPr>
      </w:pPr>
      <w:r>
        <w:rPr>
          <w:rFonts w:ascii="宋体" w:hAnsi="宋体" w:hint="eastAsia"/>
          <w:color w:val="000000"/>
          <w:sz w:val="24"/>
        </w:rPr>
        <w:t>本公司董事会及全体董事保证本公告内容不存在任何虚假记载、误导性陈述或者重大遗漏，并对其内容的真实性、准确性和完整性承担个别及连带责任。</w:t>
      </w:r>
    </w:p>
    <w:p w:rsidR="00EB3B4C" w:rsidRDefault="00EF2D08">
      <w:pPr>
        <w:spacing w:beforeLines="100" w:before="312" w:line="360" w:lineRule="auto"/>
        <w:ind w:firstLineChars="200" w:firstLine="482"/>
        <w:jc w:val="left"/>
        <w:rPr>
          <w:rFonts w:asciiTheme="minorEastAsia" w:hAnsiTheme="minorEastAsia"/>
          <w:b/>
          <w:sz w:val="24"/>
          <w:szCs w:val="24"/>
        </w:rPr>
      </w:pPr>
      <w:r>
        <w:rPr>
          <w:rFonts w:asciiTheme="minorEastAsia" w:hAnsiTheme="minorEastAsia" w:hint="eastAsia"/>
          <w:b/>
          <w:sz w:val="24"/>
          <w:szCs w:val="24"/>
        </w:rPr>
        <w:t>一、重大资产重组进程</w:t>
      </w:r>
    </w:p>
    <w:p w:rsidR="00EB3B4C" w:rsidRDefault="00EF2D08">
      <w:pPr>
        <w:spacing w:beforeLines="50" w:before="156"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2020</w:t>
      </w:r>
      <w:r>
        <w:rPr>
          <w:rFonts w:asciiTheme="minorEastAsia" w:hAnsiTheme="minorEastAsia" w:hint="eastAsia"/>
          <w:sz w:val="24"/>
          <w:szCs w:val="24"/>
        </w:rPr>
        <w:t>年</w:t>
      </w:r>
      <w:r>
        <w:rPr>
          <w:rFonts w:asciiTheme="minorEastAsia" w:hAnsiTheme="minorEastAsia" w:hint="eastAsia"/>
          <w:sz w:val="24"/>
          <w:szCs w:val="24"/>
        </w:rPr>
        <w:t>6</w:t>
      </w:r>
      <w:r>
        <w:rPr>
          <w:rFonts w:asciiTheme="minorEastAsia" w:hAnsiTheme="minorEastAsia" w:hint="eastAsia"/>
          <w:sz w:val="24"/>
          <w:szCs w:val="24"/>
        </w:rPr>
        <w:t>月</w:t>
      </w:r>
      <w:r>
        <w:rPr>
          <w:rFonts w:asciiTheme="minorEastAsia" w:hAnsiTheme="minorEastAsia" w:hint="eastAsia"/>
          <w:sz w:val="24"/>
          <w:szCs w:val="24"/>
        </w:rPr>
        <w:t>29</w:t>
      </w:r>
      <w:r>
        <w:rPr>
          <w:rFonts w:asciiTheme="minorEastAsia" w:hAnsiTheme="minorEastAsia" w:hint="eastAsia"/>
          <w:sz w:val="24"/>
          <w:szCs w:val="24"/>
        </w:rPr>
        <w:t>日，安徽省交通建设股份有限公司（以下简称“公司”）与郑旭晨、成善学、王欢、严洪龙及杭州市市政工程集团有限公司工会委员会（以下简称“转让方”）签署《支付现金购买资产意向协议》（以下简称“意向协议”），拟以支付现金方式购买转让方合计持有杭州市市政工程集团有限公司（以下简称“杭州市政”或“标的公司”）</w:t>
      </w:r>
      <w:r>
        <w:rPr>
          <w:rFonts w:asciiTheme="minorEastAsia" w:hAnsiTheme="minorEastAsia" w:hint="eastAsia"/>
          <w:sz w:val="24"/>
          <w:szCs w:val="24"/>
        </w:rPr>
        <w:t>70.83%</w:t>
      </w:r>
      <w:r>
        <w:rPr>
          <w:rFonts w:asciiTheme="minorEastAsia" w:hAnsiTheme="minorEastAsia" w:hint="eastAsia"/>
          <w:sz w:val="24"/>
          <w:szCs w:val="24"/>
        </w:rPr>
        <w:t>的股权。根据初步研究和测算，该交易构成《上市公司重大资产重组管理办法》规定的重大资产重组，具体内容详见公司于</w:t>
      </w:r>
      <w:r>
        <w:rPr>
          <w:rFonts w:asciiTheme="minorEastAsia" w:hAnsiTheme="minorEastAsia" w:hint="eastAsia"/>
          <w:sz w:val="24"/>
          <w:szCs w:val="24"/>
        </w:rPr>
        <w:t>2020</w:t>
      </w:r>
      <w:r>
        <w:rPr>
          <w:rFonts w:asciiTheme="minorEastAsia" w:hAnsiTheme="minorEastAsia" w:hint="eastAsia"/>
          <w:sz w:val="24"/>
          <w:szCs w:val="24"/>
        </w:rPr>
        <w:t>年</w:t>
      </w:r>
      <w:r>
        <w:rPr>
          <w:rFonts w:asciiTheme="minorEastAsia" w:hAnsiTheme="minorEastAsia" w:hint="eastAsia"/>
          <w:sz w:val="24"/>
          <w:szCs w:val="24"/>
        </w:rPr>
        <w:t>6</w:t>
      </w:r>
      <w:r>
        <w:rPr>
          <w:rFonts w:asciiTheme="minorEastAsia" w:hAnsiTheme="minorEastAsia" w:hint="eastAsia"/>
          <w:sz w:val="24"/>
          <w:szCs w:val="24"/>
        </w:rPr>
        <w:t>月</w:t>
      </w:r>
      <w:r>
        <w:rPr>
          <w:rFonts w:asciiTheme="minorEastAsia" w:hAnsiTheme="minorEastAsia" w:hint="eastAsia"/>
          <w:sz w:val="24"/>
          <w:szCs w:val="24"/>
        </w:rPr>
        <w:t>30</w:t>
      </w:r>
      <w:r>
        <w:rPr>
          <w:rFonts w:asciiTheme="minorEastAsia" w:hAnsiTheme="minorEastAsia" w:hint="eastAsia"/>
          <w:sz w:val="24"/>
          <w:szCs w:val="24"/>
        </w:rPr>
        <w:t>日在上海证券交易所网站及《中国证券报》、《上海证券报》、《证</w:t>
      </w:r>
      <w:r>
        <w:rPr>
          <w:rFonts w:asciiTheme="minorEastAsia" w:hAnsiTheme="minorEastAsia" w:hint="eastAsia"/>
          <w:sz w:val="24"/>
          <w:szCs w:val="24"/>
        </w:rPr>
        <w:t>券日报》、《证券时报》披露的《安徽省交通建设股份有限公司关于筹划重大资产重组的提示性公告》（公告编号</w:t>
      </w:r>
      <w:r>
        <w:rPr>
          <w:rFonts w:asciiTheme="minorEastAsia" w:hAnsiTheme="minorEastAsia" w:hint="eastAsia"/>
          <w:sz w:val="24"/>
          <w:szCs w:val="24"/>
        </w:rPr>
        <w:t>2020-045</w:t>
      </w:r>
      <w:r>
        <w:rPr>
          <w:rFonts w:asciiTheme="minorEastAsia" w:hAnsiTheme="minorEastAsia" w:hint="eastAsia"/>
          <w:sz w:val="24"/>
          <w:szCs w:val="24"/>
        </w:rPr>
        <w:t>）。</w:t>
      </w:r>
    </w:p>
    <w:p w:rsidR="00EB3B4C" w:rsidRDefault="00EF2D08">
      <w:pPr>
        <w:spacing w:beforeLines="50" w:before="156" w:line="360" w:lineRule="auto"/>
        <w:ind w:firstLineChars="200" w:firstLine="482"/>
        <w:jc w:val="left"/>
        <w:rPr>
          <w:rFonts w:asciiTheme="minorEastAsia" w:hAnsiTheme="minorEastAsia"/>
          <w:b/>
          <w:sz w:val="24"/>
          <w:szCs w:val="24"/>
        </w:rPr>
      </w:pPr>
      <w:r>
        <w:rPr>
          <w:rFonts w:asciiTheme="minorEastAsia" w:hAnsiTheme="minorEastAsia" w:hint="eastAsia"/>
          <w:b/>
          <w:sz w:val="24"/>
          <w:szCs w:val="24"/>
        </w:rPr>
        <w:t>二、本次重大资产重组进展情况</w:t>
      </w:r>
    </w:p>
    <w:p w:rsidR="00EB3B4C" w:rsidRDefault="00EF2D08">
      <w:pPr>
        <w:spacing w:beforeLines="50" w:before="156"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自首次披露《安徽省交通建设股份有限公司关于筹划重大资产重组的提示性公告》以来，公司已组织相关中介机构对标的公司进行尽职调查工作，积极论证本次重大资产重组方案，与各股东方就重组方案积极沟通，并按照《上市公司重大资产重组管理办法》及上海证券交易所相关规则积极推进审计、评估等其他与本次重大资产重组相关的工作。</w:t>
      </w:r>
    </w:p>
    <w:p w:rsidR="00EB3B4C" w:rsidRDefault="00EF2D08">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截至目前，审计机构已经完成标的公司主要资产的监盘，主要</w:t>
      </w:r>
      <w:r>
        <w:rPr>
          <w:rFonts w:asciiTheme="minorEastAsia" w:hAnsiTheme="minorEastAsia" w:hint="eastAsia"/>
          <w:sz w:val="24"/>
          <w:szCs w:val="24"/>
        </w:rPr>
        <w:t>客户及供应商的数据审计工作，主要项目的访谈及数据审计，</w:t>
      </w:r>
      <w:proofErr w:type="gramStart"/>
      <w:r>
        <w:rPr>
          <w:rFonts w:asciiTheme="minorEastAsia" w:hAnsiTheme="minorEastAsia" w:hint="eastAsia"/>
          <w:sz w:val="24"/>
          <w:szCs w:val="24"/>
        </w:rPr>
        <w:t>银行函证和</w:t>
      </w:r>
      <w:proofErr w:type="gramEnd"/>
      <w:r>
        <w:rPr>
          <w:rFonts w:asciiTheme="minorEastAsia" w:hAnsiTheme="minorEastAsia" w:hint="eastAsia"/>
          <w:sz w:val="24"/>
          <w:szCs w:val="24"/>
        </w:rPr>
        <w:t>往</w:t>
      </w:r>
      <w:proofErr w:type="gramStart"/>
      <w:r>
        <w:rPr>
          <w:rFonts w:asciiTheme="minorEastAsia" w:hAnsiTheme="minorEastAsia" w:hint="eastAsia"/>
          <w:sz w:val="24"/>
          <w:szCs w:val="24"/>
        </w:rPr>
        <w:t>来函证</w:t>
      </w:r>
      <w:proofErr w:type="gramEnd"/>
      <w:r>
        <w:rPr>
          <w:rFonts w:asciiTheme="minorEastAsia" w:hAnsiTheme="minorEastAsia" w:hint="eastAsia"/>
          <w:sz w:val="24"/>
          <w:szCs w:val="24"/>
        </w:rPr>
        <w:t>的发送与回收，主要业务循环的内控测试工作，已基本完成初步数据审计。因标的公司审计期间涉及项目较多，仍需要继续复核主要项目数据，现场审计工作仍在有序开展。</w:t>
      </w:r>
    </w:p>
    <w:p w:rsidR="00EB3B4C" w:rsidRDefault="00EF2D08">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lastRenderedPageBreak/>
        <w:t>由于审计及评估工作尚未完成，与标的公司股东方就交易协议尚需协商，公司原预计在</w:t>
      </w:r>
      <w:r>
        <w:rPr>
          <w:rFonts w:asciiTheme="minorEastAsia" w:hAnsiTheme="minorEastAsia" w:hint="eastAsia"/>
          <w:sz w:val="24"/>
          <w:szCs w:val="24"/>
        </w:rPr>
        <w:t>2020</w:t>
      </w:r>
      <w:r>
        <w:rPr>
          <w:rFonts w:asciiTheme="minorEastAsia" w:hAnsiTheme="minorEastAsia" w:hint="eastAsia"/>
          <w:sz w:val="24"/>
          <w:szCs w:val="24"/>
        </w:rPr>
        <w:t>年</w:t>
      </w:r>
      <w:r>
        <w:rPr>
          <w:rFonts w:asciiTheme="minorEastAsia" w:hAnsiTheme="minorEastAsia" w:hint="eastAsia"/>
          <w:sz w:val="24"/>
          <w:szCs w:val="24"/>
        </w:rPr>
        <w:t>12</w:t>
      </w:r>
      <w:r>
        <w:rPr>
          <w:rFonts w:asciiTheme="minorEastAsia" w:hAnsiTheme="minorEastAsia" w:hint="eastAsia"/>
          <w:sz w:val="24"/>
          <w:szCs w:val="24"/>
        </w:rPr>
        <w:t>月</w:t>
      </w:r>
      <w:r>
        <w:rPr>
          <w:rFonts w:asciiTheme="minorEastAsia" w:hAnsiTheme="minorEastAsia" w:hint="eastAsia"/>
          <w:sz w:val="24"/>
          <w:szCs w:val="24"/>
        </w:rPr>
        <w:t>2</w:t>
      </w:r>
      <w:r>
        <w:rPr>
          <w:rFonts w:asciiTheme="minorEastAsia" w:hAnsiTheme="minorEastAsia"/>
          <w:sz w:val="24"/>
          <w:szCs w:val="24"/>
        </w:rPr>
        <w:t>9</w:t>
      </w:r>
      <w:r>
        <w:rPr>
          <w:rFonts w:asciiTheme="minorEastAsia" w:hAnsiTheme="minorEastAsia" w:hint="eastAsia"/>
          <w:sz w:val="24"/>
          <w:szCs w:val="24"/>
        </w:rPr>
        <w:t>日之前披露本次重大资产重组报告书（预案）等相关文件的工作安排预计无法实现。根据最新进度情况，公司预计不晚于</w:t>
      </w:r>
      <w:r>
        <w:rPr>
          <w:rFonts w:asciiTheme="minorEastAsia" w:hAnsiTheme="minorEastAsia" w:hint="eastAsia"/>
          <w:sz w:val="24"/>
          <w:szCs w:val="24"/>
        </w:rPr>
        <w:t>2021</w:t>
      </w:r>
      <w:r>
        <w:rPr>
          <w:rFonts w:asciiTheme="minorEastAsia" w:hAnsiTheme="minorEastAsia" w:hint="eastAsia"/>
          <w:sz w:val="24"/>
          <w:szCs w:val="24"/>
        </w:rPr>
        <w:t>年</w:t>
      </w:r>
      <w:r>
        <w:rPr>
          <w:rFonts w:asciiTheme="minorEastAsia" w:hAnsiTheme="minorEastAsia" w:hint="eastAsia"/>
          <w:sz w:val="24"/>
          <w:szCs w:val="24"/>
        </w:rPr>
        <w:t>3</w:t>
      </w:r>
      <w:r>
        <w:rPr>
          <w:rFonts w:asciiTheme="minorEastAsia" w:hAnsiTheme="minorEastAsia" w:hint="eastAsia"/>
          <w:sz w:val="24"/>
          <w:szCs w:val="24"/>
        </w:rPr>
        <w:t>月</w:t>
      </w:r>
      <w:r>
        <w:rPr>
          <w:rFonts w:asciiTheme="minorEastAsia" w:hAnsiTheme="minorEastAsia" w:hint="eastAsia"/>
          <w:sz w:val="24"/>
          <w:szCs w:val="24"/>
        </w:rPr>
        <w:t>2</w:t>
      </w:r>
      <w:r>
        <w:rPr>
          <w:rFonts w:asciiTheme="minorEastAsia" w:hAnsiTheme="minorEastAsia"/>
          <w:sz w:val="24"/>
          <w:szCs w:val="24"/>
        </w:rPr>
        <w:t>9</w:t>
      </w:r>
      <w:r>
        <w:rPr>
          <w:rFonts w:asciiTheme="minorEastAsia" w:hAnsiTheme="minorEastAsia" w:hint="eastAsia"/>
          <w:sz w:val="24"/>
          <w:szCs w:val="24"/>
        </w:rPr>
        <w:t>日披露本次重大资产重组报告书（预案）等相关文件。</w:t>
      </w:r>
    </w:p>
    <w:p w:rsidR="00EB3B4C" w:rsidRDefault="00EF2D08">
      <w:pPr>
        <w:spacing w:beforeLines="50" w:before="156" w:afterLines="50" w:after="156" w:line="360" w:lineRule="auto"/>
        <w:ind w:firstLineChars="200" w:firstLine="482"/>
        <w:jc w:val="left"/>
        <w:rPr>
          <w:rFonts w:asciiTheme="minorEastAsia" w:hAnsiTheme="minorEastAsia"/>
          <w:b/>
          <w:sz w:val="24"/>
          <w:szCs w:val="24"/>
        </w:rPr>
      </w:pPr>
      <w:r>
        <w:rPr>
          <w:rFonts w:asciiTheme="minorEastAsia" w:hAnsiTheme="minorEastAsia" w:hint="eastAsia"/>
          <w:b/>
          <w:sz w:val="24"/>
          <w:szCs w:val="24"/>
        </w:rPr>
        <w:t>三、风险提示</w:t>
      </w:r>
    </w:p>
    <w:p w:rsidR="00EB3B4C" w:rsidRDefault="00EF2D08">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鉴于本次重大资产重组事项尚需进一步论证和沟通协商，且需按照相关法律、法规及公司章程的规定履行必要的决策和审批程序，存在不确定性。公司将根据相关事项的进展情况，及时履行信息披露义务。</w:t>
      </w:r>
    </w:p>
    <w:p w:rsidR="00EB3B4C" w:rsidRDefault="00EF2D08">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公司指定信息披露媒体为《中国证券报》、《上海证券报》、《证券日报》、《证券时报》及上海证券交易所网站（</w:t>
      </w:r>
      <w:r>
        <w:rPr>
          <w:rFonts w:asciiTheme="minorEastAsia" w:hAnsiTheme="minorEastAsia" w:hint="eastAsia"/>
          <w:sz w:val="24"/>
          <w:szCs w:val="24"/>
        </w:rPr>
        <w:t>www.sse.com.cn</w:t>
      </w:r>
      <w:r>
        <w:rPr>
          <w:rFonts w:asciiTheme="minorEastAsia" w:hAnsiTheme="minorEastAsia" w:hint="eastAsia"/>
          <w:sz w:val="24"/>
          <w:szCs w:val="24"/>
        </w:rPr>
        <w:t>）</w:t>
      </w:r>
      <w:r>
        <w:rPr>
          <w:rFonts w:asciiTheme="minorEastAsia" w:hAnsiTheme="minorEastAsia" w:hint="eastAsia"/>
          <w:sz w:val="24"/>
          <w:szCs w:val="24"/>
        </w:rPr>
        <w:t>,</w:t>
      </w:r>
      <w:r>
        <w:rPr>
          <w:rFonts w:asciiTheme="minorEastAsia" w:hAnsiTheme="minorEastAsia" w:hint="eastAsia"/>
          <w:sz w:val="24"/>
          <w:szCs w:val="24"/>
        </w:rPr>
        <w:t>有关信息均以在上述指定媒体刊登的相关公告为准，敬请广大投资者注意投资风险。</w:t>
      </w:r>
    </w:p>
    <w:p w:rsidR="00EB3B4C" w:rsidRDefault="00EF2D08">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特此公告。</w:t>
      </w:r>
    </w:p>
    <w:p w:rsidR="00EB3B4C" w:rsidRDefault="00EB3B4C">
      <w:pPr>
        <w:spacing w:line="360" w:lineRule="auto"/>
        <w:ind w:firstLineChars="200" w:firstLine="480"/>
        <w:jc w:val="left"/>
        <w:rPr>
          <w:rFonts w:asciiTheme="minorEastAsia" w:hAnsiTheme="minorEastAsia"/>
          <w:sz w:val="24"/>
          <w:szCs w:val="24"/>
        </w:rPr>
      </w:pPr>
    </w:p>
    <w:p w:rsidR="00EB3B4C" w:rsidRDefault="00EB3B4C">
      <w:pPr>
        <w:spacing w:line="360" w:lineRule="auto"/>
        <w:ind w:firstLineChars="200" w:firstLine="480"/>
        <w:jc w:val="right"/>
        <w:rPr>
          <w:rFonts w:asciiTheme="minorEastAsia" w:hAnsiTheme="minorEastAsia"/>
          <w:sz w:val="24"/>
          <w:szCs w:val="24"/>
        </w:rPr>
      </w:pPr>
    </w:p>
    <w:p w:rsidR="00EB3B4C" w:rsidRDefault="00EF2D08">
      <w:pPr>
        <w:spacing w:line="360" w:lineRule="auto"/>
        <w:ind w:firstLineChars="200" w:firstLine="480"/>
        <w:jc w:val="right"/>
        <w:rPr>
          <w:rFonts w:asciiTheme="minorEastAsia" w:hAnsiTheme="minorEastAsia"/>
          <w:sz w:val="24"/>
          <w:szCs w:val="24"/>
        </w:rPr>
      </w:pPr>
      <w:r>
        <w:rPr>
          <w:rFonts w:asciiTheme="minorEastAsia" w:hAnsiTheme="minorEastAsia" w:hint="eastAsia"/>
          <w:sz w:val="24"/>
          <w:szCs w:val="24"/>
        </w:rPr>
        <w:t>安徽省交通建设股份有限公司董事会</w:t>
      </w:r>
    </w:p>
    <w:p w:rsidR="00EB3B4C" w:rsidRDefault="00EF2D08">
      <w:pPr>
        <w:spacing w:line="360" w:lineRule="auto"/>
        <w:ind w:firstLineChars="200" w:firstLine="480"/>
        <w:jc w:val="right"/>
        <w:rPr>
          <w:rFonts w:asciiTheme="minorEastAsia" w:hAnsiTheme="minorEastAsia"/>
          <w:sz w:val="24"/>
          <w:szCs w:val="24"/>
        </w:rPr>
      </w:pPr>
      <w:r>
        <w:rPr>
          <w:rFonts w:asciiTheme="minorEastAsia" w:hAnsiTheme="minorEastAsia" w:hint="eastAsia"/>
          <w:sz w:val="24"/>
          <w:szCs w:val="24"/>
        </w:rPr>
        <w:t>2020</w:t>
      </w:r>
      <w:r>
        <w:rPr>
          <w:rFonts w:asciiTheme="minorEastAsia" w:hAnsiTheme="minorEastAsia" w:hint="eastAsia"/>
          <w:sz w:val="24"/>
          <w:szCs w:val="24"/>
        </w:rPr>
        <w:t>年</w:t>
      </w:r>
      <w:r>
        <w:rPr>
          <w:rFonts w:asciiTheme="minorEastAsia" w:hAnsiTheme="minorEastAsia" w:hint="eastAsia"/>
          <w:sz w:val="24"/>
          <w:szCs w:val="24"/>
        </w:rPr>
        <w:t>12</w:t>
      </w:r>
      <w:r>
        <w:rPr>
          <w:rFonts w:asciiTheme="minorEastAsia" w:hAnsiTheme="minorEastAsia" w:hint="eastAsia"/>
          <w:sz w:val="24"/>
          <w:szCs w:val="24"/>
        </w:rPr>
        <w:t>月</w:t>
      </w:r>
      <w:r>
        <w:rPr>
          <w:rFonts w:asciiTheme="minorEastAsia" w:hAnsiTheme="minorEastAsia" w:hint="eastAsia"/>
          <w:sz w:val="24"/>
          <w:szCs w:val="24"/>
        </w:rPr>
        <w:t>2</w:t>
      </w:r>
      <w:r>
        <w:rPr>
          <w:rFonts w:asciiTheme="minorEastAsia" w:hAnsiTheme="minorEastAsia"/>
          <w:sz w:val="24"/>
          <w:szCs w:val="24"/>
        </w:rPr>
        <w:t>9</w:t>
      </w:r>
      <w:r>
        <w:rPr>
          <w:rFonts w:asciiTheme="minorEastAsia" w:hAnsiTheme="minorEastAsia" w:hint="eastAsia"/>
          <w:sz w:val="24"/>
          <w:szCs w:val="24"/>
        </w:rPr>
        <w:t>日</w:t>
      </w:r>
    </w:p>
    <w:sectPr w:rsidR="00EB3B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2D08" w:rsidRDefault="00EF2D08" w:rsidP="000D0FBF">
      <w:r>
        <w:separator/>
      </w:r>
    </w:p>
  </w:endnote>
  <w:endnote w:type="continuationSeparator" w:id="0">
    <w:p w:rsidR="00EF2D08" w:rsidRDefault="00EF2D08" w:rsidP="000D0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2D08" w:rsidRDefault="00EF2D08" w:rsidP="000D0FBF">
      <w:r>
        <w:separator/>
      </w:r>
    </w:p>
  </w:footnote>
  <w:footnote w:type="continuationSeparator" w:id="0">
    <w:p w:rsidR="00EF2D08" w:rsidRDefault="00EF2D08" w:rsidP="000D0F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4EC6"/>
    <w:rsid w:val="0007582E"/>
    <w:rsid w:val="000D0FBF"/>
    <w:rsid w:val="000D11FB"/>
    <w:rsid w:val="002033B6"/>
    <w:rsid w:val="0023545C"/>
    <w:rsid w:val="00256FF5"/>
    <w:rsid w:val="00264082"/>
    <w:rsid w:val="002A712C"/>
    <w:rsid w:val="002F5CFC"/>
    <w:rsid w:val="00342918"/>
    <w:rsid w:val="00343905"/>
    <w:rsid w:val="00392EB1"/>
    <w:rsid w:val="003D0841"/>
    <w:rsid w:val="003E53DD"/>
    <w:rsid w:val="00446EEB"/>
    <w:rsid w:val="004C582D"/>
    <w:rsid w:val="00564D7C"/>
    <w:rsid w:val="0063746B"/>
    <w:rsid w:val="00654236"/>
    <w:rsid w:val="006F0BC4"/>
    <w:rsid w:val="0070692A"/>
    <w:rsid w:val="00714526"/>
    <w:rsid w:val="00762F78"/>
    <w:rsid w:val="007C677D"/>
    <w:rsid w:val="007D7E00"/>
    <w:rsid w:val="00841C84"/>
    <w:rsid w:val="00860703"/>
    <w:rsid w:val="008A3FDE"/>
    <w:rsid w:val="009219B3"/>
    <w:rsid w:val="00946BA0"/>
    <w:rsid w:val="009E3EC3"/>
    <w:rsid w:val="009F40A8"/>
    <w:rsid w:val="00A610BD"/>
    <w:rsid w:val="00AD7661"/>
    <w:rsid w:val="00AF4BA1"/>
    <w:rsid w:val="00B66FE6"/>
    <w:rsid w:val="00C80DCF"/>
    <w:rsid w:val="00CD21D0"/>
    <w:rsid w:val="00CE4EC6"/>
    <w:rsid w:val="00D01135"/>
    <w:rsid w:val="00D14A5B"/>
    <w:rsid w:val="00D5510D"/>
    <w:rsid w:val="00D81EE4"/>
    <w:rsid w:val="00DA439C"/>
    <w:rsid w:val="00DE42A2"/>
    <w:rsid w:val="00E21D07"/>
    <w:rsid w:val="00E9790D"/>
    <w:rsid w:val="00EB3B4C"/>
    <w:rsid w:val="00EC1C67"/>
    <w:rsid w:val="00EE0CC9"/>
    <w:rsid w:val="00EF2D08"/>
    <w:rsid w:val="00F526F6"/>
    <w:rsid w:val="00F76AAD"/>
    <w:rsid w:val="00FD2E7C"/>
    <w:rsid w:val="00FD6212"/>
    <w:rsid w:val="7EC45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EC4766E-4ADD-488D-86AC-E8046213E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Pr>
      <w:sz w:val="18"/>
      <w:szCs w:val="18"/>
    </w:rPr>
  </w:style>
  <w:style w:type="character" w:customStyle="1" w:styleId="a5">
    <w:name w:val="页脚 字符"/>
    <w:basedOn w:val="a0"/>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Pages>
  <Words>173</Words>
  <Characters>989</Characters>
  <Application>Microsoft Office Word</Application>
  <DocSecurity>0</DocSecurity>
  <Lines>8</Lines>
  <Paragraphs>2</Paragraphs>
  <ScaleCrop>false</ScaleCrop>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dc:creator>
  <cp:lastModifiedBy>林玲</cp:lastModifiedBy>
  <cp:revision>30</cp:revision>
  <dcterms:created xsi:type="dcterms:W3CDTF">2020-07-27T07:08:00Z</dcterms:created>
  <dcterms:modified xsi:type="dcterms:W3CDTF">2020-12-28T06:51:00Z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