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2020</w:t>
      </w:r>
      <w:r w:rsidRPr="00865EAC">
        <w:rPr>
          <w:rFonts w:ascii="宋体" w:eastAsia="宋体" w:hAnsi="宋体"/>
          <w:sz w:val="24"/>
          <w:szCs w:val="24"/>
        </w:rPr>
        <w:t>-</w:t>
      </w:r>
      <w:r w:rsidR="00F93295">
        <w:rPr>
          <w:rFonts w:ascii="宋体" w:eastAsia="宋体" w:hAnsi="宋体"/>
          <w:sz w:val="24"/>
          <w:szCs w:val="24"/>
        </w:rPr>
        <w:t>064</w:t>
      </w:r>
    </w:p>
    <w:p w:rsidR="00623EBE" w:rsidRPr="00824AFD" w:rsidRDefault="00623EBE" w:rsidP="00D10833">
      <w:pPr>
        <w:snapToGrid w:val="0"/>
        <w:spacing w:afterLines="50" w:after="156" w:line="360" w:lineRule="auto"/>
        <w:jc w:val="center"/>
        <w:rPr>
          <w:rFonts w:ascii="宋体" w:eastAsia="宋体" w:hAnsi="宋体"/>
          <w:b/>
          <w:bCs/>
          <w:sz w:val="24"/>
          <w:szCs w:val="24"/>
        </w:rPr>
      </w:pPr>
    </w:p>
    <w:p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关于控股股东股份质押公告</w:t>
      </w:r>
    </w:p>
    <w:p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rsidR="00623EBE" w:rsidRPr="00824AFD" w:rsidRDefault="00824AFD" w:rsidP="00D10833">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BA7D03" w:rsidRPr="00824AFD">
        <w:rPr>
          <w:rFonts w:ascii="宋体" w:eastAsia="宋体" w:hAnsi="宋体" w:cs="Times New Roman" w:hint="eastAsia"/>
          <w:bCs/>
          <w:kern w:val="0"/>
          <w:sz w:val="24"/>
          <w:szCs w:val="24"/>
        </w:rPr>
        <w:t>54.97</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F93295" w:rsidRPr="00F93295">
        <w:rPr>
          <w:rFonts w:ascii="宋体" w:eastAsia="宋体" w:hAnsi="宋体" w:cs="Times New Roman"/>
          <w:bCs/>
          <w:kern w:val="0"/>
          <w:sz w:val="24"/>
          <w:szCs w:val="24"/>
        </w:rPr>
        <w:t>68,500,000</w:t>
      </w:r>
      <w:r w:rsidRPr="00824AFD">
        <w:rPr>
          <w:rFonts w:ascii="宋体" w:eastAsia="宋体" w:hAnsi="宋体" w:cs="Times New Roman" w:hint="eastAsia"/>
          <w:bCs/>
          <w:kern w:val="0"/>
          <w:sz w:val="24"/>
          <w:szCs w:val="24"/>
        </w:rPr>
        <w:t>股（含本次），占其持股数量的</w:t>
      </w:r>
      <w:r w:rsidR="00693A3D">
        <w:rPr>
          <w:rFonts w:ascii="宋体" w:eastAsia="宋体" w:hAnsi="宋体" w:cs="Times New Roman" w:hint="eastAsia"/>
          <w:bCs/>
          <w:kern w:val="0"/>
          <w:sz w:val="24"/>
          <w:szCs w:val="24"/>
        </w:rPr>
        <w:t>2</w:t>
      </w:r>
      <w:r w:rsidR="00F93295">
        <w:rPr>
          <w:rFonts w:ascii="宋体" w:eastAsia="宋体" w:hAnsi="宋体" w:cs="Times New Roman"/>
          <w:bCs/>
          <w:kern w:val="0"/>
          <w:sz w:val="24"/>
          <w:szCs w:val="24"/>
        </w:rPr>
        <w:t>4</w:t>
      </w:r>
      <w:r w:rsidR="00693A3D">
        <w:rPr>
          <w:rFonts w:ascii="宋体" w:eastAsia="宋体" w:hAnsi="宋体" w:cs="Times New Roman" w:hint="eastAsia"/>
          <w:bCs/>
          <w:kern w:val="0"/>
          <w:sz w:val="24"/>
          <w:szCs w:val="24"/>
        </w:rPr>
        <w:t>.97</w:t>
      </w:r>
      <w:r w:rsidRPr="00824AFD">
        <w:rPr>
          <w:rFonts w:ascii="宋体" w:eastAsia="宋体" w:hAnsi="宋体" w:cs="Times New Roman" w:hint="eastAsia"/>
          <w:bCs/>
          <w:kern w:val="0"/>
          <w:sz w:val="24"/>
          <w:szCs w:val="24"/>
        </w:rPr>
        <w:t>%。</w:t>
      </w: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一、上市公司股份质押</w:t>
      </w: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公司于2020 年</w:t>
      </w:r>
      <w:r w:rsidR="001173B5">
        <w:rPr>
          <w:rFonts w:ascii="宋体" w:eastAsia="宋体" w:hAnsi="宋体" w:cs="Times New Roman"/>
          <w:bCs/>
          <w:kern w:val="0"/>
          <w:sz w:val="24"/>
          <w:szCs w:val="24"/>
        </w:rPr>
        <w:t>9</w:t>
      </w:r>
      <w:r w:rsidRPr="00824AFD">
        <w:rPr>
          <w:rFonts w:ascii="宋体" w:eastAsia="宋体" w:hAnsi="宋体" w:cs="Times New Roman" w:hint="eastAsia"/>
          <w:bCs/>
          <w:kern w:val="0"/>
          <w:sz w:val="24"/>
          <w:szCs w:val="24"/>
        </w:rPr>
        <w:t>月</w:t>
      </w:r>
      <w:r w:rsidR="00B95785">
        <w:rPr>
          <w:rFonts w:ascii="宋体" w:eastAsia="宋体" w:hAnsi="宋体" w:cs="Times New Roman" w:hint="eastAsia"/>
          <w:bCs/>
          <w:kern w:val="0"/>
          <w:sz w:val="24"/>
          <w:szCs w:val="24"/>
        </w:rPr>
        <w:t>2</w:t>
      </w:r>
      <w:r w:rsidR="001173B5">
        <w:rPr>
          <w:rFonts w:ascii="宋体" w:eastAsia="宋体" w:hAnsi="宋体" w:cs="Times New Roman"/>
          <w:bCs/>
          <w:kern w:val="0"/>
          <w:sz w:val="24"/>
          <w:szCs w:val="24"/>
        </w:rPr>
        <w:t>5</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9F704E">
        <w:rPr>
          <w:rFonts w:ascii="宋体" w:eastAsia="宋体" w:hAnsi="宋体" w:cs="Times New Roman" w:hint="eastAsia"/>
          <w:bCs/>
          <w:kern w:val="0"/>
          <w:sz w:val="24"/>
          <w:szCs w:val="24"/>
        </w:rPr>
        <w:t>祥</w:t>
      </w:r>
      <w:proofErr w:type="gramEnd"/>
      <w:r w:rsidR="009F704E">
        <w:rPr>
          <w:rFonts w:ascii="宋体" w:eastAsia="宋体" w:hAnsi="宋体" w:cs="Times New Roman" w:hint="eastAsia"/>
          <w:bCs/>
          <w:kern w:val="0"/>
          <w:sz w:val="24"/>
          <w:szCs w:val="24"/>
        </w:rPr>
        <w:t>源控股集团有限责任公司</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663"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851"/>
        <w:gridCol w:w="992"/>
        <w:gridCol w:w="709"/>
        <w:gridCol w:w="709"/>
        <w:gridCol w:w="850"/>
        <w:gridCol w:w="992"/>
        <w:gridCol w:w="993"/>
        <w:gridCol w:w="708"/>
        <w:gridCol w:w="807"/>
        <w:gridCol w:w="910"/>
      </w:tblGrid>
      <w:tr w:rsidR="009F704E" w:rsidRPr="00734386" w:rsidTr="00A43BAB">
        <w:trPr>
          <w:trHeight w:val="1274"/>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9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1173B5" w:rsidRPr="00734386" w:rsidTr="00A43BAB">
        <w:trPr>
          <w:trHeight w:val="971"/>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5,500,000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首发限售股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2020 年</w:t>
            </w:r>
          </w:p>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9月23</w:t>
            </w:r>
          </w:p>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2023 年</w:t>
            </w:r>
          </w:p>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09月 23</w:t>
            </w:r>
          </w:p>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中信银行股份有限公司合肥分行</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2.01%</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1173B5"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1.10%</w:t>
            </w:r>
          </w:p>
        </w:tc>
        <w:tc>
          <w:tcPr>
            <w:tcW w:w="9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173B5" w:rsidRDefault="009D7DD6" w:rsidP="001173B5">
            <w:pPr>
              <w:widowControl/>
              <w:jc w:val="center"/>
              <w:rPr>
                <w:rFonts w:ascii="宋体" w:eastAsia="宋体" w:hAnsi="宋体" w:cs="宋体"/>
                <w:kern w:val="0"/>
                <w:sz w:val="18"/>
                <w:szCs w:val="18"/>
              </w:rPr>
            </w:pPr>
            <w:r>
              <w:rPr>
                <w:rFonts w:ascii="宋体" w:eastAsia="宋体" w:hAnsi="宋体" w:cs="宋体" w:hint="eastAsia"/>
                <w:kern w:val="0"/>
                <w:sz w:val="18"/>
                <w:szCs w:val="18"/>
              </w:rPr>
              <w:t>自身生产经营</w:t>
            </w:r>
          </w:p>
        </w:tc>
      </w:tr>
    </w:tbl>
    <w:p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bookmarkStart w:id="0" w:name="_GoBack"/>
      <w:bookmarkEnd w:id="0"/>
    </w:p>
    <w:p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26154C">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1"/>
        <w:gridCol w:w="1557"/>
        <w:gridCol w:w="994"/>
        <w:gridCol w:w="1418"/>
        <w:gridCol w:w="1418"/>
        <w:gridCol w:w="994"/>
        <w:gridCol w:w="991"/>
        <w:gridCol w:w="1277"/>
        <w:gridCol w:w="1418"/>
        <w:gridCol w:w="1418"/>
        <w:gridCol w:w="1439"/>
      </w:tblGrid>
      <w:tr w:rsidR="00C66F65" w:rsidRPr="00C8176A" w:rsidTr="00C66F65">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r w:rsidR="00734386" w:rsidRPr="00B425E0">
              <w:rPr>
                <w:rFonts w:asciiTheme="minorEastAsia" w:hAnsiTheme="minorEastAsia" w:cs="宋体" w:hint="eastAsia"/>
                <w:kern w:val="0"/>
                <w:szCs w:val="21"/>
              </w:rPr>
              <w:t>（股）</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70"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rsidTr="00C66F65">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8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C66F65" w:rsidRPr="00C8176A" w:rsidTr="00C66F65">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B425E0">
            <w:pPr>
              <w:widowControl/>
              <w:spacing w:afterLines="50" w:after="156"/>
              <w:jc w:val="left"/>
              <w:rPr>
                <w:rFonts w:asciiTheme="minorEastAsia" w:hAnsiTheme="minorEastAsia" w:cs="宋体"/>
                <w:kern w:val="0"/>
                <w:szCs w:val="21"/>
              </w:rPr>
            </w:pPr>
            <w:proofErr w:type="gramStart"/>
            <w:r w:rsidRPr="00B425E0">
              <w:rPr>
                <w:rFonts w:asciiTheme="minorEastAsia" w:hAnsiTheme="minorEastAsia" w:cs="宋体" w:hint="eastAsia"/>
                <w:kern w:val="0"/>
                <w:szCs w:val="21"/>
              </w:rPr>
              <w:t>祥</w:t>
            </w:r>
            <w:proofErr w:type="gramEnd"/>
            <w:r w:rsidRPr="00B425E0">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Times New Roman" w:hint="eastAsia"/>
                <w:bCs/>
                <w:kern w:val="0"/>
                <w:szCs w:val="21"/>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kern w:val="0"/>
                <w:szCs w:val="21"/>
              </w:rPr>
              <w:t>54.97%</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kern w:val="0"/>
                <w:szCs w:val="21"/>
              </w:rPr>
              <w:t>63,000,000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68,500,000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24.97%</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13.73%</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68,500,000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jc w:val="right"/>
              <w:textAlignment w:val="center"/>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205,793,290</w:t>
            </w:r>
          </w:p>
        </w:tc>
        <w:tc>
          <w:tcPr>
            <w:tcW w:w="48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r>
      <w:tr w:rsidR="00C66F65" w:rsidRPr="00C8176A" w:rsidTr="00C66F65">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3D3DB2">
            <w:pPr>
              <w:widowControl/>
              <w:spacing w:afterLines="50" w:after="156"/>
              <w:jc w:val="left"/>
              <w:rPr>
                <w:rFonts w:asciiTheme="minorEastAsia" w:hAnsiTheme="minorEastAsia" w:cs="宋体"/>
                <w:kern w:val="0"/>
                <w:szCs w:val="21"/>
              </w:rPr>
            </w:pPr>
            <w:r w:rsidRPr="00B425E0">
              <w:rPr>
                <w:rFonts w:asciiTheme="minorEastAsia" w:hAnsiTheme="minorEastAsia" w:cs="宋体" w:hint="eastAsia"/>
                <w:kern w:val="0"/>
                <w:szCs w:val="21"/>
              </w:rPr>
              <w:t>黄山市为</w:t>
            </w:r>
            <w:proofErr w:type="gramStart"/>
            <w:r w:rsidRPr="00B425E0">
              <w:rPr>
                <w:rFonts w:asciiTheme="minorEastAsia" w:hAnsiTheme="minorEastAsia" w:cs="宋体" w:hint="eastAsia"/>
                <w:kern w:val="0"/>
                <w:szCs w:val="21"/>
              </w:rPr>
              <w:t>众投资</w:t>
            </w:r>
            <w:proofErr w:type="gramEnd"/>
            <w:r w:rsidRPr="00B425E0">
              <w:rPr>
                <w:rFonts w:asciiTheme="minorEastAsia" w:hAnsiTheme="minorEastAsia" w:cs="宋体" w:hint="eastAsia"/>
                <w:kern w:val="0"/>
                <w:szCs w:val="21"/>
              </w:rPr>
              <w:t>管理中（有限合伙)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spacing w:afterLines="50" w:after="156"/>
              <w:jc w:val="right"/>
              <w:rPr>
                <w:rFonts w:asciiTheme="minorEastAsia" w:hAnsiTheme="minorEastAsia" w:cs="Times New Roman"/>
                <w:bCs/>
                <w:kern w:val="0"/>
                <w:szCs w:val="21"/>
              </w:rPr>
            </w:pPr>
            <w:r w:rsidRPr="00B425E0">
              <w:rPr>
                <w:rFonts w:asciiTheme="minorEastAsia" w:hAnsiTheme="minorEastAsia" w:cs="Times New Roman" w:hint="eastAsia"/>
                <w:bCs/>
                <w:kern w:val="0"/>
                <w:szCs w:val="21"/>
              </w:rPr>
              <w:t xml:space="preserve">8,690,000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rPr>
              <w:t>1.74%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Times New Roman" w:hint="eastAsia"/>
                <w:bCs/>
                <w:kern w:val="0"/>
                <w:szCs w:val="21"/>
              </w:rPr>
              <w:t>8,690,000</w:t>
            </w:r>
          </w:p>
        </w:tc>
        <w:tc>
          <w:tcPr>
            <w:tcW w:w="48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r>
      <w:tr w:rsidR="00C66F65" w:rsidRPr="00C8176A" w:rsidTr="00C66F65">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3D3DB2">
            <w:pPr>
              <w:widowControl/>
              <w:spacing w:afterLines="50" w:after="156"/>
              <w:jc w:val="left"/>
              <w:rPr>
                <w:rFonts w:asciiTheme="minorEastAsia" w:hAnsiTheme="minorEastAsia" w:cs="宋体"/>
                <w:kern w:val="0"/>
                <w:szCs w:val="21"/>
              </w:rPr>
            </w:pPr>
            <w:r w:rsidRPr="00B425E0">
              <w:rPr>
                <w:rFonts w:asciiTheme="minorEastAsia" w:hAnsiTheme="minorEastAsia" w:cs="宋体" w:hint="eastAsia"/>
                <w:kern w:val="0"/>
                <w:szCs w:val="21"/>
              </w:rPr>
              <w:t>黄山市启建投资管理中（有限合伙）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spacing w:afterLines="50" w:after="156"/>
              <w:jc w:val="right"/>
              <w:rPr>
                <w:rFonts w:asciiTheme="minorEastAsia" w:hAnsiTheme="minorEastAsia" w:cs="Times New Roman"/>
                <w:bCs/>
                <w:kern w:val="0"/>
                <w:szCs w:val="21"/>
              </w:rPr>
            </w:pPr>
            <w:r w:rsidRPr="00B425E0">
              <w:rPr>
                <w:rFonts w:asciiTheme="minorEastAsia" w:hAnsiTheme="minorEastAsia" w:hint="eastAsia"/>
                <w:szCs w:val="21"/>
              </w:rPr>
              <w:t xml:space="preserve">5,219,500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rPr>
              <w:t>1.05%</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hint="eastAsia"/>
                <w:szCs w:val="21"/>
              </w:rPr>
              <w:t>5,219,500</w:t>
            </w:r>
          </w:p>
        </w:tc>
        <w:tc>
          <w:tcPr>
            <w:tcW w:w="48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r>
      <w:tr w:rsidR="00C66F65" w:rsidRPr="00C8176A" w:rsidTr="00C66F65">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3D3DB2">
            <w:pPr>
              <w:widowControl/>
              <w:spacing w:afterLines="50" w:after="156"/>
              <w:jc w:val="left"/>
              <w:rPr>
                <w:rFonts w:asciiTheme="minorEastAsia" w:hAnsiTheme="minorEastAsia" w:cs="宋体"/>
                <w:kern w:val="0"/>
                <w:szCs w:val="21"/>
              </w:rPr>
            </w:pPr>
            <w:r w:rsidRPr="00B425E0">
              <w:rPr>
                <w:rFonts w:asciiTheme="minorEastAsia" w:hAnsiTheme="minorEastAsia" w:cs="宋体" w:hint="eastAsia"/>
                <w:color w:val="000000"/>
                <w:kern w:val="0"/>
                <w:szCs w:val="21"/>
              </w:rPr>
              <w:t>黄山市行</w:t>
            </w:r>
            <w:proofErr w:type="gramStart"/>
            <w:r w:rsidRPr="00B425E0">
              <w:rPr>
                <w:rFonts w:asciiTheme="minorEastAsia" w:hAnsiTheme="minorEastAsia" w:cs="宋体" w:hint="eastAsia"/>
                <w:color w:val="000000"/>
                <w:kern w:val="0"/>
                <w:szCs w:val="21"/>
              </w:rPr>
              <w:t>远投资</w:t>
            </w:r>
            <w:proofErr w:type="gramEnd"/>
            <w:r w:rsidRPr="00B425E0">
              <w:rPr>
                <w:rFonts w:asciiTheme="minorEastAsia" w:hAnsiTheme="minorEastAsia" w:cs="宋体" w:hint="eastAsia"/>
                <w:color w:val="000000"/>
                <w:kern w:val="0"/>
                <w:szCs w:val="21"/>
              </w:rPr>
              <w:t>管理中（有限合伙）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Times New Roman"/>
                <w:bCs/>
                <w:kern w:val="0"/>
                <w:szCs w:val="21"/>
              </w:rPr>
            </w:pPr>
            <w:r w:rsidRPr="00B425E0">
              <w:rPr>
                <w:rFonts w:asciiTheme="minorEastAsia" w:hAnsiTheme="minorEastAsia" w:cs="Times New Roman" w:hint="eastAsia"/>
                <w:bCs/>
                <w:kern w:val="0"/>
                <w:szCs w:val="21"/>
              </w:rPr>
              <w:t xml:space="preserve">6,965,000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Times New Roman" w:hint="eastAsia"/>
                <w:bCs/>
                <w:kern w:val="0"/>
                <w:szCs w:val="21"/>
              </w:rPr>
              <w:t>6,965,000</w:t>
            </w:r>
          </w:p>
        </w:tc>
        <w:tc>
          <w:tcPr>
            <w:tcW w:w="48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r>
      <w:tr w:rsidR="00C66F65" w:rsidRPr="00C8176A" w:rsidTr="00C66F65">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B425E0">
            <w:pPr>
              <w:widowControl/>
              <w:spacing w:afterLines="50" w:after="156"/>
              <w:jc w:val="left"/>
              <w:rPr>
                <w:rFonts w:asciiTheme="minorEastAsia" w:hAnsiTheme="minorEastAsia" w:cs="宋体"/>
                <w:kern w:val="0"/>
                <w:szCs w:val="21"/>
              </w:rPr>
            </w:pPr>
            <w:proofErr w:type="gramStart"/>
            <w:r w:rsidRPr="00B425E0">
              <w:rPr>
                <w:rFonts w:asciiTheme="minorEastAsia" w:hAnsiTheme="minorEastAsia" w:cs="宋体" w:hint="eastAsia"/>
                <w:kern w:val="0"/>
                <w:szCs w:val="21"/>
              </w:rPr>
              <w:t>俞</w:t>
            </w:r>
            <w:proofErr w:type="gramEnd"/>
            <w:r w:rsidRPr="00B425E0">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Times New Roman"/>
                <w:bCs/>
                <w:kern w:val="0"/>
                <w:szCs w:val="21"/>
              </w:rPr>
            </w:pPr>
            <w:r w:rsidRPr="00B425E0">
              <w:rPr>
                <w:rFonts w:asciiTheme="minorEastAsia" w:hAnsiTheme="minorEastAsia" w:cs="Times New Roman" w:hint="eastAsia"/>
                <w:bCs/>
                <w:kern w:val="0"/>
                <w:szCs w:val="21"/>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kern w:val="0"/>
                <w:szCs w:val="21"/>
              </w:rPr>
              <w:t>3.15%</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8,530,000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8,530,000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54.23%</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1.71%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8,530,000</w:t>
            </w: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7,199,100</w:t>
            </w:r>
          </w:p>
        </w:tc>
        <w:tc>
          <w:tcPr>
            <w:tcW w:w="48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r>
      <w:tr w:rsidR="00C66F65" w:rsidRPr="00C8176A" w:rsidTr="00C66F65">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3D3DB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spacing w:afterLines="50" w:after="156"/>
              <w:jc w:val="right"/>
              <w:rPr>
                <w:rFonts w:asciiTheme="minorEastAsia" w:hAnsiTheme="minorEastAsia" w:cs="宋体"/>
                <w:szCs w:val="21"/>
              </w:rPr>
            </w:pPr>
            <w:r w:rsidRPr="00B425E0">
              <w:rPr>
                <w:rFonts w:asciiTheme="minorEastAsia" w:hAnsiTheme="minorEastAsia" w:hint="eastAsia"/>
                <w:szCs w:val="21"/>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kern w:val="0"/>
                <w:szCs w:val="21"/>
              </w:rPr>
              <w:t>62.31%</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71,530,000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DE3495" w:rsidP="006342A2">
            <w:pPr>
              <w:widowControl/>
              <w:spacing w:afterLines="50" w:after="156"/>
              <w:jc w:val="right"/>
              <w:rPr>
                <w:rFonts w:asciiTheme="minorEastAsia" w:hAnsiTheme="minorEastAsia" w:cs="宋体"/>
                <w:kern w:val="0"/>
                <w:szCs w:val="21"/>
              </w:rPr>
            </w:pPr>
            <w:r w:rsidRPr="00DE3495">
              <w:rPr>
                <w:rFonts w:asciiTheme="minorEastAsia" w:hAnsiTheme="minorEastAsia" w:cs="宋体"/>
                <w:kern w:val="0"/>
                <w:szCs w:val="21"/>
              </w:rPr>
              <w:t>77,030,000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24.78%</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15.44%</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right"/>
              <w:rPr>
                <w:rFonts w:asciiTheme="minorEastAsia" w:hAnsiTheme="minorEastAsia" w:cs="宋体"/>
                <w:kern w:val="0"/>
                <w:szCs w:val="21"/>
              </w:rPr>
            </w:pPr>
            <w:r w:rsidRPr="00B425E0">
              <w:rPr>
                <w:rFonts w:asciiTheme="minorEastAsia" w:hAnsiTheme="minorEastAsia" w:cs="宋体" w:hint="eastAsia"/>
                <w:color w:val="000000"/>
                <w:kern w:val="0"/>
                <w:szCs w:val="21"/>
                <w:lang w:bidi="ar"/>
              </w:rPr>
              <w:t>77,030,000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spacing w:afterLines="50" w:after="156"/>
              <w:jc w:val="right"/>
              <w:rPr>
                <w:rFonts w:asciiTheme="minorEastAsia" w:hAnsiTheme="minorEastAsia" w:cs="宋体"/>
                <w:szCs w:val="21"/>
              </w:rPr>
            </w:pPr>
            <w:r w:rsidRPr="00B425E0">
              <w:rPr>
                <w:rFonts w:asciiTheme="minorEastAsia" w:hAnsiTheme="minorEastAsia" w:cs="宋体" w:hint="eastAsia"/>
                <w:color w:val="000000"/>
                <w:kern w:val="0"/>
                <w:szCs w:val="21"/>
                <w:lang w:bidi="ar"/>
              </w:rPr>
              <w:t>233,866,890</w:t>
            </w:r>
          </w:p>
        </w:tc>
        <w:tc>
          <w:tcPr>
            <w:tcW w:w="48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D3DB2" w:rsidRPr="00B425E0" w:rsidRDefault="003D3DB2" w:rsidP="006342A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0</w:t>
            </w:r>
          </w:p>
        </w:tc>
      </w:tr>
    </w:tbl>
    <w:p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065F52">
          <w:pgSz w:w="16838" w:h="11906" w:orient="landscape"/>
          <w:pgMar w:top="1797" w:right="1440" w:bottom="1797" w:left="1440" w:header="851" w:footer="992" w:gutter="0"/>
          <w:cols w:space="425"/>
          <w:docGrid w:type="linesAndChars" w:linePitch="312"/>
        </w:sectPr>
      </w:pPr>
    </w:p>
    <w:p w:rsidR="00B95785" w:rsidRDefault="00B95785"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EE690F" w:rsidRPr="00EE690F"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1173B5">
        <w:rPr>
          <w:rFonts w:ascii="宋体" w:eastAsia="宋体" w:hAnsi="宋体" w:cs="Times New Roman"/>
          <w:bCs/>
          <w:kern w:val="0"/>
          <w:sz w:val="24"/>
          <w:szCs w:val="24"/>
        </w:rPr>
        <w:t>9</w:t>
      </w:r>
      <w:r>
        <w:rPr>
          <w:rFonts w:ascii="宋体" w:eastAsia="宋体" w:hAnsi="宋体" w:cs="Times New Roman" w:hint="eastAsia"/>
          <w:bCs/>
          <w:kern w:val="0"/>
          <w:sz w:val="24"/>
          <w:szCs w:val="24"/>
        </w:rPr>
        <w:t>月</w:t>
      </w:r>
      <w:r w:rsidR="00B95785">
        <w:rPr>
          <w:rFonts w:ascii="宋体" w:eastAsia="宋体" w:hAnsi="宋体" w:cs="Times New Roman" w:hint="eastAsia"/>
          <w:bCs/>
          <w:kern w:val="0"/>
          <w:sz w:val="24"/>
          <w:szCs w:val="24"/>
        </w:rPr>
        <w:t>2</w:t>
      </w:r>
      <w:r w:rsidR="001173B5">
        <w:rPr>
          <w:rFonts w:ascii="宋体" w:eastAsia="宋体" w:hAnsi="宋体" w:cs="Times New Roman"/>
          <w:bCs/>
          <w:kern w:val="0"/>
          <w:sz w:val="24"/>
          <w:szCs w:val="24"/>
        </w:rPr>
        <w:t>6</w:t>
      </w:r>
      <w:r>
        <w:rPr>
          <w:rFonts w:ascii="宋体" w:eastAsia="宋体" w:hAnsi="宋体" w:cs="Times New Roman" w:hint="eastAsia"/>
          <w:bCs/>
          <w:kern w:val="0"/>
          <w:sz w:val="24"/>
          <w:szCs w:val="24"/>
        </w:rPr>
        <w:t>日</w:t>
      </w:r>
    </w:p>
    <w:sectPr w:rsidR="000F6CF3" w:rsidRPr="00824AFD"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F56" w:rsidRDefault="00520F56" w:rsidP="000F6CF3">
      <w:r>
        <w:separator/>
      </w:r>
    </w:p>
  </w:endnote>
  <w:endnote w:type="continuationSeparator" w:id="0">
    <w:p w:rsidR="00520F56" w:rsidRDefault="00520F56"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F56" w:rsidRDefault="00520F56" w:rsidP="000F6CF3">
      <w:r>
        <w:separator/>
      </w:r>
    </w:p>
  </w:footnote>
  <w:footnote w:type="continuationSeparator" w:id="0">
    <w:p w:rsidR="00520F56" w:rsidRDefault="00520F56"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35EC5"/>
    <w:rsid w:val="00065F52"/>
    <w:rsid w:val="00087A17"/>
    <w:rsid w:val="00091907"/>
    <w:rsid w:val="000F6CF3"/>
    <w:rsid w:val="001173B5"/>
    <w:rsid w:val="001737A2"/>
    <w:rsid w:val="001B2205"/>
    <w:rsid w:val="001B4AE4"/>
    <w:rsid w:val="00237CFC"/>
    <w:rsid w:val="00257DFD"/>
    <w:rsid w:val="0026154C"/>
    <w:rsid w:val="002B1B58"/>
    <w:rsid w:val="002B3A6C"/>
    <w:rsid w:val="002F2F22"/>
    <w:rsid w:val="0034519B"/>
    <w:rsid w:val="003D3DB2"/>
    <w:rsid w:val="0044477F"/>
    <w:rsid w:val="004F1BE7"/>
    <w:rsid w:val="00501827"/>
    <w:rsid w:val="00520F56"/>
    <w:rsid w:val="005828A7"/>
    <w:rsid w:val="00592C27"/>
    <w:rsid w:val="005A5327"/>
    <w:rsid w:val="005D617E"/>
    <w:rsid w:val="00623EBE"/>
    <w:rsid w:val="006342A2"/>
    <w:rsid w:val="00693A3D"/>
    <w:rsid w:val="00734386"/>
    <w:rsid w:val="0074367C"/>
    <w:rsid w:val="00776C6E"/>
    <w:rsid w:val="00813C56"/>
    <w:rsid w:val="00824AFD"/>
    <w:rsid w:val="0083007B"/>
    <w:rsid w:val="00845DFB"/>
    <w:rsid w:val="00865EAC"/>
    <w:rsid w:val="00941AF2"/>
    <w:rsid w:val="009B5301"/>
    <w:rsid w:val="009D7DD6"/>
    <w:rsid w:val="009E04C6"/>
    <w:rsid w:val="009F704E"/>
    <w:rsid w:val="00A06C48"/>
    <w:rsid w:val="00A21A11"/>
    <w:rsid w:val="00A43BAB"/>
    <w:rsid w:val="00AC3163"/>
    <w:rsid w:val="00AC5A7F"/>
    <w:rsid w:val="00AE3AB4"/>
    <w:rsid w:val="00B425E0"/>
    <w:rsid w:val="00B95785"/>
    <w:rsid w:val="00BA7D03"/>
    <w:rsid w:val="00BE625B"/>
    <w:rsid w:val="00C66F65"/>
    <w:rsid w:val="00C8176A"/>
    <w:rsid w:val="00CD61AC"/>
    <w:rsid w:val="00D034A3"/>
    <w:rsid w:val="00D10833"/>
    <w:rsid w:val="00D1618B"/>
    <w:rsid w:val="00D5009F"/>
    <w:rsid w:val="00DE3495"/>
    <w:rsid w:val="00E172EB"/>
    <w:rsid w:val="00E85022"/>
    <w:rsid w:val="00EE3AE4"/>
    <w:rsid w:val="00EE690F"/>
    <w:rsid w:val="00F93295"/>
    <w:rsid w:val="00FA0616"/>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A294B-257D-46C0-8814-0BB14F75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6CF3"/>
    <w:rPr>
      <w:kern w:val="2"/>
      <w:sz w:val="18"/>
      <w:szCs w:val="18"/>
    </w:rPr>
  </w:style>
  <w:style w:type="paragraph" w:styleId="a6">
    <w:name w:val="footer"/>
    <w:basedOn w:val="a"/>
    <w:link w:val="a7"/>
    <w:uiPriority w:val="99"/>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rsid w:val="000F6C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32</cp:revision>
  <dcterms:created xsi:type="dcterms:W3CDTF">2020-02-24T08:42:00Z</dcterms:created>
  <dcterms:modified xsi:type="dcterms:W3CDTF">2020-09-25T08:02:00Z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