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9F704E">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w:t>
      </w:r>
      <w:r w:rsidRPr="00E47871">
        <w:rPr>
          <w:rFonts w:ascii="宋体" w:eastAsia="宋体" w:hAnsi="宋体"/>
          <w:sz w:val="24"/>
          <w:szCs w:val="24"/>
        </w:rPr>
        <w:t>编号</w:t>
      </w:r>
      <w:r w:rsidRPr="00E47871">
        <w:rPr>
          <w:rFonts w:ascii="宋体" w:eastAsia="宋体" w:hAnsi="宋体"/>
          <w:spacing w:val="-51"/>
          <w:sz w:val="24"/>
          <w:szCs w:val="24"/>
        </w:rPr>
        <w:t>：</w:t>
      </w:r>
      <w:r w:rsidR="006B7147">
        <w:rPr>
          <w:rFonts w:ascii="宋体" w:eastAsia="宋体" w:hAnsi="宋体" w:hint="eastAsia"/>
          <w:sz w:val="24"/>
          <w:szCs w:val="24"/>
        </w:rPr>
        <w:t>2</w:t>
      </w:r>
      <w:r w:rsidR="006B7147">
        <w:rPr>
          <w:rFonts w:ascii="宋体" w:eastAsia="宋体" w:hAnsi="宋体"/>
          <w:sz w:val="24"/>
          <w:szCs w:val="24"/>
        </w:rPr>
        <w:t>020-067</w:t>
      </w:r>
    </w:p>
    <w:p w:rsidR="00623EBE" w:rsidRPr="00824AFD" w:rsidRDefault="00623EBE" w:rsidP="009F704E">
      <w:pPr>
        <w:snapToGrid w:val="0"/>
        <w:spacing w:afterLines="50" w:after="156" w:line="360" w:lineRule="auto"/>
        <w:jc w:val="center"/>
        <w:rPr>
          <w:rFonts w:ascii="宋体" w:eastAsia="宋体" w:hAnsi="宋体"/>
          <w:b/>
          <w:bCs/>
          <w:sz w:val="24"/>
          <w:szCs w:val="24"/>
        </w:rPr>
      </w:pPr>
    </w:p>
    <w:p w:rsidR="00623EBE" w:rsidRPr="000F6CF3" w:rsidRDefault="00824AFD" w:rsidP="009F704E">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E47871" w:rsidRPr="00E47871" w:rsidRDefault="008C48F4" w:rsidP="00E47871">
      <w:pPr>
        <w:snapToGrid w:val="0"/>
        <w:spacing w:afterLines="50" w:after="156" w:line="360" w:lineRule="auto"/>
        <w:jc w:val="center"/>
        <w:rPr>
          <w:rFonts w:ascii="黑体" w:eastAsia="黑体" w:hAnsi="黑体"/>
          <w:b/>
          <w:bCs/>
          <w:sz w:val="36"/>
          <w:szCs w:val="36"/>
        </w:rPr>
      </w:pPr>
      <w:r w:rsidRPr="008C48F4">
        <w:rPr>
          <w:rFonts w:ascii="黑体" w:eastAsia="黑体" w:hAnsi="黑体" w:hint="eastAsia"/>
          <w:b/>
          <w:bCs/>
          <w:sz w:val="36"/>
          <w:szCs w:val="36"/>
        </w:rPr>
        <w:t>关于更换保荐机构及保荐代表人的公告</w:t>
      </w:r>
    </w:p>
    <w:p w:rsidR="00623EBE" w:rsidRPr="00734386" w:rsidRDefault="00623EBE" w:rsidP="009F704E">
      <w:pPr>
        <w:snapToGrid w:val="0"/>
        <w:spacing w:afterLines="50" w:after="156" w:line="360" w:lineRule="auto"/>
        <w:jc w:val="center"/>
        <w:rPr>
          <w:rFonts w:ascii="黑体" w:eastAsia="黑体" w:hAnsi="黑体"/>
          <w:b/>
          <w:bCs/>
          <w:sz w:val="36"/>
          <w:szCs w:val="36"/>
        </w:rPr>
      </w:pPr>
    </w:p>
    <w:p w:rsidR="00623EBE" w:rsidRPr="00824AFD" w:rsidRDefault="00824AFD" w:rsidP="009F704E">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w:t>
      </w:r>
      <w:bookmarkStart w:id="0" w:name="_GoBack"/>
      <w:bookmarkEnd w:id="0"/>
      <w:r w:rsidRPr="00824AFD">
        <w:rPr>
          <w:rFonts w:ascii="宋体" w:eastAsia="宋体" w:hAnsi="宋体" w:hint="eastAsia"/>
          <w:sz w:val="24"/>
          <w:szCs w:val="24"/>
        </w:rPr>
        <w:t>性、准确性和完整性承担个别及连带责任。</w:t>
      </w:r>
    </w:p>
    <w:p w:rsidR="00623EBE" w:rsidRPr="00824AFD" w:rsidRDefault="00623EBE" w:rsidP="009F704E">
      <w:pPr>
        <w:widowControl/>
        <w:shd w:val="clear" w:color="auto" w:fill="FFFFFF"/>
        <w:spacing w:afterLines="50" w:after="156"/>
        <w:jc w:val="left"/>
        <w:rPr>
          <w:rFonts w:ascii="宋体" w:eastAsia="宋体" w:hAnsi="宋体" w:cs="宋体"/>
          <w:kern w:val="0"/>
          <w:szCs w:val="21"/>
        </w:rPr>
      </w:pP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r w:rsidRPr="008C48F4">
        <w:rPr>
          <w:rFonts w:ascii="宋体" w:eastAsia="宋体" w:hAnsi="宋体" w:hint="eastAsia"/>
          <w:sz w:val="24"/>
          <w:szCs w:val="24"/>
        </w:rPr>
        <w:t>安徽省交通建设股份有限公司（以下简称“公司”）经中国证券监督管理委员会《关于核准安徽省交通建设股份有限公司首次公开发行股票的批复》核准（证监许可[2019]1555号），于2019年10月首次公开发行A股股票并在上海证券交易所上市。公司</w:t>
      </w:r>
      <w:proofErr w:type="gramStart"/>
      <w:r w:rsidRPr="008C48F4">
        <w:rPr>
          <w:rFonts w:ascii="宋体" w:eastAsia="宋体" w:hAnsi="宋体" w:hint="eastAsia"/>
          <w:sz w:val="24"/>
          <w:szCs w:val="24"/>
        </w:rPr>
        <w:t>聘请国元证券</w:t>
      </w:r>
      <w:proofErr w:type="gramEnd"/>
      <w:r w:rsidRPr="008C48F4">
        <w:rPr>
          <w:rFonts w:ascii="宋体" w:eastAsia="宋体" w:hAnsi="宋体" w:hint="eastAsia"/>
          <w:sz w:val="24"/>
          <w:szCs w:val="24"/>
        </w:rPr>
        <w:t>股份有限公司（以下简称“国元证券”）担任公司首次公开发行股票并在上海证券交易所上市的保荐机构，持续督导期限至2021年12月31日。</w:t>
      </w:r>
      <w:r w:rsidRPr="008C48F4">
        <w:rPr>
          <w:rFonts w:ascii="宋体" w:eastAsia="宋体" w:hAnsi="宋体"/>
          <w:sz w:val="24"/>
          <w:szCs w:val="24"/>
        </w:rPr>
        <w:t>鉴于</w:t>
      </w:r>
      <w:r w:rsidRPr="000034CE">
        <w:rPr>
          <w:rFonts w:ascii="宋体" w:eastAsia="宋体" w:hAnsi="宋体"/>
          <w:sz w:val="24"/>
          <w:szCs w:val="24"/>
        </w:rPr>
        <w:t>公司首次公开发行股票募集资金尚未使用完毕，</w:t>
      </w:r>
      <w:r w:rsidRPr="008C48F4">
        <w:rPr>
          <w:rFonts w:ascii="宋体" w:eastAsia="宋体" w:hAnsi="宋体" w:hint="eastAsia"/>
          <w:sz w:val="24"/>
          <w:szCs w:val="24"/>
        </w:rPr>
        <w:t>根据《证券发行上市保荐业务管理办法》的相关规定，</w:t>
      </w:r>
      <w:proofErr w:type="gramStart"/>
      <w:r w:rsidRPr="008C48F4">
        <w:rPr>
          <w:rFonts w:ascii="宋体" w:eastAsia="宋体" w:hAnsi="宋体" w:hint="eastAsia"/>
          <w:sz w:val="24"/>
          <w:szCs w:val="24"/>
        </w:rPr>
        <w:t>国元证券</w:t>
      </w:r>
      <w:proofErr w:type="gramEnd"/>
      <w:r w:rsidRPr="008C48F4">
        <w:rPr>
          <w:rFonts w:ascii="宋体" w:eastAsia="宋体" w:hAnsi="宋体" w:hint="eastAsia"/>
          <w:sz w:val="24"/>
          <w:szCs w:val="24"/>
        </w:rPr>
        <w:t>对公司募集资金的存放及使用情况继续履行持续督导职责。</w:t>
      </w: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r w:rsidRPr="008C48F4">
        <w:rPr>
          <w:rFonts w:ascii="宋体" w:eastAsia="宋体" w:hAnsi="宋体" w:hint="eastAsia"/>
          <w:sz w:val="24"/>
          <w:szCs w:val="24"/>
        </w:rPr>
        <w:t>公司分别于2020年7月20日、8月7日召开了第二届董事会第九次会议、2020年第二次临时股东大会，审议通过了公司2020年非公开发行股票（以下简称“本次非公开发行”）的相关议案。由于本次非公开发行工作需要，公司与华安证券股份有限公司（以下简称“华安证券”）签署了《安徽省交通建设股份有限公司与华安证券股份有限公司关于安徽省交通建设股份有限公司非公开发行股票之保荐协议》，聘请华安证券担任本次非公开发行的保荐机构。</w:t>
      </w: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r w:rsidRPr="008C48F4">
        <w:rPr>
          <w:rFonts w:ascii="宋体" w:eastAsia="宋体" w:hAnsi="宋体" w:hint="eastAsia"/>
          <w:sz w:val="24"/>
          <w:szCs w:val="24"/>
        </w:rPr>
        <w:t>华安证券指派林斗志先生和</w:t>
      </w:r>
      <w:proofErr w:type="gramStart"/>
      <w:r w:rsidRPr="008C48F4">
        <w:rPr>
          <w:rFonts w:ascii="宋体" w:eastAsia="宋体" w:hAnsi="宋体" w:hint="eastAsia"/>
          <w:sz w:val="24"/>
          <w:szCs w:val="24"/>
        </w:rPr>
        <w:t>李骘</w:t>
      </w:r>
      <w:proofErr w:type="gramEnd"/>
      <w:r w:rsidRPr="008C48F4">
        <w:rPr>
          <w:rFonts w:ascii="宋体" w:eastAsia="宋体" w:hAnsi="宋体" w:hint="eastAsia"/>
          <w:sz w:val="24"/>
          <w:szCs w:val="24"/>
        </w:rPr>
        <w:t>先生（简历见附件）担任公司本次非公开发行股票的保荐代表人，具体负责公司本次非公开发行的保荐工作及持续督导工作，持续督导期间为本次非公开发行股票上市当年剩余时间及其后一个完整会计年</w:t>
      </w:r>
      <w:r w:rsidRPr="008C48F4">
        <w:rPr>
          <w:rFonts w:ascii="宋体" w:eastAsia="宋体" w:hAnsi="宋体" w:hint="eastAsia"/>
          <w:sz w:val="24"/>
          <w:szCs w:val="24"/>
        </w:rPr>
        <w:lastRenderedPageBreak/>
        <w:t>度。</w:t>
      </w: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r w:rsidRPr="008C48F4">
        <w:rPr>
          <w:rFonts w:ascii="宋体" w:eastAsia="宋体" w:hAnsi="宋体" w:hint="eastAsia"/>
          <w:sz w:val="24"/>
          <w:szCs w:val="24"/>
        </w:rPr>
        <w:t>根据《证券发行上市保荐业务管理办法》的相关规定，公司因再次申请发行证券另行聘请保荐机构的，应当终止与原保荐机构的保荐协议，另行聘请的保荐机构应当完成原保荐机构未完成的持续督导工作。因此，</w:t>
      </w:r>
      <w:proofErr w:type="gramStart"/>
      <w:r w:rsidRPr="008C48F4">
        <w:rPr>
          <w:rFonts w:ascii="宋体" w:eastAsia="宋体" w:hAnsi="宋体" w:hint="eastAsia"/>
          <w:sz w:val="24"/>
          <w:szCs w:val="24"/>
        </w:rPr>
        <w:t>国元证券未完</w:t>
      </w:r>
      <w:proofErr w:type="gramEnd"/>
      <w:r w:rsidRPr="008C48F4">
        <w:rPr>
          <w:rFonts w:ascii="宋体" w:eastAsia="宋体" w:hAnsi="宋体" w:hint="eastAsia"/>
          <w:sz w:val="24"/>
          <w:szCs w:val="24"/>
        </w:rPr>
        <w:t>成的持续督导工作由华安证券承接，</w:t>
      </w:r>
      <w:proofErr w:type="gramStart"/>
      <w:r w:rsidRPr="008C48F4">
        <w:rPr>
          <w:rFonts w:ascii="宋体" w:eastAsia="宋体" w:hAnsi="宋体" w:hint="eastAsia"/>
          <w:sz w:val="24"/>
          <w:szCs w:val="24"/>
        </w:rPr>
        <w:t>国元证券</w:t>
      </w:r>
      <w:proofErr w:type="gramEnd"/>
      <w:r w:rsidRPr="008C48F4">
        <w:rPr>
          <w:rFonts w:ascii="宋体" w:eastAsia="宋体" w:hAnsi="宋体" w:hint="eastAsia"/>
          <w:sz w:val="24"/>
          <w:szCs w:val="24"/>
        </w:rPr>
        <w:t>不再履行相应的持续督导职责。</w:t>
      </w: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r w:rsidRPr="008C48F4">
        <w:rPr>
          <w:rFonts w:ascii="宋体" w:eastAsia="宋体" w:hAnsi="宋体" w:hint="eastAsia"/>
          <w:sz w:val="24"/>
          <w:szCs w:val="24"/>
        </w:rPr>
        <w:t>公司对</w:t>
      </w:r>
      <w:proofErr w:type="gramStart"/>
      <w:r w:rsidRPr="008C48F4">
        <w:rPr>
          <w:rFonts w:ascii="宋体" w:eastAsia="宋体" w:hAnsi="宋体" w:hint="eastAsia"/>
          <w:sz w:val="24"/>
          <w:szCs w:val="24"/>
        </w:rPr>
        <w:t>国元证券</w:t>
      </w:r>
      <w:proofErr w:type="gramEnd"/>
      <w:r w:rsidRPr="008C48F4">
        <w:rPr>
          <w:rFonts w:ascii="宋体" w:eastAsia="宋体" w:hAnsi="宋体" w:hint="eastAsia"/>
          <w:sz w:val="24"/>
          <w:szCs w:val="24"/>
        </w:rPr>
        <w:t>及其项目团队在公司首次公开发行股票并上市及持续督导期间所做的工作表示衷心感谢！</w:t>
      </w: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r w:rsidRPr="008C48F4">
        <w:rPr>
          <w:rFonts w:ascii="宋体" w:eastAsia="宋体" w:hAnsi="宋体" w:hint="eastAsia"/>
          <w:sz w:val="24"/>
          <w:szCs w:val="24"/>
        </w:rPr>
        <w:t>特此公告。</w:t>
      </w:r>
    </w:p>
    <w:p w:rsidR="008C48F4" w:rsidRDefault="008C48F4" w:rsidP="008C48F4">
      <w:pPr>
        <w:adjustRightInd w:val="0"/>
        <w:snapToGrid w:val="0"/>
        <w:spacing w:afterLines="50" w:after="156" w:line="360" w:lineRule="auto"/>
        <w:ind w:firstLineChars="200" w:firstLine="480"/>
        <w:jc w:val="right"/>
        <w:rPr>
          <w:rFonts w:ascii="宋体" w:eastAsia="宋体" w:hAnsi="宋体"/>
          <w:sz w:val="24"/>
          <w:szCs w:val="24"/>
        </w:rPr>
      </w:pPr>
    </w:p>
    <w:p w:rsidR="008C48F4" w:rsidRDefault="008C48F4" w:rsidP="008C48F4">
      <w:pPr>
        <w:adjustRightInd w:val="0"/>
        <w:snapToGrid w:val="0"/>
        <w:spacing w:afterLines="50" w:after="156" w:line="360" w:lineRule="auto"/>
        <w:ind w:firstLineChars="200" w:firstLine="480"/>
        <w:jc w:val="right"/>
        <w:rPr>
          <w:rFonts w:ascii="宋体" w:eastAsia="宋体" w:hAnsi="宋体"/>
          <w:sz w:val="24"/>
          <w:szCs w:val="24"/>
        </w:rPr>
      </w:pPr>
    </w:p>
    <w:p w:rsidR="008C48F4" w:rsidRPr="008C48F4" w:rsidRDefault="008C48F4" w:rsidP="008C48F4">
      <w:pPr>
        <w:adjustRightInd w:val="0"/>
        <w:snapToGrid w:val="0"/>
        <w:spacing w:afterLines="50" w:after="156" w:line="360" w:lineRule="auto"/>
        <w:ind w:firstLineChars="200" w:firstLine="480"/>
        <w:jc w:val="right"/>
        <w:rPr>
          <w:rFonts w:ascii="宋体" w:eastAsia="宋体" w:hAnsi="宋体"/>
          <w:sz w:val="24"/>
          <w:szCs w:val="24"/>
        </w:rPr>
      </w:pPr>
      <w:r w:rsidRPr="008C48F4">
        <w:rPr>
          <w:rFonts w:ascii="宋体" w:eastAsia="宋体" w:hAnsi="宋体" w:hint="eastAsia"/>
          <w:sz w:val="24"/>
          <w:szCs w:val="24"/>
        </w:rPr>
        <w:t>安徽省交通建设股份有限公司董事会</w:t>
      </w:r>
    </w:p>
    <w:p w:rsidR="008C48F4" w:rsidRPr="008C48F4" w:rsidRDefault="008C48F4" w:rsidP="008C48F4">
      <w:pPr>
        <w:adjustRightInd w:val="0"/>
        <w:snapToGrid w:val="0"/>
        <w:spacing w:afterLines="50" w:after="156" w:line="360" w:lineRule="auto"/>
        <w:ind w:firstLineChars="200" w:firstLine="480"/>
        <w:jc w:val="right"/>
        <w:rPr>
          <w:rFonts w:ascii="宋体" w:eastAsia="宋体" w:hAnsi="宋体"/>
          <w:sz w:val="24"/>
          <w:szCs w:val="24"/>
        </w:rPr>
      </w:pPr>
      <w:r w:rsidRPr="008C48F4">
        <w:rPr>
          <w:rFonts w:ascii="宋体" w:eastAsia="宋体" w:hAnsi="宋体" w:hint="eastAsia"/>
          <w:sz w:val="24"/>
          <w:szCs w:val="24"/>
        </w:rPr>
        <w:t>2020年10月1</w:t>
      </w:r>
      <w:r w:rsidR="00CD2761">
        <w:rPr>
          <w:rFonts w:ascii="宋体" w:eastAsia="宋体" w:hAnsi="宋体" w:hint="eastAsia"/>
          <w:sz w:val="24"/>
          <w:szCs w:val="24"/>
        </w:rPr>
        <w:t>3</w:t>
      </w:r>
      <w:r w:rsidRPr="008C48F4">
        <w:rPr>
          <w:rFonts w:ascii="宋体" w:eastAsia="宋体" w:hAnsi="宋体" w:hint="eastAsia"/>
          <w:sz w:val="24"/>
          <w:szCs w:val="24"/>
        </w:rPr>
        <w:t>日</w:t>
      </w:r>
    </w:p>
    <w:p w:rsidR="000F6CF3" w:rsidRDefault="000F6CF3"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Default="008C48F4"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p>
    <w:p w:rsidR="008C48F4" w:rsidRPr="008C48F4" w:rsidRDefault="008C48F4" w:rsidP="008C48F4">
      <w:pPr>
        <w:adjustRightInd w:val="0"/>
        <w:snapToGrid w:val="0"/>
        <w:spacing w:afterLines="50" w:after="156" w:line="360" w:lineRule="auto"/>
        <w:ind w:firstLineChars="200" w:firstLine="482"/>
        <w:rPr>
          <w:rFonts w:ascii="宋体" w:eastAsia="宋体" w:hAnsi="宋体"/>
          <w:b/>
          <w:sz w:val="24"/>
          <w:szCs w:val="24"/>
        </w:rPr>
      </w:pPr>
      <w:r w:rsidRPr="008C48F4">
        <w:rPr>
          <w:rFonts w:ascii="宋体" w:eastAsia="宋体" w:hAnsi="宋体" w:hint="eastAsia"/>
          <w:b/>
          <w:sz w:val="24"/>
          <w:szCs w:val="24"/>
        </w:rPr>
        <w:lastRenderedPageBreak/>
        <w:t>附件（华安证券保荐代表人简历）：</w:t>
      </w: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r w:rsidRPr="008C48F4">
        <w:rPr>
          <w:rFonts w:ascii="宋体" w:eastAsia="宋体" w:hAnsi="宋体" w:hint="eastAsia"/>
          <w:sz w:val="24"/>
          <w:szCs w:val="24"/>
        </w:rPr>
        <w:t>林斗志先生：华安证券投资银行业务管理委员会副主任委员、董事总经理、保荐代表人。先后主持</w:t>
      </w:r>
      <w:proofErr w:type="gramStart"/>
      <w:r w:rsidRPr="008C48F4">
        <w:rPr>
          <w:rFonts w:ascii="宋体" w:eastAsia="宋体" w:hAnsi="宋体" w:hint="eastAsia"/>
          <w:sz w:val="24"/>
          <w:szCs w:val="24"/>
        </w:rPr>
        <w:t>完成君禾泵业</w:t>
      </w:r>
      <w:proofErr w:type="gramEnd"/>
      <w:r w:rsidRPr="008C48F4">
        <w:rPr>
          <w:rFonts w:ascii="宋体" w:eastAsia="宋体" w:hAnsi="宋体" w:hint="eastAsia"/>
          <w:sz w:val="24"/>
          <w:szCs w:val="24"/>
        </w:rPr>
        <w:t>股份有限公司IPO项目、科大讯飞股份有限公司IPO项目、安徽皖通高速公路股份有限公司公司债项目；参与安徽恒源煤电股份有限公司IPO项目、江苏三友集团股份有限公司IPO项目、中钢集团安徽天源科技股份有限公司IPO项目、安徽省皖北煤电集团有限责任公司06年企业</w:t>
      </w:r>
      <w:proofErr w:type="gramStart"/>
      <w:r w:rsidRPr="008C48F4">
        <w:rPr>
          <w:rFonts w:ascii="宋体" w:eastAsia="宋体" w:hAnsi="宋体" w:hint="eastAsia"/>
          <w:sz w:val="24"/>
          <w:szCs w:val="24"/>
        </w:rPr>
        <w:t>债项目</w:t>
      </w:r>
      <w:proofErr w:type="gramEnd"/>
      <w:r w:rsidRPr="008C48F4">
        <w:rPr>
          <w:rFonts w:ascii="宋体" w:eastAsia="宋体" w:hAnsi="宋体" w:hint="eastAsia"/>
          <w:sz w:val="24"/>
          <w:szCs w:val="24"/>
        </w:rPr>
        <w:t>等。</w:t>
      </w: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r w:rsidRPr="008C48F4">
        <w:rPr>
          <w:rFonts w:ascii="宋体" w:eastAsia="宋体" w:hAnsi="宋体" w:hint="eastAsia"/>
          <w:sz w:val="24"/>
          <w:szCs w:val="24"/>
        </w:rPr>
        <w:t>李</w:t>
      </w:r>
      <w:proofErr w:type="gramStart"/>
      <w:r w:rsidRPr="008C48F4">
        <w:rPr>
          <w:rFonts w:ascii="宋体" w:eastAsia="宋体" w:hAnsi="宋体" w:hint="eastAsia"/>
          <w:sz w:val="24"/>
          <w:szCs w:val="24"/>
        </w:rPr>
        <w:t>骘</w:t>
      </w:r>
      <w:proofErr w:type="gramEnd"/>
      <w:r w:rsidRPr="008C48F4">
        <w:rPr>
          <w:rFonts w:ascii="宋体" w:eastAsia="宋体" w:hAnsi="宋体" w:hint="eastAsia"/>
          <w:sz w:val="24"/>
          <w:szCs w:val="24"/>
        </w:rPr>
        <w:t>先生：</w:t>
      </w:r>
      <w:r w:rsidRPr="008C48F4">
        <w:rPr>
          <w:rFonts w:ascii="宋体" w:eastAsia="宋体" w:hAnsi="宋体"/>
          <w:sz w:val="24"/>
          <w:szCs w:val="24"/>
        </w:rPr>
        <w:t>华安证券投资银行业务管理委员会</w:t>
      </w:r>
      <w:r w:rsidRPr="008C48F4">
        <w:rPr>
          <w:rFonts w:ascii="宋体" w:eastAsia="宋体" w:hAnsi="宋体" w:hint="eastAsia"/>
          <w:sz w:val="24"/>
          <w:szCs w:val="24"/>
        </w:rPr>
        <w:t>业务董事</w:t>
      </w:r>
      <w:r w:rsidRPr="008C48F4">
        <w:rPr>
          <w:rFonts w:ascii="宋体" w:eastAsia="宋体" w:hAnsi="宋体"/>
          <w:sz w:val="24"/>
          <w:szCs w:val="24"/>
        </w:rPr>
        <w:t>，保荐代表人。</w:t>
      </w:r>
      <w:r w:rsidRPr="008C48F4">
        <w:rPr>
          <w:rFonts w:ascii="宋体" w:eastAsia="宋体" w:hAnsi="宋体" w:hint="eastAsia"/>
          <w:sz w:val="24"/>
          <w:szCs w:val="24"/>
        </w:rPr>
        <w:t>参与安徽皖维高新材料股份有限公司2011年非公开发行项目、安徽四创电子股份有限公司2013年非公开发行项目、安徽山河药辅股份有限公司2015年首次公开发行并在创业板上市项目、合肥百货大楼集团股份有限公司2015年股份划转财务顾问项目，作为项目协办人参与安徽龙磁科技股份有限公司2011年首次公开发行并在创业板上市项目和黄山旅游发展股份有限公司2015年度非公开发行项目。</w:t>
      </w:r>
    </w:p>
    <w:p w:rsidR="008C48F4" w:rsidRPr="008C48F4" w:rsidRDefault="008C48F4" w:rsidP="008C48F4">
      <w:pPr>
        <w:adjustRightInd w:val="0"/>
        <w:snapToGrid w:val="0"/>
        <w:spacing w:afterLines="50" w:after="156" w:line="360" w:lineRule="auto"/>
        <w:ind w:firstLineChars="200" w:firstLine="480"/>
        <w:rPr>
          <w:rFonts w:ascii="宋体" w:eastAsia="宋体" w:hAnsi="宋体"/>
          <w:sz w:val="24"/>
          <w:szCs w:val="24"/>
        </w:rPr>
      </w:pPr>
    </w:p>
    <w:sectPr w:rsidR="008C48F4" w:rsidRPr="008C48F4"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35D" w:rsidRDefault="0071635D" w:rsidP="000F6CF3">
      <w:r>
        <w:separator/>
      </w:r>
    </w:p>
  </w:endnote>
  <w:endnote w:type="continuationSeparator" w:id="0">
    <w:p w:rsidR="0071635D" w:rsidRDefault="0071635D"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35D" w:rsidRDefault="0071635D" w:rsidP="000F6CF3">
      <w:r>
        <w:separator/>
      </w:r>
    </w:p>
  </w:footnote>
  <w:footnote w:type="continuationSeparator" w:id="0">
    <w:p w:rsidR="0071635D" w:rsidRDefault="0071635D"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87A17"/>
    <w:rsid w:val="00091907"/>
    <w:rsid w:val="000F6CF3"/>
    <w:rsid w:val="00130037"/>
    <w:rsid w:val="001737A2"/>
    <w:rsid w:val="001B2205"/>
    <w:rsid w:val="001B4AE4"/>
    <w:rsid w:val="00237CFC"/>
    <w:rsid w:val="0026154C"/>
    <w:rsid w:val="002B1B58"/>
    <w:rsid w:val="002F2F22"/>
    <w:rsid w:val="004275FB"/>
    <w:rsid w:val="004F1BE7"/>
    <w:rsid w:val="00501827"/>
    <w:rsid w:val="005828A7"/>
    <w:rsid w:val="005A5327"/>
    <w:rsid w:val="005D617E"/>
    <w:rsid w:val="00623EBE"/>
    <w:rsid w:val="00693A3D"/>
    <w:rsid w:val="006B7147"/>
    <w:rsid w:val="0071635D"/>
    <w:rsid w:val="00734386"/>
    <w:rsid w:val="0074367C"/>
    <w:rsid w:val="00776C6E"/>
    <w:rsid w:val="00813C56"/>
    <w:rsid w:val="00824AFD"/>
    <w:rsid w:val="0083007B"/>
    <w:rsid w:val="00845DFB"/>
    <w:rsid w:val="008A2608"/>
    <w:rsid w:val="008C48F4"/>
    <w:rsid w:val="00941AF2"/>
    <w:rsid w:val="009B5301"/>
    <w:rsid w:val="009E04C6"/>
    <w:rsid w:val="009F704E"/>
    <w:rsid w:val="00A06C48"/>
    <w:rsid w:val="00A21A11"/>
    <w:rsid w:val="00AC3163"/>
    <w:rsid w:val="00AC5A7F"/>
    <w:rsid w:val="00AE3AB4"/>
    <w:rsid w:val="00B95785"/>
    <w:rsid w:val="00BA7D03"/>
    <w:rsid w:val="00BE625B"/>
    <w:rsid w:val="00C8176A"/>
    <w:rsid w:val="00CD2761"/>
    <w:rsid w:val="00CD61AC"/>
    <w:rsid w:val="00D034A3"/>
    <w:rsid w:val="00D1618B"/>
    <w:rsid w:val="00D414AE"/>
    <w:rsid w:val="00D5009F"/>
    <w:rsid w:val="00E172EB"/>
    <w:rsid w:val="00E47871"/>
    <w:rsid w:val="00E85022"/>
    <w:rsid w:val="00EE3AE4"/>
    <w:rsid w:val="00EE690F"/>
    <w:rsid w:val="00FA0616"/>
    <w:rsid w:val="00FC7926"/>
    <w:rsid w:val="00FE16C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2039"/>
  <w15:docId w15:val="{9B145FD5-AE9B-4703-B28D-866E654A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0F6CF3"/>
    <w:rPr>
      <w:kern w:val="2"/>
      <w:sz w:val="18"/>
      <w:szCs w:val="18"/>
    </w:rPr>
  </w:style>
  <w:style w:type="paragraph" w:styleId="a6">
    <w:name w:val="footer"/>
    <w:basedOn w:val="a"/>
    <w:link w:val="a7"/>
    <w:uiPriority w:val="99"/>
    <w:semiHidden/>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0F6CF3"/>
    <w:rPr>
      <w:kern w:val="2"/>
      <w:sz w:val="18"/>
      <w:szCs w:val="18"/>
    </w:rPr>
  </w:style>
  <w:style w:type="character" w:styleId="a8">
    <w:name w:val="annotation reference"/>
    <w:basedOn w:val="a0"/>
    <w:uiPriority w:val="99"/>
    <w:semiHidden/>
    <w:unhideWhenUsed/>
    <w:rsid w:val="00E47871"/>
    <w:rPr>
      <w:sz w:val="21"/>
      <w:szCs w:val="21"/>
    </w:rPr>
  </w:style>
  <w:style w:type="paragraph" w:styleId="a9">
    <w:name w:val="annotation text"/>
    <w:basedOn w:val="a"/>
    <w:link w:val="aa"/>
    <w:uiPriority w:val="99"/>
    <w:semiHidden/>
    <w:unhideWhenUsed/>
    <w:rsid w:val="00E47871"/>
    <w:pPr>
      <w:jc w:val="left"/>
    </w:pPr>
  </w:style>
  <w:style w:type="character" w:customStyle="1" w:styleId="aa">
    <w:name w:val="批注文字 字符"/>
    <w:basedOn w:val="a0"/>
    <w:link w:val="a9"/>
    <w:uiPriority w:val="99"/>
    <w:semiHidden/>
    <w:rsid w:val="00E47871"/>
    <w:rPr>
      <w:kern w:val="2"/>
      <w:sz w:val="21"/>
      <w:szCs w:val="22"/>
    </w:rPr>
  </w:style>
  <w:style w:type="paragraph" w:styleId="ab">
    <w:name w:val="annotation subject"/>
    <w:basedOn w:val="a9"/>
    <w:next w:val="a9"/>
    <w:link w:val="ac"/>
    <w:uiPriority w:val="99"/>
    <w:semiHidden/>
    <w:unhideWhenUsed/>
    <w:rsid w:val="00E47871"/>
    <w:rPr>
      <w:b/>
      <w:bCs/>
    </w:rPr>
  </w:style>
  <w:style w:type="character" w:customStyle="1" w:styleId="ac">
    <w:name w:val="批注主题 字符"/>
    <w:basedOn w:val="aa"/>
    <w:link w:val="ab"/>
    <w:uiPriority w:val="99"/>
    <w:semiHidden/>
    <w:rsid w:val="00E47871"/>
    <w:rPr>
      <w:b/>
      <w:bCs/>
      <w:kern w:val="2"/>
      <w:sz w:val="21"/>
      <w:szCs w:val="22"/>
    </w:rPr>
  </w:style>
  <w:style w:type="paragraph" w:styleId="ad">
    <w:name w:val="Balloon Text"/>
    <w:basedOn w:val="a"/>
    <w:link w:val="ae"/>
    <w:uiPriority w:val="99"/>
    <w:semiHidden/>
    <w:unhideWhenUsed/>
    <w:rsid w:val="00E47871"/>
    <w:rPr>
      <w:sz w:val="18"/>
      <w:szCs w:val="18"/>
    </w:rPr>
  </w:style>
  <w:style w:type="character" w:customStyle="1" w:styleId="ae">
    <w:name w:val="批注框文本 字符"/>
    <w:basedOn w:val="a0"/>
    <w:link w:val="ad"/>
    <w:uiPriority w:val="99"/>
    <w:semiHidden/>
    <w:rsid w:val="00E478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21389047">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308316749">
      <w:bodyDiv w:val="1"/>
      <w:marLeft w:val="0"/>
      <w:marRight w:val="0"/>
      <w:marTop w:val="0"/>
      <w:marBottom w:val="0"/>
      <w:divBdr>
        <w:top w:val="none" w:sz="0" w:space="0" w:color="auto"/>
        <w:left w:val="none" w:sz="0" w:space="0" w:color="auto"/>
        <w:bottom w:val="none" w:sz="0" w:space="0" w:color="auto"/>
        <w:right w:val="none" w:sz="0" w:space="0" w:color="auto"/>
      </w:divBdr>
    </w:div>
    <w:div w:id="1507865426">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9557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26</cp:revision>
  <dcterms:created xsi:type="dcterms:W3CDTF">2020-02-24T08:42:00Z</dcterms:created>
  <dcterms:modified xsi:type="dcterms:W3CDTF">2020-10-12T02:38:00Z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