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63F" w:rsidRPr="0045605D" w:rsidRDefault="001B4840">
      <w:pPr>
        <w:spacing w:beforeLines="0" w:before="0"/>
        <w:ind w:firstLineChars="0" w:firstLine="0"/>
        <w:rPr>
          <w:rFonts w:ascii="宋体" w:hAnsi="宋体"/>
        </w:rPr>
      </w:pPr>
      <w:bookmarkStart w:id="0" w:name="_Hlk36976470"/>
      <w:r>
        <w:rPr>
          <w:rFonts w:ascii="宋体" w:hAnsi="宋体" w:hint="eastAsia"/>
        </w:rPr>
        <w:t>证券代码：</w:t>
      </w:r>
      <w:r>
        <w:rPr>
          <w:rFonts w:ascii="宋体" w:hAnsi="宋体"/>
        </w:rPr>
        <w:t xml:space="preserve">603815     </w:t>
      </w:r>
      <w:r>
        <w:rPr>
          <w:rFonts w:ascii="宋体" w:hAnsi="宋体" w:hint="eastAsia"/>
        </w:rPr>
        <w:t xml:space="preserve">   </w:t>
      </w:r>
      <w:r>
        <w:rPr>
          <w:rFonts w:ascii="宋体" w:hAnsi="宋体"/>
        </w:rPr>
        <w:t xml:space="preserve"> </w:t>
      </w:r>
      <w:r>
        <w:rPr>
          <w:rFonts w:ascii="宋体" w:hAnsi="宋体" w:hint="eastAsia"/>
        </w:rPr>
        <w:t>证券简称：</w:t>
      </w:r>
      <w:proofErr w:type="gramStart"/>
      <w:r>
        <w:rPr>
          <w:rFonts w:ascii="宋体" w:hAnsi="宋体" w:hint="eastAsia"/>
        </w:rPr>
        <w:t>交建股份</w:t>
      </w:r>
      <w:proofErr w:type="gramEnd"/>
      <w:r>
        <w:rPr>
          <w:rFonts w:ascii="宋体" w:hAnsi="宋体" w:hint="eastAsia"/>
        </w:rPr>
        <w:t xml:space="preserve"> </w:t>
      </w:r>
      <w:r>
        <w:rPr>
          <w:rFonts w:ascii="宋体" w:hAnsi="宋体"/>
        </w:rPr>
        <w:t xml:space="preserve">      </w:t>
      </w:r>
      <w:r w:rsidRPr="0045605D">
        <w:rPr>
          <w:rFonts w:ascii="宋体" w:hAnsi="宋体"/>
        </w:rPr>
        <w:t xml:space="preserve"> </w:t>
      </w:r>
      <w:r w:rsidRPr="0045605D">
        <w:rPr>
          <w:rFonts w:ascii="宋体" w:hAnsi="宋体" w:hint="eastAsia"/>
        </w:rPr>
        <w:t xml:space="preserve">   公告编号：</w:t>
      </w:r>
      <w:r w:rsidRPr="0045605D">
        <w:rPr>
          <w:rFonts w:ascii="宋体" w:hAnsi="宋体"/>
        </w:rPr>
        <w:t>2020-</w:t>
      </w:r>
      <w:r w:rsidR="0045605D" w:rsidRPr="0045605D">
        <w:rPr>
          <w:rFonts w:ascii="宋体" w:hAnsi="宋体"/>
        </w:rPr>
        <w:t>053</w:t>
      </w:r>
    </w:p>
    <w:p w:rsidR="00B9163F" w:rsidRDefault="001B4840">
      <w:pPr>
        <w:pStyle w:val="2"/>
        <w:spacing w:beforeLines="150" w:before="468"/>
        <w:rPr>
          <w:rFonts w:eastAsia="黑体"/>
          <w:sz w:val="36"/>
          <w:szCs w:val="36"/>
        </w:rPr>
      </w:pPr>
      <w:r>
        <w:rPr>
          <w:rFonts w:eastAsia="黑体"/>
          <w:sz w:val="36"/>
          <w:szCs w:val="36"/>
        </w:rPr>
        <w:t>安徽省交通</w:t>
      </w:r>
      <w:r>
        <w:rPr>
          <w:rFonts w:eastAsia="黑体" w:hint="eastAsia"/>
          <w:sz w:val="36"/>
          <w:szCs w:val="36"/>
        </w:rPr>
        <w:t>建设</w:t>
      </w:r>
      <w:r>
        <w:rPr>
          <w:rFonts w:eastAsia="黑体"/>
          <w:sz w:val="36"/>
          <w:szCs w:val="36"/>
        </w:rPr>
        <w:t>股份有限公司</w:t>
      </w:r>
    </w:p>
    <w:bookmarkEnd w:id="0"/>
    <w:p w:rsidR="00B9163F" w:rsidRDefault="001B4840">
      <w:pPr>
        <w:pStyle w:val="2"/>
        <w:rPr>
          <w:rFonts w:eastAsia="黑体"/>
          <w:sz w:val="36"/>
          <w:szCs w:val="36"/>
        </w:rPr>
      </w:pPr>
      <w:r>
        <w:rPr>
          <w:rFonts w:eastAsia="黑体" w:hint="eastAsia"/>
          <w:sz w:val="36"/>
          <w:szCs w:val="36"/>
        </w:rPr>
        <w:t>关于</w:t>
      </w:r>
      <w:r>
        <w:rPr>
          <w:rFonts w:eastAsia="黑体"/>
          <w:noProof/>
          <w:sz w:val="36"/>
          <w:szCs w:val="36"/>
        </w:rPr>
        <mc:AlternateContent>
          <mc:Choice Requires="wps">
            <w:drawing>
              <wp:anchor distT="45720" distB="45720" distL="114300" distR="114300" simplePos="0" relativeHeight="251659264" behindDoc="0" locked="0" layoutInCell="1" allowOverlap="0">
                <wp:simplePos x="0" y="0"/>
                <wp:positionH relativeFrom="column">
                  <wp:posOffset>-133350</wp:posOffset>
                </wp:positionH>
                <wp:positionV relativeFrom="paragraph">
                  <wp:posOffset>727710</wp:posOffset>
                </wp:positionV>
                <wp:extent cx="5507990" cy="1404620"/>
                <wp:effectExtent l="0" t="0" r="16510" b="2159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8000" cy="1404620"/>
                        </a:xfrm>
                        <a:prstGeom prst="rect">
                          <a:avLst/>
                        </a:prstGeom>
                        <a:solidFill>
                          <a:srgbClr val="FFFFFF"/>
                        </a:solidFill>
                        <a:ln w="9525">
                          <a:solidFill>
                            <a:srgbClr val="000000"/>
                          </a:solidFill>
                          <a:miter lim="800000"/>
                        </a:ln>
                      </wps:spPr>
                      <wps:txbx>
                        <w:txbxContent>
                          <w:p w:rsidR="00B9163F" w:rsidRDefault="001B4840">
                            <w:r>
                              <w:t>本公司董事会及全体董事保证本公告内容不存在任何虚假记载、误导性陈述</w:t>
                            </w:r>
                            <w:r>
                              <w:t xml:space="preserve"> </w:t>
                            </w:r>
                            <w:r>
                              <w:t>或者重大遗漏，并对其内容的真实性、准确性和完整性承担个别及连带责任。</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0.5pt;margin-top:57.3pt;width:433.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" o:allowoverlap="f">
                <v:textbox style="mso-fit-shape-to-text:t">
                  <w:txbxContent>
                    <w:p w:rsidR="00B9163F" w:rsidRDefault="001B4840">
                      <w:r>
                        <w:t>本公司董事会及全体董事保证本公告内容不存在任何虚假记载、误导性陈述</w:t>
                      </w:r>
                      <w:r>
                        <w:t xml:space="preserve"> </w:t>
                      </w:r>
                      <w:r>
                        <w:t>或者重大遗漏，并对其内容的真实性、准确性和完整性承担个别及连带责任。</w:t>
                      </w:r>
                    </w:p>
                  </w:txbxContent>
                </v:textbox>
                <w10:wrap type="square"/>
              </v:shape>
            </w:pict>
          </mc:Fallback>
        </mc:AlternateContent>
      </w:r>
      <w:r>
        <w:rPr>
          <w:rFonts w:eastAsia="黑体" w:hint="eastAsia"/>
          <w:sz w:val="36"/>
          <w:szCs w:val="36"/>
        </w:rPr>
        <w:t>未来三年（</w:t>
      </w:r>
      <w:r>
        <w:rPr>
          <w:rFonts w:ascii="Times New Roman" w:eastAsia="黑体" w:hAnsi="Times New Roman"/>
          <w:sz w:val="36"/>
          <w:szCs w:val="36"/>
        </w:rPr>
        <w:t>2020-2022</w:t>
      </w:r>
      <w:r>
        <w:rPr>
          <w:rFonts w:ascii="Times New Roman" w:eastAsia="黑体" w:hAnsi="Times New Roman"/>
          <w:sz w:val="36"/>
          <w:szCs w:val="36"/>
        </w:rPr>
        <w:t>年</w:t>
      </w:r>
      <w:r>
        <w:rPr>
          <w:rFonts w:eastAsia="黑体" w:hint="eastAsia"/>
          <w:sz w:val="36"/>
          <w:szCs w:val="36"/>
        </w:rPr>
        <w:t>）股东分红回报规划</w:t>
      </w:r>
    </w:p>
    <w:p w:rsidR="00B9163F" w:rsidRDefault="001B4840">
      <w:pPr>
        <w:spacing w:beforeLines="100" w:before="312"/>
      </w:pPr>
      <w:r>
        <w:rPr>
          <w:rFonts w:hint="eastAsia"/>
        </w:rPr>
        <w:t>为进一步明确及完善安徽省交通建设股份有限公司（以下简称“公司”）分红回报机制，增强利润分配决策的透明度和可操作性，切实保护中小股东的合法权益，根据《中华人民共和国公司法》、《关于进一步落实上市公司现金分红有关事项的通知》</w:t>
      </w:r>
      <w:r>
        <w:rPr>
          <w:rFonts w:hint="eastAsia"/>
        </w:rPr>
        <w:t>(</w:t>
      </w:r>
      <w:r>
        <w:rPr>
          <w:rFonts w:hint="eastAsia"/>
        </w:rPr>
        <w:t>证监发</w:t>
      </w:r>
      <w:r>
        <w:rPr>
          <w:rFonts w:hint="eastAsia"/>
        </w:rPr>
        <w:t>[2012]37</w:t>
      </w:r>
      <w:r>
        <w:rPr>
          <w:rFonts w:hint="eastAsia"/>
        </w:rPr>
        <w:t>号</w:t>
      </w:r>
      <w:r>
        <w:rPr>
          <w:rFonts w:hint="eastAsia"/>
        </w:rPr>
        <w:t>)</w:t>
      </w:r>
      <w:r>
        <w:rPr>
          <w:rFonts w:hint="eastAsia"/>
        </w:rPr>
        <w:t>、《上市公司监管指引第</w:t>
      </w:r>
      <w:r>
        <w:rPr>
          <w:rFonts w:hint="eastAsia"/>
        </w:rPr>
        <w:t>3</w:t>
      </w:r>
      <w:r>
        <w:rPr>
          <w:rFonts w:hint="eastAsia"/>
        </w:rPr>
        <w:t>号—上市公司现金分红</w:t>
      </w:r>
      <w:proofErr w:type="gramStart"/>
      <w:r>
        <w:rPr>
          <w:rFonts w:hint="eastAsia"/>
        </w:rPr>
        <w:t>》</w:t>
      </w:r>
      <w:proofErr w:type="gramEnd"/>
      <w:r>
        <w:rPr>
          <w:rFonts w:hint="eastAsia"/>
        </w:rPr>
        <w:t>（中国证监会公告</w:t>
      </w:r>
      <w:r>
        <w:rPr>
          <w:rFonts w:hint="eastAsia"/>
        </w:rPr>
        <w:t>[2013]43</w:t>
      </w:r>
      <w:r>
        <w:rPr>
          <w:rFonts w:hint="eastAsia"/>
        </w:rPr>
        <w:t>号）等有关法律法规、规范性文件，以及《</w:t>
      </w:r>
      <w:r>
        <w:t>安徽省交通</w:t>
      </w:r>
      <w:r>
        <w:rPr>
          <w:rFonts w:hint="eastAsia"/>
        </w:rPr>
        <w:t>建设</w:t>
      </w:r>
      <w:r>
        <w:t>股份有限公司</w:t>
      </w:r>
      <w:r>
        <w:rPr>
          <w:rFonts w:hint="eastAsia"/>
        </w:rPr>
        <w:t>章程》（以下简称“《公司章程》”）的规定，结合公司的实际情况，公司制定了《关于未来三年（</w:t>
      </w:r>
      <w:r>
        <w:rPr>
          <w:rFonts w:hint="eastAsia"/>
        </w:rPr>
        <w:t>2020-2022</w:t>
      </w:r>
      <w:r>
        <w:rPr>
          <w:rFonts w:hint="eastAsia"/>
        </w:rPr>
        <w:t>年）股东分红回报规划》（以下简称“本规划”）。具体内容如下：</w:t>
      </w:r>
    </w:p>
    <w:p w:rsidR="00B9163F" w:rsidRPr="00F623FF" w:rsidRDefault="001B4840">
      <w:pPr>
        <w:pStyle w:val="3"/>
      </w:pPr>
      <w:r w:rsidRPr="00F623FF">
        <w:rPr>
          <w:rFonts w:hint="eastAsia"/>
        </w:rPr>
        <w:t>一、制定原则</w:t>
      </w:r>
    </w:p>
    <w:p w:rsidR="00B9163F" w:rsidRDefault="001B4840">
      <w:pPr>
        <w:autoSpaceDE w:val="0"/>
        <w:autoSpaceDN w:val="0"/>
        <w:adjustRightInd w:val="0"/>
        <w:rPr>
          <w:rFonts w:ascii="宋体" w:hAnsi="宋体"/>
          <w:color w:val="000000"/>
        </w:rPr>
      </w:pPr>
      <w:r>
        <w:rPr>
          <w:rFonts w:ascii="宋体" w:hAnsi="宋体" w:hint="eastAsia"/>
          <w:color w:val="000000"/>
        </w:rPr>
        <w:t>（一）积极回报投资者，并兼顾公司的长远利益、全体股东的整体利益及公司的可持续发展；</w:t>
      </w:r>
    </w:p>
    <w:p w:rsidR="00B9163F" w:rsidRDefault="001B4840">
      <w:pPr>
        <w:autoSpaceDE w:val="0"/>
        <w:autoSpaceDN w:val="0"/>
        <w:adjustRightInd w:val="0"/>
        <w:rPr>
          <w:rFonts w:ascii="宋体" w:hAnsi="宋体"/>
          <w:color w:val="000000"/>
        </w:rPr>
      </w:pPr>
      <w:r>
        <w:rPr>
          <w:rFonts w:ascii="宋体" w:hAnsi="宋体" w:hint="eastAsia"/>
          <w:color w:val="000000"/>
        </w:rPr>
        <w:t>（二）进一步增强公司利润分配特别是现金分红的透明度，优先采用现金分红的利润分配方式，以便投资者形成稳定的回报预期；</w:t>
      </w:r>
    </w:p>
    <w:p w:rsidR="00B9163F" w:rsidRDefault="001B4840">
      <w:pPr>
        <w:autoSpaceDE w:val="0"/>
        <w:autoSpaceDN w:val="0"/>
        <w:adjustRightInd w:val="0"/>
        <w:rPr>
          <w:rFonts w:ascii="宋体" w:hAnsi="宋体"/>
          <w:color w:val="000000"/>
        </w:rPr>
      </w:pPr>
      <w:r>
        <w:rPr>
          <w:rFonts w:ascii="宋体" w:hAnsi="宋体" w:hint="eastAsia"/>
          <w:color w:val="000000"/>
        </w:rPr>
        <w:t>（三）保持利润分配政策的连续性和稳定性；</w:t>
      </w:r>
    </w:p>
    <w:p w:rsidR="00B9163F" w:rsidRDefault="001B4840">
      <w:pPr>
        <w:autoSpaceDE w:val="0"/>
        <w:autoSpaceDN w:val="0"/>
        <w:adjustRightInd w:val="0"/>
        <w:rPr>
          <w:rFonts w:ascii="宋体" w:hAnsi="宋体"/>
          <w:color w:val="000000"/>
        </w:rPr>
      </w:pPr>
      <w:r>
        <w:rPr>
          <w:rFonts w:ascii="宋体" w:hAnsi="宋体" w:hint="eastAsia"/>
          <w:color w:val="000000"/>
        </w:rPr>
        <w:t>（四）严格遵循相关法律法规和《公司章程》对利润分配的有关规定。</w:t>
      </w:r>
    </w:p>
    <w:p w:rsidR="00B9163F" w:rsidRPr="00F623FF" w:rsidRDefault="001B4840">
      <w:pPr>
        <w:pStyle w:val="3"/>
      </w:pPr>
      <w:r w:rsidRPr="00F623FF">
        <w:rPr>
          <w:rFonts w:hint="eastAsia"/>
        </w:rPr>
        <w:t>二、</w:t>
      </w:r>
      <w:r w:rsidRPr="00F623FF">
        <w:t>制定本规划需考虑的因素</w:t>
      </w:r>
    </w:p>
    <w:p w:rsidR="00B9163F" w:rsidRDefault="001B4840">
      <w:pPr>
        <w:rPr>
          <w:shd w:val="clear" w:color="auto" w:fill="FFFFFF"/>
        </w:rPr>
      </w:pPr>
      <w:r>
        <w:rPr>
          <w:shd w:val="clear" w:color="auto" w:fill="FFFFFF"/>
        </w:rPr>
        <w:t>公司应着眼长远和可持续发展，同时应注重长期回报和短期回报相结合。公</w:t>
      </w:r>
      <w:r>
        <w:rPr>
          <w:shd w:val="clear" w:color="auto" w:fill="FFFFFF"/>
        </w:rPr>
        <w:lastRenderedPageBreak/>
        <w:t>司制定分红规划及每年拟定分配预案应综合考虑公司的行业特征、公司所处的发展阶段、实际经营业绩及经营现金流情况、发展目标及未来投资项目规划、外部融资环境、融资成本等因素，以体现股东利益最大化的原则。公司应充分听取和考虑投资者的要求和意愿，并结合公司自身及市场状况科学制定分红规划和拟定年度分配预案。</w:t>
      </w:r>
    </w:p>
    <w:p w:rsidR="00B9163F" w:rsidRPr="00F623FF" w:rsidRDefault="001B4840">
      <w:pPr>
        <w:pStyle w:val="3"/>
      </w:pPr>
      <w:r w:rsidRPr="00F623FF">
        <w:rPr>
          <w:rFonts w:hint="eastAsia"/>
        </w:rPr>
        <w:t>三、未来三年</w:t>
      </w:r>
      <w:r w:rsidRPr="00F623FF">
        <w:t>（2020-2022年）</w:t>
      </w:r>
      <w:r w:rsidRPr="00F623FF">
        <w:rPr>
          <w:rFonts w:hint="eastAsia"/>
        </w:rPr>
        <w:t>股东分红回报规划</w:t>
      </w:r>
    </w:p>
    <w:p w:rsidR="00B9163F" w:rsidRPr="00F623FF" w:rsidRDefault="001B4840" w:rsidP="00F623FF">
      <w:pPr>
        <w:pStyle w:val="3"/>
      </w:pPr>
      <w:r w:rsidRPr="00F623FF">
        <w:rPr>
          <w:rFonts w:hint="eastAsia"/>
        </w:rPr>
        <w:t>（一）利润分配方式</w:t>
      </w:r>
    </w:p>
    <w:p w:rsidR="00B9163F" w:rsidRDefault="001B4840">
      <w:pPr>
        <w:rPr>
          <w:shd w:val="clear" w:color="auto" w:fill="FFFFFF"/>
        </w:rPr>
      </w:pPr>
      <w:r>
        <w:rPr>
          <w:rFonts w:hint="eastAsia"/>
          <w:shd w:val="clear" w:color="auto" w:fill="FFFFFF"/>
        </w:rPr>
        <w:t>1</w:t>
      </w:r>
      <w:r>
        <w:rPr>
          <w:rFonts w:hint="eastAsia"/>
          <w:shd w:val="clear" w:color="auto" w:fill="FFFFFF"/>
        </w:rPr>
        <w:t>、公司可以采用现金、股票、现金与股票相结合或者法律、法规允许的其他方式分配利润；</w:t>
      </w:r>
    </w:p>
    <w:p w:rsidR="00B9163F" w:rsidRDefault="001B4840">
      <w:pPr>
        <w:rPr>
          <w:shd w:val="clear" w:color="auto" w:fill="FFFFFF"/>
        </w:rPr>
      </w:pPr>
      <w:r>
        <w:rPr>
          <w:rFonts w:hint="eastAsia"/>
          <w:shd w:val="clear" w:color="auto" w:fill="FFFFFF"/>
        </w:rPr>
        <w:t>2</w:t>
      </w:r>
      <w:r>
        <w:rPr>
          <w:rFonts w:hint="eastAsia"/>
          <w:shd w:val="clear" w:color="auto" w:fill="FFFFFF"/>
        </w:rPr>
        <w:t>、公司优先采用现金分红的利润分配方式。公司盈利且现金能够满足公司持续经营和长期发展的情况下，具备现金分红条件的，应当采用现金分红进行利润分配；</w:t>
      </w:r>
    </w:p>
    <w:p w:rsidR="00B9163F" w:rsidRDefault="001B4840">
      <w:pPr>
        <w:rPr>
          <w:shd w:val="clear" w:color="auto" w:fill="FFFFFF"/>
        </w:rPr>
      </w:pPr>
      <w:r>
        <w:rPr>
          <w:rFonts w:hint="eastAsia"/>
          <w:shd w:val="clear" w:color="auto" w:fill="FFFFFF"/>
        </w:rPr>
        <w:t>3</w:t>
      </w:r>
      <w:r>
        <w:rPr>
          <w:rFonts w:hint="eastAsia"/>
          <w:shd w:val="clear" w:color="auto" w:fill="FFFFFF"/>
        </w:rPr>
        <w:t>、公司在经营情况良好，且董事会认为公司股票价格与公司股本规模不匹配、发放股票股利有利于公司全体股东整体利益时，可以在满足现金分红的条件下，采用股票股利进行利润分配；</w:t>
      </w:r>
    </w:p>
    <w:p w:rsidR="00B9163F" w:rsidRDefault="001B4840">
      <w:pPr>
        <w:rPr>
          <w:shd w:val="clear" w:color="auto" w:fill="FFFFFF"/>
        </w:rPr>
      </w:pPr>
      <w:r>
        <w:rPr>
          <w:rFonts w:hint="eastAsia"/>
          <w:shd w:val="clear" w:color="auto" w:fill="FFFFFF"/>
        </w:rPr>
        <w:t>4</w:t>
      </w:r>
      <w:r>
        <w:rPr>
          <w:rFonts w:hint="eastAsia"/>
          <w:shd w:val="clear" w:color="auto" w:fill="FFFFFF"/>
        </w:rPr>
        <w:t>、公司利润分配不得超过累计可分配利润的范围，不得损害公司持续经营能力。</w:t>
      </w:r>
    </w:p>
    <w:p w:rsidR="00B9163F" w:rsidRPr="00F623FF" w:rsidRDefault="001B4840" w:rsidP="00F623FF">
      <w:pPr>
        <w:pStyle w:val="3"/>
      </w:pPr>
      <w:r w:rsidRPr="00F623FF">
        <w:rPr>
          <w:rFonts w:hint="eastAsia"/>
        </w:rPr>
        <w:t>（</w:t>
      </w:r>
      <w:r w:rsidRPr="00F623FF">
        <w:t>二</w:t>
      </w:r>
      <w:r w:rsidRPr="00F623FF">
        <w:rPr>
          <w:rFonts w:hint="eastAsia"/>
        </w:rPr>
        <w:t>）实施现金分红时须同时满足的条件</w:t>
      </w:r>
    </w:p>
    <w:p w:rsidR="00B9163F" w:rsidRDefault="001B4840">
      <w:pPr>
        <w:rPr>
          <w:shd w:val="clear" w:color="auto" w:fill="FFFFFF"/>
        </w:rPr>
      </w:pPr>
      <w:r>
        <w:rPr>
          <w:rFonts w:hint="eastAsia"/>
          <w:shd w:val="clear" w:color="auto" w:fill="FFFFFF"/>
        </w:rPr>
        <w:t>1</w:t>
      </w:r>
      <w:r>
        <w:rPr>
          <w:rFonts w:hint="eastAsia"/>
          <w:shd w:val="clear" w:color="auto" w:fill="FFFFFF"/>
        </w:rPr>
        <w:t>、公司当年盈利且年末累计未分配利润为正；</w:t>
      </w:r>
    </w:p>
    <w:p w:rsidR="00B9163F" w:rsidRDefault="001B4840">
      <w:pPr>
        <w:rPr>
          <w:shd w:val="clear" w:color="auto" w:fill="FFFFFF"/>
        </w:rPr>
      </w:pPr>
      <w:r>
        <w:rPr>
          <w:rFonts w:hint="eastAsia"/>
          <w:shd w:val="clear" w:color="auto" w:fill="FFFFFF"/>
        </w:rPr>
        <w:t>2</w:t>
      </w:r>
      <w:r>
        <w:rPr>
          <w:rFonts w:hint="eastAsia"/>
          <w:shd w:val="clear" w:color="auto" w:fill="FFFFFF"/>
        </w:rPr>
        <w:t>、审计机构对公司的该年度财务报告出具标准无保留意见的审计报告；</w:t>
      </w:r>
    </w:p>
    <w:p w:rsidR="00B9163F" w:rsidRDefault="001B4840">
      <w:pPr>
        <w:rPr>
          <w:shd w:val="clear" w:color="auto" w:fill="FFFFFF"/>
        </w:rPr>
      </w:pPr>
      <w:r>
        <w:rPr>
          <w:rFonts w:hint="eastAsia"/>
          <w:shd w:val="clear" w:color="auto" w:fill="FFFFFF"/>
        </w:rPr>
        <w:t>3</w:t>
      </w:r>
      <w:r>
        <w:rPr>
          <w:rFonts w:hint="eastAsia"/>
          <w:shd w:val="clear" w:color="auto" w:fill="FFFFFF"/>
        </w:rPr>
        <w:t>、经股东大会认可的其他特殊情况。</w:t>
      </w:r>
    </w:p>
    <w:p w:rsidR="00B9163F" w:rsidRPr="00F623FF" w:rsidRDefault="001B4840" w:rsidP="00F623FF">
      <w:pPr>
        <w:pStyle w:val="3"/>
      </w:pPr>
      <w:r w:rsidRPr="00F623FF">
        <w:rPr>
          <w:rFonts w:hint="eastAsia"/>
        </w:rPr>
        <w:t>（三）未分配利润使用原则</w:t>
      </w:r>
    </w:p>
    <w:p w:rsidR="00B9163F" w:rsidRDefault="001B4840">
      <w:pPr>
        <w:autoSpaceDE w:val="0"/>
        <w:autoSpaceDN w:val="0"/>
        <w:adjustRightInd w:val="0"/>
        <w:rPr>
          <w:rFonts w:ascii="宋体" w:hAnsi="宋体"/>
          <w:color w:val="000000"/>
        </w:rPr>
      </w:pPr>
      <w:r>
        <w:rPr>
          <w:rFonts w:ascii="宋体" w:hAnsi="宋体" w:hint="eastAsia"/>
          <w:color w:val="000000"/>
        </w:rPr>
        <w:t>公司当年利润分配完成后留存的未分配利润主要用于与主营业务相关的对外投资、购买资产等重大投资及现金支出，逐步扩大经营规模，优化财务结构，促进公司的长远发展，实现股东利益最大化。</w:t>
      </w:r>
    </w:p>
    <w:p w:rsidR="00B9163F" w:rsidRPr="00F623FF" w:rsidRDefault="001B4840" w:rsidP="00F623FF">
      <w:pPr>
        <w:pStyle w:val="3"/>
      </w:pPr>
      <w:r w:rsidRPr="00F623FF">
        <w:rPr>
          <w:rFonts w:hint="eastAsia"/>
        </w:rPr>
        <w:lastRenderedPageBreak/>
        <w:t>（四）利润分配的决策程序和机制</w:t>
      </w:r>
    </w:p>
    <w:p w:rsidR="00B9163F" w:rsidRDefault="001B4840">
      <w:pPr>
        <w:autoSpaceDE w:val="0"/>
        <w:autoSpaceDN w:val="0"/>
        <w:adjustRightInd w:val="0"/>
        <w:rPr>
          <w:rFonts w:ascii="宋体" w:hAnsi="宋体"/>
          <w:color w:val="000000"/>
        </w:rPr>
      </w:pPr>
      <w:r>
        <w:rPr>
          <w:rFonts w:ascii="宋体" w:hAnsi="宋体" w:hint="eastAsia"/>
          <w:color w:val="000000"/>
        </w:rPr>
        <w:t>1、公司在进行利润分配时，董事会应当先制定分配方案，在拟定利润分配方案时，董事会应当听取中小股东的意见，考虑中小股东的诉求，并与独立董事、监事充分讨论后形成利润分配方案。独立董事应当发表独立意见，独立董事可以征集中小股东的意见，提出分红提案，并提交董事会审议；</w:t>
      </w:r>
    </w:p>
    <w:p w:rsidR="00B9163F" w:rsidRDefault="001B4840">
      <w:pPr>
        <w:autoSpaceDE w:val="0"/>
        <w:autoSpaceDN w:val="0"/>
        <w:adjustRightInd w:val="0"/>
        <w:rPr>
          <w:rFonts w:ascii="宋体" w:hAnsi="宋体"/>
          <w:color w:val="000000"/>
        </w:rPr>
      </w:pPr>
      <w:r>
        <w:rPr>
          <w:rFonts w:ascii="宋体" w:hAnsi="宋体" w:hint="eastAsia"/>
          <w:color w:val="000000"/>
        </w:rPr>
        <w:t>2、董事会在审议利润分配方案时，应当认真研究和论证公司现金分红的时机、条件和比例、调整的条件等事宜，应充分听取监事会的意见；独立董事应发表明确意见；</w:t>
      </w:r>
    </w:p>
    <w:p w:rsidR="00B9163F" w:rsidRDefault="001B4840">
      <w:pPr>
        <w:autoSpaceDE w:val="0"/>
        <w:autoSpaceDN w:val="0"/>
        <w:adjustRightInd w:val="0"/>
        <w:rPr>
          <w:rFonts w:ascii="宋体" w:hAnsi="宋体"/>
          <w:color w:val="000000"/>
        </w:rPr>
      </w:pPr>
      <w:r>
        <w:rPr>
          <w:rFonts w:ascii="宋体" w:hAnsi="宋体" w:hint="eastAsia"/>
          <w:color w:val="000000"/>
        </w:rPr>
        <w:t>3、利润分配方案经董事会、监事会审议通过后提交股东大会进行审议。</w:t>
      </w:r>
    </w:p>
    <w:p w:rsidR="00B9163F" w:rsidRDefault="001B4840">
      <w:pPr>
        <w:autoSpaceDE w:val="0"/>
        <w:autoSpaceDN w:val="0"/>
        <w:adjustRightInd w:val="0"/>
        <w:rPr>
          <w:rFonts w:ascii="宋体" w:hAnsi="宋体"/>
          <w:color w:val="000000"/>
        </w:rPr>
      </w:pPr>
      <w:r>
        <w:rPr>
          <w:rFonts w:ascii="宋体" w:hAnsi="宋体" w:hint="eastAsia"/>
          <w:color w:val="000000"/>
        </w:rPr>
        <w:t>4、公司股东大会对利润分配方案</w:t>
      </w:r>
      <w:proofErr w:type="gramStart"/>
      <w:r>
        <w:rPr>
          <w:rFonts w:ascii="宋体" w:hAnsi="宋体" w:hint="eastAsia"/>
          <w:color w:val="000000"/>
        </w:rPr>
        <w:t>作出</w:t>
      </w:r>
      <w:proofErr w:type="gramEnd"/>
      <w:r>
        <w:rPr>
          <w:rFonts w:ascii="宋体" w:hAnsi="宋体" w:hint="eastAsia"/>
          <w:color w:val="000000"/>
        </w:rPr>
        <w:t>决议后，董事会须在股东大会召开后两个月内完成股利（或股份）的派发事项。</w:t>
      </w:r>
    </w:p>
    <w:p w:rsidR="00B9163F" w:rsidRPr="00F623FF" w:rsidRDefault="001B4840">
      <w:pPr>
        <w:pStyle w:val="4"/>
        <w:rPr>
          <w:rFonts w:ascii="宋体" w:hAnsi="宋体"/>
        </w:rPr>
      </w:pPr>
      <w:r w:rsidRPr="00F623FF">
        <w:rPr>
          <w:rFonts w:ascii="宋体" w:hAnsi="宋体" w:hint="eastAsia"/>
        </w:rPr>
        <w:t>（五）制定周期和相关决策机制</w:t>
      </w:r>
    </w:p>
    <w:p w:rsidR="00B9163F" w:rsidRDefault="001B4840">
      <w:pPr>
        <w:autoSpaceDE w:val="0"/>
        <w:autoSpaceDN w:val="0"/>
        <w:adjustRightInd w:val="0"/>
        <w:rPr>
          <w:rFonts w:ascii="宋体" w:hAnsi="宋体"/>
          <w:color w:val="000000"/>
        </w:rPr>
      </w:pPr>
      <w:r>
        <w:rPr>
          <w:rFonts w:ascii="宋体" w:hAnsi="宋体" w:hint="eastAsia"/>
          <w:color w:val="000000"/>
        </w:rPr>
        <w:t>公司至少每三年重新审阅一次股东回报规划，根据股东（特别是公众股东）、独立董事和监事的意见，对公司正在实施的股利分配政策</w:t>
      </w:r>
      <w:bookmarkStart w:id="1" w:name="_GoBack"/>
      <w:bookmarkEnd w:id="1"/>
      <w:proofErr w:type="gramStart"/>
      <w:r>
        <w:rPr>
          <w:rFonts w:ascii="宋体" w:hAnsi="宋体" w:hint="eastAsia"/>
          <w:color w:val="000000"/>
        </w:rPr>
        <w:t>作出</w:t>
      </w:r>
      <w:proofErr w:type="gramEnd"/>
      <w:r>
        <w:rPr>
          <w:rFonts w:ascii="宋体" w:hAnsi="宋体" w:hint="eastAsia"/>
          <w:color w:val="000000"/>
        </w:rPr>
        <w:t>适当</w:t>
      </w:r>
      <w:proofErr w:type="gramStart"/>
      <w:r>
        <w:rPr>
          <w:rFonts w:ascii="宋体" w:hAnsi="宋体" w:hint="eastAsia"/>
          <w:color w:val="000000"/>
        </w:rPr>
        <w:t>且必要</w:t>
      </w:r>
      <w:proofErr w:type="gramEnd"/>
      <w:r>
        <w:rPr>
          <w:rFonts w:ascii="宋体" w:hAnsi="宋体" w:hint="eastAsia"/>
          <w:color w:val="000000"/>
        </w:rPr>
        <w:t>的修改，以确定该时段的股东回报计划。利润分配政策的修改及股东回报规划的调整须经董事会审议通过后，提交公司股东大会批准。</w:t>
      </w:r>
    </w:p>
    <w:p w:rsidR="00B9163F" w:rsidRDefault="001B4840">
      <w:pPr>
        <w:autoSpaceDE w:val="0"/>
        <w:autoSpaceDN w:val="0"/>
        <w:adjustRightInd w:val="0"/>
        <w:rPr>
          <w:rFonts w:ascii="宋体" w:hAnsi="宋体"/>
          <w:color w:val="000000"/>
        </w:rPr>
      </w:pPr>
      <w:r>
        <w:rPr>
          <w:rFonts w:ascii="宋体" w:hAnsi="宋体" w:hint="eastAsia"/>
          <w:color w:val="000000"/>
        </w:rPr>
        <w:t>如遇到战争、自然灾害等不可抗力、或者公司因生产经营情况发生重大变化、</w:t>
      </w:r>
    </w:p>
    <w:p w:rsidR="00B9163F" w:rsidRDefault="001B4840">
      <w:pPr>
        <w:autoSpaceDE w:val="0"/>
        <w:autoSpaceDN w:val="0"/>
        <w:adjustRightInd w:val="0"/>
        <w:rPr>
          <w:rFonts w:ascii="宋体" w:hAnsi="宋体"/>
          <w:color w:val="000000"/>
        </w:rPr>
      </w:pPr>
      <w:r>
        <w:rPr>
          <w:rFonts w:ascii="宋体" w:hAnsi="宋体" w:hint="eastAsia"/>
          <w:color w:val="000000"/>
        </w:rPr>
        <w:t>投资规划和长期发展的需要等原因需调整利润分配政策的，经过详细论证后，应由公司董事会根据实际情况提出利润分配政策调整议案，调整后的利润分配政策应以股东权益保护为出发点，且不得违反相关法律法规和监管的规定。</w:t>
      </w:r>
    </w:p>
    <w:p w:rsidR="00B9163F" w:rsidRDefault="001B4840">
      <w:pPr>
        <w:autoSpaceDE w:val="0"/>
        <w:autoSpaceDN w:val="0"/>
        <w:adjustRightInd w:val="0"/>
        <w:rPr>
          <w:rFonts w:ascii="宋体" w:hAnsi="宋体"/>
          <w:color w:val="000000"/>
        </w:rPr>
      </w:pPr>
      <w:r>
        <w:rPr>
          <w:rFonts w:ascii="宋体" w:hAnsi="宋体" w:hint="eastAsia"/>
          <w:color w:val="000000"/>
        </w:rPr>
        <w:t>独立董事、监事会应当对调整利润分配政策发表审核意见，并由出席股东大会的股东所持表决权的2/3以上通过。</w:t>
      </w:r>
    </w:p>
    <w:p w:rsidR="00B9163F" w:rsidRPr="00F623FF" w:rsidRDefault="001B4840">
      <w:pPr>
        <w:pStyle w:val="4"/>
        <w:rPr>
          <w:rFonts w:ascii="宋体" w:hAnsi="宋体"/>
        </w:rPr>
      </w:pPr>
      <w:r w:rsidRPr="00F623FF">
        <w:rPr>
          <w:rFonts w:ascii="宋体" w:hAnsi="宋体" w:hint="eastAsia"/>
        </w:rPr>
        <w:t>（六）分红具体计划</w:t>
      </w:r>
    </w:p>
    <w:p w:rsidR="00B9163F" w:rsidRDefault="001B4840">
      <w:pPr>
        <w:autoSpaceDE w:val="0"/>
        <w:autoSpaceDN w:val="0"/>
        <w:adjustRightInd w:val="0"/>
        <w:rPr>
          <w:rFonts w:ascii="宋体" w:hAnsi="宋体"/>
          <w:color w:val="000000"/>
        </w:rPr>
      </w:pPr>
      <w:r>
        <w:rPr>
          <w:rFonts w:ascii="宋体" w:hAnsi="宋体" w:hint="eastAsia"/>
          <w:color w:val="000000"/>
        </w:rPr>
        <w:t>1、在符合现金分红的条件下，2020年至2022年将每年进行一次现金分红，每年以现金方式分配的利润不少于当年实现的可供分配利润的15%；</w:t>
      </w:r>
    </w:p>
    <w:p w:rsidR="00B9163F" w:rsidRDefault="001B4840">
      <w:pPr>
        <w:autoSpaceDE w:val="0"/>
        <w:autoSpaceDN w:val="0"/>
        <w:adjustRightInd w:val="0"/>
        <w:rPr>
          <w:rFonts w:ascii="宋体" w:hAnsi="宋体"/>
          <w:color w:val="000000"/>
        </w:rPr>
      </w:pPr>
      <w:r>
        <w:rPr>
          <w:rFonts w:ascii="宋体" w:hAnsi="宋体" w:hint="eastAsia"/>
          <w:color w:val="000000"/>
        </w:rPr>
        <w:lastRenderedPageBreak/>
        <w:t>2、在符合现金分红条件下，公司董事会可以根据公司的资金状况提议公司进行中期利润分配。</w:t>
      </w:r>
    </w:p>
    <w:p w:rsidR="00B9163F" w:rsidRDefault="001B4840">
      <w:pPr>
        <w:autoSpaceDE w:val="0"/>
        <w:autoSpaceDN w:val="0"/>
        <w:adjustRightInd w:val="0"/>
        <w:rPr>
          <w:rFonts w:ascii="宋体" w:hAnsi="宋体"/>
          <w:color w:val="000000"/>
        </w:rPr>
      </w:pPr>
      <w:r>
        <w:rPr>
          <w:rFonts w:ascii="宋体" w:hAnsi="宋体" w:hint="eastAsia"/>
          <w:color w:val="000000"/>
        </w:rPr>
        <w:t>3、公司董事会应当综合考虑所处行业特点、发展阶段、自身经营模式、盈利水平以及是否有重大资金支出安排等因素，区分下列情形，提出差异化的现金分红政策：</w:t>
      </w:r>
    </w:p>
    <w:p w:rsidR="00B9163F" w:rsidRDefault="001B4840">
      <w:pPr>
        <w:rPr>
          <w:rFonts w:ascii="宋体" w:hAnsi="宋体"/>
          <w:color w:val="000000"/>
        </w:rPr>
      </w:pPr>
      <w:r>
        <w:rPr>
          <w:rFonts w:ascii="宋体" w:hAnsi="宋体" w:hint="eastAsia"/>
          <w:color w:val="000000"/>
        </w:rPr>
        <w:t>A、公司属成熟期且无重大资金支出安排的，进行利润分配时，现金分红在本次利润分配中所占比例最低应达到80%；</w:t>
      </w:r>
    </w:p>
    <w:p w:rsidR="00B9163F" w:rsidRDefault="001B4840">
      <w:pPr>
        <w:rPr>
          <w:rFonts w:ascii="宋体" w:hAnsi="宋体"/>
          <w:color w:val="000000"/>
        </w:rPr>
      </w:pPr>
      <w:r>
        <w:rPr>
          <w:rFonts w:ascii="宋体" w:hAnsi="宋体" w:hint="eastAsia"/>
          <w:color w:val="000000"/>
        </w:rPr>
        <w:t>B、公司属成熟期且有重大资金支出安排的，进行利润分配时，现金分红在本次利润分配中所占比例最低应达到40%；</w:t>
      </w:r>
    </w:p>
    <w:p w:rsidR="00B9163F" w:rsidRDefault="001B4840">
      <w:pPr>
        <w:rPr>
          <w:rFonts w:ascii="宋体" w:hAnsi="宋体"/>
          <w:color w:val="000000"/>
        </w:rPr>
      </w:pPr>
      <w:r>
        <w:rPr>
          <w:rFonts w:ascii="宋体" w:hAnsi="宋体" w:hint="eastAsia"/>
          <w:color w:val="000000"/>
        </w:rPr>
        <w:t>C、公司发展阶段属成长期且有重大资金支出安排的，进行利润分配时，现金分红在本次利润分配中所占比例最低应达到20%；</w:t>
      </w:r>
    </w:p>
    <w:p w:rsidR="00B9163F" w:rsidRDefault="001B4840">
      <w:pPr>
        <w:rPr>
          <w:rFonts w:ascii="宋体" w:hAnsi="宋体"/>
          <w:color w:val="000000"/>
        </w:rPr>
      </w:pPr>
      <w:r>
        <w:rPr>
          <w:rFonts w:ascii="宋体" w:hAnsi="宋体" w:hint="eastAsia"/>
          <w:color w:val="000000"/>
        </w:rPr>
        <w:t>如公司发展阶段不易区分但有重大资金支出安排的，可以按照前项规定处理。</w:t>
      </w:r>
    </w:p>
    <w:p w:rsidR="00B9163F" w:rsidRDefault="001B4840">
      <w:pPr>
        <w:autoSpaceDE w:val="0"/>
        <w:autoSpaceDN w:val="0"/>
        <w:adjustRightInd w:val="0"/>
        <w:rPr>
          <w:rFonts w:ascii="宋体" w:hAnsi="宋体"/>
          <w:color w:val="000000"/>
        </w:rPr>
      </w:pPr>
      <w:r>
        <w:rPr>
          <w:rFonts w:ascii="宋体" w:hAnsi="宋体" w:hint="eastAsia"/>
          <w:color w:val="000000"/>
        </w:rPr>
        <w:t>本项所称“重大资金支出”是指：</w:t>
      </w:r>
      <w:r>
        <w:rPr>
          <w:rFonts w:ascii="宋体" w:hAnsi="宋体" w:cs="Arial" w:hint="eastAsia"/>
          <w:snapToGrid w:val="0"/>
          <w:color w:val="000000"/>
        </w:rPr>
        <w:t>①公司未来12个月内</w:t>
      </w:r>
      <w:proofErr w:type="gramStart"/>
      <w:r>
        <w:rPr>
          <w:rFonts w:ascii="宋体" w:hAnsi="宋体" w:cs="Arial" w:hint="eastAsia"/>
          <w:snapToGrid w:val="0"/>
          <w:color w:val="000000"/>
        </w:rPr>
        <w:t>拟对外</w:t>
      </w:r>
      <w:proofErr w:type="gramEnd"/>
      <w:r>
        <w:rPr>
          <w:rFonts w:ascii="宋体" w:hAnsi="宋体" w:cs="Arial" w:hint="eastAsia"/>
          <w:snapToGrid w:val="0"/>
          <w:color w:val="000000"/>
        </w:rPr>
        <w:t>投资、收购资产或购买设备累计支出达到或超过公司最近一期经审计净资产的30</w:t>
      </w:r>
      <w:r>
        <w:rPr>
          <w:rFonts w:ascii="宋体" w:hAnsi="宋体" w:cs="Arial"/>
          <w:snapToGrid w:val="0"/>
          <w:color w:val="000000"/>
        </w:rPr>
        <w:t>%</w:t>
      </w:r>
      <w:r>
        <w:rPr>
          <w:rFonts w:ascii="宋体" w:hAnsi="宋体" w:cs="Arial" w:hint="eastAsia"/>
          <w:snapToGrid w:val="0"/>
          <w:color w:val="000000"/>
        </w:rPr>
        <w:t>，且超过5</w:t>
      </w:r>
      <w:r>
        <w:rPr>
          <w:rFonts w:ascii="宋体" w:hAnsi="宋体" w:cs="Arial"/>
          <w:snapToGrid w:val="0"/>
          <w:color w:val="000000"/>
        </w:rPr>
        <w:t>,000</w:t>
      </w:r>
      <w:r>
        <w:rPr>
          <w:rFonts w:ascii="宋体" w:hAnsi="宋体" w:cs="Arial" w:hint="eastAsia"/>
          <w:snapToGrid w:val="0"/>
          <w:color w:val="000000"/>
        </w:rPr>
        <w:t>万元（募集资金投资的项目除外）；②公司未来12个月内</w:t>
      </w:r>
      <w:proofErr w:type="gramStart"/>
      <w:r>
        <w:rPr>
          <w:rFonts w:ascii="宋体" w:hAnsi="宋体" w:cs="Arial" w:hint="eastAsia"/>
          <w:snapToGrid w:val="0"/>
          <w:color w:val="000000"/>
        </w:rPr>
        <w:t>拟对外</w:t>
      </w:r>
      <w:proofErr w:type="gramEnd"/>
      <w:r>
        <w:rPr>
          <w:rFonts w:ascii="宋体" w:hAnsi="宋体" w:cs="Arial" w:hint="eastAsia"/>
          <w:snapToGrid w:val="0"/>
          <w:color w:val="000000"/>
        </w:rPr>
        <w:t>投资、收购资产或购买设备累计支出达到或超过公司最近一期经审计总资产的15%（募集资金投资的项目除外）。</w:t>
      </w:r>
    </w:p>
    <w:p w:rsidR="00B9163F" w:rsidRPr="00F623FF" w:rsidRDefault="001B4840">
      <w:pPr>
        <w:pStyle w:val="3"/>
      </w:pPr>
      <w:r w:rsidRPr="00F623FF">
        <w:rPr>
          <w:rFonts w:hint="eastAsia"/>
        </w:rPr>
        <w:t>四、附则</w:t>
      </w:r>
    </w:p>
    <w:p w:rsidR="00B9163F" w:rsidRDefault="001B4840">
      <w:pPr>
        <w:autoSpaceDE w:val="0"/>
        <w:autoSpaceDN w:val="0"/>
        <w:adjustRightInd w:val="0"/>
        <w:rPr>
          <w:rFonts w:ascii="宋体" w:hAnsi="宋体"/>
          <w:color w:val="000000"/>
        </w:rPr>
      </w:pPr>
      <w:r>
        <w:rPr>
          <w:rFonts w:ascii="宋体" w:hAnsi="宋体" w:hint="eastAsia"/>
          <w:color w:val="000000"/>
        </w:rPr>
        <w:t>本规划未尽事宜，依照相关法律法规、规范性文件及《公司章程》规定执行。本规划由公司董事会负责解释, 并自公司股东大会审议通过之日起实施，修订时亦同。</w:t>
      </w:r>
    </w:p>
    <w:p w:rsidR="00B9163F" w:rsidRDefault="001B4840">
      <w:r>
        <w:rPr>
          <w:rFonts w:hint="eastAsia"/>
        </w:rPr>
        <w:t>特此公告。</w:t>
      </w:r>
    </w:p>
    <w:p w:rsidR="00B9163F" w:rsidRDefault="00B9163F">
      <w:pPr>
        <w:jc w:val="right"/>
      </w:pPr>
    </w:p>
    <w:p w:rsidR="00B9163F" w:rsidRDefault="001B4840">
      <w:pPr>
        <w:jc w:val="right"/>
      </w:pPr>
      <w:r>
        <w:rPr>
          <w:rFonts w:hint="eastAsia"/>
        </w:rPr>
        <w:t>安徽省交通建设股份有限公司董事会</w:t>
      </w:r>
    </w:p>
    <w:p w:rsidR="00B9163F" w:rsidRDefault="001B4840">
      <w:pPr>
        <w:tabs>
          <w:tab w:val="left" w:pos="8160"/>
        </w:tabs>
        <w:ind w:right="-94"/>
        <w:jc w:val="right"/>
      </w:pPr>
      <w:r>
        <w:rPr>
          <w:rFonts w:hint="eastAsia"/>
        </w:rPr>
        <w:t xml:space="preserve"> 2</w:t>
      </w:r>
      <w:r>
        <w:t>020</w:t>
      </w:r>
      <w:r>
        <w:rPr>
          <w:rFonts w:hint="eastAsia"/>
        </w:rPr>
        <w:t>年</w:t>
      </w:r>
      <w:r>
        <w:rPr>
          <w:rFonts w:hint="eastAsia"/>
        </w:rPr>
        <w:t>7</w:t>
      </w:r>
      <w:r>
        <w:rPr>
          <w:rFonts w:hint="eastAsia"/>
        </w:rPr>
        <w:t>月</w:t>
      </w:r>
      <w:r>
        <w:rPr>
          <w:rFonts w:hint="eastAsia"/>
        </w:rPr>
        <w:t>2</w:t>
      </w:r>
      <w:r w:rsidR="00B536F8">
        <w:rPr>
          <w:rFonts w:hint="eastAsia"/>
        </w:rPr>
        <w:t>1</w:t>
      </w:r>
      <w:r>
        <w:rPr>
          <w:rFonts w:hint="eastAsia"/>
        </w:rPr>
        <w:t>日</w:t>
      </w:r>
    </w:p>
    <w:sectPr w:rsidR="00B916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371" w:rsidRDefault="008B7371" w:rsidP="00B536F8">
      <w:pPr>
        <w:spacing w:before="120" w:after="120" w:line="240" w:lineRule="auto"/>
      </w:pPr>
      <w:r>
        <w:separator/>
      </w:r>
    </w:p>
  </w:endnote>
  <w:endnote w:type="continuationSeparator" w:id="0">
    <w:p w:rsidR="008B7371" w:rsidRDefault="008B7371" w:rsidP="00B536F8">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63F" w:rsidRDefault="00B9163F">
    <w:pPr>
      <w:pStyle w:val="a5"/>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63F" w:rsidRDefault="00B9163F">
    <w:pPr>
      <w:pStyle w:val="a5"/>
      <w:spacing w:before="120"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63F" w:rsidRDefault="00B9163F">
    <w:pPr>
      <w:pStyle w:val="a5"/>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371" w:rsidRDefault="008B7371" w:rsidP="00B536F8">
      <w:pPr>
        <w:spacing w:before="120" w:after="120" w:line="240" w:lineRule="auto"/>
      </w:pPr>
      <w:r>
        <w:separator/>
      </w:r>
    </w:p>
  </w:footnote>
  <w:footnote w:type="continuationSeparator" w:id="0">
    <w:p w:rsidR="008B7371" w:rsidRDefault="008B7371" w:rsidP="00B536F8">
      <w:pPr>
        <w:spacing w:before="120"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63F" w:rsidRDefault="00B9163F">
    <w:pPr>
      <w:pStyle w:val="a7"/>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63F" w:rsidRDefault="00B9163F">
    <w:pPr>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63F" w:rsidRDefault="00B9163F">
    <w:pPr>
      <w:pStyle w:val="a7"/>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CC2"/>
    <w:rsid w:val="00043B7B"/>
    <w:rsid w:val="00063388"/>
    <w:rsid w:val="000A0D82"/>
    <w:rsid w:val="000C6777"/>
    <w:rsid w:val="00130809"/>
    <w:rsid w:val="00140B5B"/>
    <w:rsid w:val="001A13F7"/>
    <w:rsid w:val="001B4840"/>
    <w:rsid w:val="00357454"/>
    <w:rsid w:val="00357A07"/>
    <w:rsid w:val="00367106"/>
    <w:rsid w:val="00392A47"/>
    <w:rsid w:val="0045605D"/>
    <w:rsid w:val="00554CC2"/>
    <w:rsid w:val="005D2CEA"/>
    <w:rsid w:val="00605531"/>
    <w:rsid w:val="00737312"/>
    <w:rsid w:val="007865B8"/>
    <w:rsid w:val="0082325C"/>
    <w:rsid w:val="008B7371"/>
    <w:rsid w:val="008D101D"/>
    <w:rsid w:val="00987251"/>
    <w:rsid w:val="00A25CCF"/>
    <w:rsid w:val="00A546DF"/>
    <w:rsid w:val="00A9054F"/>
    <w:rsid w:val="00B318EF"/>
    <w:rsid w:val="00B536F8"/>
    <w:rsid w:val="00B9163F"/>
    <w:rsid w:val="00BA258A"/>
    <w:rsid w:val="00C32CBE"/>
    <w:rsid w:val="00C45116"/>
    <w:rsid w:val="00DB5E8E"/>
    <w:rsid w:val="00DC2BCA"/>
    <w:rsid w:val="00DF09D7"/>
    <w:rsid w:val="00E26DDA"/>
    <w:rsid w:val="00EB3868"/>
    <w:rsid w:val="00F33110"/>
    <w:rsid w:val="00F5454B"/>
    <w:rsid w:val="00F623FF"/>
    <w:rsid w:val="00FB79E3"/>
    <w:rsid w:val="00FC63EC"/>
    <w:rsid w:val="072975CD"/>
    <w:rsid w:val="0BC57545"/>
    <w:rsid w:val="0EF62CE6"/>
    <w:rsid w:val="12E5449F"/>
    <w:rsid w:val="16F555C7"/>
    <w:rsid w:val="19D20F97"/>
    <w:rsid w:val="1AA71F45"/>
    <w:rsid w:val="1C2E1776"/>
    <w:rsid w:val="32466ECB"/>
    <w:rsid w:val="34E82CBD"/>
    <w:rsid w:val="35384B1F"/>
    <w:rsid w:val="3A7B1061"/>
    <w:rsid w:val="3AEB4024"/>
    <w:rsid w:val="3BAE2BB4"/>
    <w:rsid w:val="3DEC5635"/>
    <w:rsid w:val="40603199"/>
    <w:rsid w:val="53DE14E9"/>
    <w:rsid w:val="589E6192"/>
    <w:rsid w:val="5BF25882"/>
    <w:rsid w:val="649F5443"/>
    <w:rsid w:val="64C12BF3"/>
    <w:rsid w:val="65767064"/>
    <w:rsid w:val="66511A78"/>
    <w:rsid w:val="67190EEF"/>
    <w:rsid w:val="67383C24"/>
    <w:rsid w:val="6B414A90"/>
    <w:rsid w:val="6CD72E84"/>
    <w:rsid w:val="6E170174"/>
    <w:rsid w:val="75C871CD"/>
    <w:rsid w:val="79AF5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B5C117A"/>
  <w15:docId w15:val="{D4C41142-04CB-487D-84F0-91F9509F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beforeLines="50" w:before="156" w:afterLines="50" w:after="156" w:line="360" w:lineRule="auto"/>
      <w:ind w:firstLineChars="200" w:firstLine="480"/>
      <w:jc w:val="both"/>
    </w:pPr>
    <w:rPr>
      <w:rFonts w:ascii="Times New Roman" w:eastAsia="宋体" w:hAnsi="Times New Roman" w:cs="Times New Roman"/>
      <w:sz w:val="24"/>
      <w:szCs w:val="24"/>
    </w:rPr>
  </w:style>
  <w:style w:type="paragraph" w:styleId="2">
    <w:name w:val="heading 2"/>
    <w:basedOn w:val="a"/>
    <w:next w:val="a"/>
    <w:link w:val="20"/>
    <w:uiPriority w:val="9"/>
    <w:unhideWhenUsed/>
    <w:qFormat/>
    <w:pPr>
      <w:ind w:firstLineChars="0" w:firstLine="0"/>
      <w:jc w:val="center"/>
      <w:outlineLvl w:val="1"/>
    </w:pPr>
    <w:rPr>
      <w:rFonts w:ascii="宋体" w:hAnsi="宋体"/>
      <w:b/>
      <w:bCs/>
      <w:color w:val="333333"/>
      <w:sz w:val="30"/>
      <w:szCs w:val="30"/>
      <w:shd w:val="clear" w:color="auto" w:fill="FFFFFF"/>
    </w:rPr>
  </w:style>
  <w:style w:type="paragraph" w:styleId="3">
    <w:name w:val="heading 3"/>
    <w:basedOn w:val="2"/>
    <w:next w:val="a"/>
    <w:link w:val="30"/>
    <w:uiPriority w:val="9"/>
    <w:unhideWhenUsed/>
    <w:qFormat/>
    <w:pPr>
      <w:ind w:firstLine="482"/>
      <w:jc w:val="left"/>
      <w:outlineLvl w:val="2"/>
    </w:pPr>
    <w:rPr>
      <w:sz w:val="24"/>
      <w:szCs w:val="24"/>
    </w:rPr>
  </w:style>
  <w:style w:type="paragraph" w:styleId="4">
    <w:name w:val="heading 4"/>
    <w:basedOn w:val="a"/>
    <w:next w:val="a"/>
    <w:link w:val="40"/>
    <w:uiPriority w:val="9"/>
    <w:unhideWhenUsed/>
    <w:qFormat/>
    <w:pPr>
      <w:ind w:firstLine="482"/>
      <w:outlineLvl w:val="3"/>
    </w:pPr>
    <w:rPr>
      <w:b/>
      <w:bCs/>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before="0" w:after="0" w:line="240" w:lineRule="auto"/>
    </w:pPr>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Lines="0" w:before="100" w:beforeAutospacing="1" w:afterLines="0" w:after="100" w:afterAutospacing="1" w:line="240" w:lineRule="auto"/>
      <w:ind w:firstLineChars="0" w:firstLine="0"/>
      <w:jc w:val="left"/>
    </w:pPr>
    <w:rPr>
      <w:rFonts w:ascii="宋体" w:hAnsi="宋体" w:cs="宋体"/>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20">
    <w:name w:val="标题 2 字符"/>
    <w:basedOn w:val="a0"/>
    <w:link w:val="2"/>
    <w:uiPriority w:val="9"/>
    <w:qFormat/>
    <w:rPr>
      <w:rFonts w:ascii="宋体" w:hAnsi="宋体"/>
      <w:b/>
      <w:bCs/>
      <w:color w:val="333333"/>
      <w:sz w:val="30"/>
      <w:szCs w:val="30"/>
    </w:rPr>
  </w:style>
  <w:style w:type="character" w:customStyle="1" w:styleId="30">
    <w:name w:val="标题 3 字符"/>
    <w:basedOn w:val="a0"/>
    <w:link w:val="3"/>
    <w:uiPriority w:val="9"/>
    <w:rPr>
      <w:rFonts w:ascii="宋体" w:hAnsi="宋体"/>
      <w:b/>
      <w:bCs/>
      <w:color w:val="333333"/>
    </w:rPr>
  </w:style>
  <w:style w:type="character" w:customStyle="1" w:styleId="40">
    <w:name w:val="标题 4 字符"/>
    <w:basedOn w:val="a0"/>
    <w:link w:val="4"/>
    <w:uiPriority w:val="9"/>
    <w:qFormat/>
    <w:rPr>
      <w:b/>
      <w:bCs/>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50">
    <w:name w:val="标题 5 字符"/>
    <w:basedOn w:val="a0"/>
    <w:link w:val="5"/>
    <w:uiPriority w:val="9"/>
    <w:semiHidden/>
    <w:qFormat/>
    <w:rPr>
      <w:b/>
      <w:bCs/>
      <w:sz w:val="28"/>
      <w:szCs w:val="2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YIHE</dc:creator>
  <cp:lastModifiedBy>林玲</cp:lastModifiedBy>
  <cp:revision>14</cp:revision>
  <dcterms:created xsi:type="dcterms:W3CDTF">2020-05-11T04:39:00Z</dcterms:created>
  <dcterms:modified xsi:type="dcterms:W3CDTF">2020-07-20T09:23:00Z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