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E4C52" w14:textId="5153D441" w:rsidR="00470C7C" w:rsidRPr="00417329" w:rsidRDefault="007F215C">
      <w:pPr>
        <w:autoSpaceDE w:val="0"/>
        <w:autoSpaceDN w:val="0"/>
        <w:adjustRightInd w:val="0"/>
        <w:snapToGrid w:val="0"/>
        <w:spacing w:beforeLines="50" w:before="156" w:afterLines="50" w:after="156" w:line="360" w:lineRule="auto"/>
        <w:rPr>
          <w:rFonts w:hAnsi="宋体"/>
          <w:kern w:val="0"/>
          <w:sz w:val="24"/>
          <w:szCs w:val="22"/>
        </w:rPr>
      </w:pPr>
      <w:r>
        <w:rPr>
          <w:rFonts w:hAnsi="宋体" w:hint="eastAsia"/>
          <w:kern w:val="0"/>
          <w:sz w:val="24"/>
          <w:szCs w:val="22"/>
        </w:rPr>
        <w:t>证券代码：</w:t>
      </w:r>
      <w:r>
        <w:rPr>
          <w:rFonts w:hAnsi="宋体" w:hint="eastAsia"/>
          <w:kern w:val="0"/>
          <w:sz w:val="24"/>
          <w:szCs w:val="22"/>
        </w:rPr>
        <w:t>603815</w:t>
      </w:r>
      <w:r>
        <w:rPr>
          <w:rFonts w:hAnsi="宋体"/>
          <w:kern w:val="0"/>
          <w:sz w:val="24"/>
          <w:szCs w:val="22"/>
        </w:rPr>
        <w:t xml:space="preserve">          </w:t>
      </w:r>
      <w:r>
        <w:rPr>
          <w:rFonts w:hAnsi="宋体" w:hint="eastAsia"/>
          <w:kern w:val="0"/>
          <w:sz w:val="24"/>
          <w:szCs w:val="22"/>
        </w:rPr>
        <w:t>证券简称：</w:t>
      </w:r>
      <w:proofErr w:type="gramStart"/>
      <w:r>
        <w:rPr>
          <w:rFonts w:hAnsi="宋体" w:hint="eastAsia"/>
          <w:kern w:val="0"/>
          <w:sz w:val="24"/>
          <w:szCs w:val="22"/>
        </w:rPr>
        <w:t>交建股份</w:t>
      </w:r>
      <w:proofErr w:type="gramEnd"/>
      <w:r>
        <w:rPr>
          <w:rFonts w:hAnsi="宋体" w:hint="eastAsia"/>
          <w:kern w:val="0"/>
          <w:sz w:val="24"/>
          <w:szCs w:val="22"/>
        </w:rPr>
        <w:t xml:space="preserve"> </w:t>
      </w:r>
      <w:r>
        <w:rPr>
          <w:rFonts w:hAnsi="宋体"/>
          <w:kern w:val="0"/>
          <w:sz w:val="24"/>
          <w:szCs w:val="22"/>
        </w:rPr>
        <w:t xml:space="preserve">       </w:t>
      </w:r>
      <w:r w:rsidRPr="00417329">
        <w:rPr>
          <w:rFonts w:hAnsi="宋体"/>
          <w:kern w:val="0"/>
          <w:sz w:val="24"/>
          <w:szCs w:val="22"/>
        </w:rPr>
        <w:t xml:space="preserve">  </w:t>
      </w:r>
      <w:r w:rsidRPr="00417329">
        <w:rPr>
          <w:rFonts w:hAnsi="宋体" w:hint="eastAsia"/>
          <w:kern w:val="0"/>
          <w:sz w:val="24"/>
          <w:szCs w:val="22"/>
        </w:rPr>
        <w:t>公告编号：</w:t>
      </w:r>
      <w:r w:rsidRPr="00417329">
        <w:rPr>
          <w:rFonts w:hAnsi="宋体" w:hint="eastAsia"/>
          <w:kern w:val="0"/>
          <w:sz w:val="24"/>
          <w:szCs w:val="22"/>
        </w:rPr>
        <w:t>2020-</w:t>
      </w:r>
      <w:r w:rsidR="00417329" w:rsidRPr="00417329">
        <w:rPr>
          <w:rFonts w:hAnsi="宋体"/>
          <w:kern w:val="0"/>
          <w:sz w:val="24"/>
          <w:szCs w:val="22"/>
        </w:rPr>
        <w:t>052</w:t>
      </w:r>
    </w:p>
    <w:p w14:paraId="0252A269" w14:textId="77777777" w:rsidR="00470C7C" w:rsidRDefault="00470C7C">
      <w:pPr>
        <w:autoSpaceDE w:val="0"/>
        <w:autoSpaceDN w:val="0"/>
        <w:adjustRightInd w:val="0"/>
        <w:snapToGrid w:val="0"/>
        <w:spacing w:beforeLines="50" w:before="156" w:afterLines="50" w:after="156" w:line="360" w:lineRule="auto"/>
        <w:jc w:val="center"/>
        <w:rPr>
          <w:rFonts w:ascii="宋体" w:hAnsi="宋体"/>
          <w:b/>
          <w:bCs/>
          <w:sz w:val="32"/>
          <w:szCs w:val="22"/>
        </w:rPr>
      </w:pPr>
    </w:p>
    <w:p w14:paraId="372D4799" w14:textId="77777777" w:rsidR="00470C7C" w:rsidRDefault="007F215C">
      <w:pPr>
        <w:autoSpaceDE w:val="0"/>
        <w:autoSpaceDN w:val="0"/>
        <w:adjustRightInd w:val="0"/>
        <w:snapToGrid w:val="0"/>
        <w:spacing w:beforeLines="50" w:before="156" w:afterLines="50" w:after="156" w:line="360" w:lineRule="auto"/>
        <w:jc w:val="center"/>
        <w:rPr>
          <w:rFonts w:ascii="宋体" w:eastAsia="黑体" w:hAnsi="宋体"/>
          <w:b/>
          <w:bCs/>
          <w:sz w:val="36"/>
          <w:szCs w:val="36"/>
        </w:rPr>
      </w:pPr>
      <w:bookmarkStart w:id="0" w:name="_Hlk44487878"/>
      <w:r>
        <w:rPr>
          <w:rFonts w:ascii="宋体" w:eastAsia="黑体" w:hAnsi="宋体" w:hint="eastAsia"/>
          <w:b/>
          <w:bCs/>
          <w:sz w:val="36"/>
          <w:szCs w:val="36"/>
        </w:rPr>
        <w:t>安徽省交通建设</w:t>
      </w:r>
      <w:r>
        <w:rPr>
          <w:rFonts w:ascii="宋体" w:eastAsia="黑体" w:hAnsi="宋体"/>
          <w:b/>
          <w:bCs/>
          <w:sz w:val="36"/>
          <w:szCs w:val="36"/>
        </w:rPr>
        <w:t>股份有限公司</w:t>
      </w:r>
    </w:p>
    <w:bookmarkEnd w:id="0"/>
    <w:p w14:paraId="5F208DED" w14:textId="77777777" w:rsidR="00470C7C" w:rsidRDefault="007F215C">
      <w:pPr>
        <w:autoSpaceDE w:val="0"/>
        <w:autoSpaceDN w:val="0"/>
        <w:adjustRightInd w:val="0"/>
        <w:snapToGrid w:val="0"/>
        <w:spacing w:beforeLines="50" w:before="156" w:afterLines="50" w:after="156" w:line="360" w:lineRule="auto"/>
        <w:jc w:val="center"/>
        <w:rPr>
          <w:rFonts w:ascii="宋体" w:eastAsia="黑体" w:hAnsi="宋体"/>
          <w:b/>
          <w:bCs/>
          <w:sz w:val="36"/>
          <w:szCs w:val="36"/>
        </w:rPr>
      </w:pPr>
      <w:r>
        <w:rPr>
          <w:rFonts w:ascii="宋体" w:eastAsia="黑体" w:hAnsi="宋体" w:hint="eastAsia"/>
          <w:b/>
          <w:bCs/>
          <w:sz w:val="36"/>
          <w:szCs w:val="36"/>
        </w:rPr>
        <w:t>董事、高级管理人员</w:t>
      </w:r>
      <w:bookmarkStart w:id="1" w:name="_Hlk44491624"/>
      <w:r>
        <w:rPr>
          <w:rFonts w:ascii="宋体" w:eastAsia="黑体" w:hAnsi="宋体" w:hint="eastAsia"/>
          <w:b/>
          <w:bCs/>
          <w:sz w:val="36"/>
          <w:szCs w:val="36"/>
        </w:rPr>
        <w:t>及控股股东、实际控制人关于</w:t>
      </w:r>
    </w:p>
    <w:p w14:paraId="7EF1A9AA" w14:textId="640E123B" w:rsidR="00470C7C" w:rsidRDefault="007F215C">
      <w:pPr>
        <w:autoSpaceDE w:val="0"/>
        <w:autoSpaceDN w:val="0"/>
        <w:adjustRightInd w:val="0"/>
        <w:snapToGrid w:val="0"/>
        <w:spacing w:beforeLines="50" w:before="156" w:afterLines="50" w:after="156" w:line="360" w:lineRule="auto"/>
        <w:jc w:val="center"/>
        <w:rPr>
          <w:rFonts w:ascii="宋体" w:eastAsia="黑体" w:hAnsi="宋体"/>
          <w:b/>
          <w:bCs/>
          <w:sz w:val="36"/>
          <w:szCs w:val="36"/>
        </w:rPr>
      </w:pPr>
      <w:r>
        <w:rPr>
          <w:rFonts w:ascii="宋体" w:eastAsia="黑体" w:hAnsi="宋体" w:hint="eastAsia"/>
          <w:b/>
          <w:bCs/>
          <w:sz w:val="36"/>
          <w:szCs w:val="36"/>
        </w:rPr>
        <w:t>本次非公开发行股票摊薄即期回报及填补</w:t>
      </w:r>
      <w:r w:rsidR="003D6FC6">
        <w:rPr>
          <w:rFonts w:ascii="宋体" w:eastAsia="黑体" w:hAnsi="宋体" w:hint="eastAsia"/>
          <w:b/>
          <w:bCs/>
          <w:sz w:val="36"/>
          <w:szCs w:val="36"/>
        </w:rPr>
        <w:t>回报</w:t>
      </w:r>
      <w:r>
        <w:rPr>
          <w:rFonts w:ascii="宋体" w:eastAsia="黑体" w:hAnsi="宋体" w:hint="eastAsia"/>
          <w:b/>
          <w:bCs/>
          <w:sz w:val="36"/>
          <w:szCs w:val="36"/>
        </w:rPr>
        <w:t>措施的</w:t>
      </w:r>
    </w:p>
    <w:p w14:paraId="1806E688" w14:textId="77777777" w:rsidR="00470C7C" w:rsidRDefault="007F215C">
      <w:pPr>
        <w:autoSpaceDE w:val="0"/>
        <w:autoSpaceDN w:val="0"/>
        <w:adjustRightInd w:val="0"/>
        <w:snapToGrid w:val="0"/>
        <w:spacing w:beforeLines="50" w:before="156" w:afterLines="50" w:after="156" w:line="360" w:lineRule="auto"/>
        <w:jc w:val="center"/>
        <w:rPr>
          <w:rFonts w:ascii="宋体" w:eastAsia="黑体" w:hAnsi="宋体"/>
          <w:b/>
          <w:bCs/>
          <w:sz w:val="36"/>
          <w:szCs w:val="36"/>
        </w:rPr>
      </w:pPr>
      <w:r>
        <w:rPr>
          <w:rFonts w:ascii="宋体" w:eastAsia="黑体" w:hAnsi="宋体"/>
          <w:b/>
          <w:bCs/>
          <w:noProof/>
          <w:sz w:val="36"/>
          <w:szCs w:val="36"/>
        </w:rPr>
        <mc:AlternateContent>
          <mc:Choice Requires="wps">
            <w:drawing>
              <wp:anchor distT="45720" distB="45720" distL="114300" distR="114300" simplePos="0" relativeHeight="251661312" behindDoc="0" locked="0" layoutInCell="1" allowOverlap="1" wp14:anchorId="35204CBC" wp14:editId="332CA356">
                <wp:simplePos x="0" y="0"/>
                <wp:positionH relativeFrom="column">
                  <wp:posOffset>-3810</wp:posOffset>
                </wp:positionH>
                <wp:positionV relativeFrom="paragraph">
                  <wp:posOffset>765810</wp:posOffset>
                </wp:positionV>
                <wp:extent cx="5494655" cy="950595"/>
                <wp:effectExtent l="4445" t="4445" r="12700" b="10160"/>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950595"/>
                        </a:xfrm>
                        <a:prstGeom prst="rect">
                          <a:avLst/>
                        </a:prstGeom>
                        <a:solidFill>
                          <a:srgbClr val="FFFFFF"/>
                        </a:solidFill>
                        <a:ln w="9525">
                          <a:solidFill>
                            <a:srgbClr val="000000"/>
                          </a:solidFill>
                          <a:miter lim="800000"/>
                        </a:ln>
                      </wps:spPr>
                      <wps:txbx>
                        <w:txbxContent>
                          <w:p w14:paraId="20613A60" w14:textId="77777777" w:rsidR="00470C7C" w:rsidRDefault="007F215C">
                            <w:pPr>
                              <w:autoSpaceDE w:val="0"/>
                              <w:autoSpaceDN w:val="0"/>
                              <w:adjustRightInd w:val="0"/>
                              <w:snapToGrid w:val="0"/>
                              <w:spacing w:beforeLines="50" w:before="156" w:afterLines="50" w:after="156" w:line="480" w:lineRule="auto"/>
                              <w:ind w:firstLineChars="200" w:firstLine="480"/>
                              <w:rPr>
                                <w:rFonts w:ascii="宋体" w:hAnsi="宋体"/>
                                <w:b/>
                                <w:bCs/>
                                <w:sz w:val="32"/>
                                <w:szCs w:val="22"/>
                              </w:rPr>
                            </w:pPr>
                            <w:r>
                              <w:rPr>
                                <w:rFonts w:hAnsi="宋体" w:hint="eastAsia"/>
                                <w:kern w:val="0"/>
                                <w:sz w:val="24"/>
                                <w:szCs w:val="22"/>
                              </w:rPr>
                              <w:t>本公司董事会及全体董事保证本公告内容不存在任何虚假记载、误导性陈述或者重大遗漏，并对其内容的真实性、准确性和完整性承担个别及连带责任。</w:t>
                            </w:r>
                          </w:p>
                          <w:p w14:paraId="4D093AA2" w14:textId="77777777" w:rsidR="00470C7C" w:rsidRDefault="00470C7C"/>
                        </w:txbxContent>
                      </wps:txbx>
                      <wps:bodyPr rot="0" vert="horz" wrap="square" lIns="91440" tIns="45720" rIns="91440" bIns="45720" anchor="t" anchorCtr="0">
                        <a:noAutofit/>
                      </wps:bodyPr>
                    </wps:wsp>
                  </a:graphicData>
                </a:graphic>
              </wp:anchor>
            </w:drawing>
          </mc:Choice>
          <mc:Fallback>
            <w:pict>
              <v:shapetype w14:anchorId="35204CBC" id="_x0000_t202" coordsize="21600,21600" o:spt="202" path="m,l,21600r21600,l21600,xe">
                <v:stroke joinstyle="miter"/>
                <v:path gradientshapeok="t" o:connecttype="rect"/>
              </v:shapetype>
              <v:shape id="文本框 2" o:spid="_x0000_s1026" type="#_x0000_t202" style="position:absolute;left:0;text-align:left;margin-left:-.3pt;margin-top:60.3pt;width:432.65pt;height:74.8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">
                <v:textbox>
                  <w:txbxContent>
                    <w:p w14:paraId="20613A60" w14:textId="77777777" w:rsidR="00470C7C" w:rsidRDefault="007F215C">
                      <w:pPr>
                        <w:autoSpaceDE w:val="0"/>
                        <w:autoSpaceDN w:val="0"/>
                        <w:adjustRightInd w:val="0"/>
                        <w:snapToGrid w:val="0"/>
                        <w:spacing w:beforeLines="50" w:before="156" w:afterLines="50" w:after="156" w:line="480" w:lineRule="auto"/>
                        <w:ind w:firstLineChars="200" w:firstLine="480"/>
                        <w:rPr>
                          <w:rFonts w:ascii="宋体" w:hAnsi="宋体"/>
                          <w:b/>
                          <w:bCs/>
                          <w:sz w:val="32"/>
                          <w:szCs w:val="22"/>
                        </w:rPr>
                      </w:pPr>
                      <w:r>
                        <w:rPr>
                          <w:rFonts w:hAnsi="宋体" w:hint="eastAsia"/>
                          <w:kern w:val="0"/>
                          <w:sz w:val="24"/>
                          <w:szCs w:val="22"/>
                        </w:rPr>
                        <w:t>本公司董事会及全体董事保证本公告内容不存在任何虚假记载、误导性陈述或者重大遗漏，并对其内容的真实性、准确性和完整性承担个别及连带责任。</w:t>
                      </w:r>
                    </w:p>
                    <w:p w14:paraId="4D093AA2" w14:textId="77777777" w:rsidR="00470C7C" w:rsidRDefault="00470C7C"/>
                  </w:txbxContent>
                </v:textbox>
                <w10:wrap type="square"/>
              </v:shape>
            </w:pict>
          </mc:Fallback>
        </mc:AlternateContent>
      </w:r>
      <w:r>
        <w:rPr>
          <w:rFonts w:ascii="宋体" w:eastAsia="黑体" w:hAnsi="宋体" w:hint="eastAsia"/>
          <w:b/>
          <w:bCs/>
          <w:sz w:val="36"/>
          <w:szCs w:val="36"/>
        </w:rPr>
        <w:t>承诺的公告</w:t>
      </w:r>
    </w:p>
    <w:p w14:paraId="5BC6A7FA" w14:textId="77777777" w:rsidR="00470C7C" w:rsidRDefault="00470C7C">
      <w:pPr>
        <w:widowControl/>
        <w:adjustRightInd w:val="0"/>
        <w:snapToGrid w:val="0"/>
        <w:spacing w:beforeLines="50" w:before="156" w:line="360" w:lineRule="auto"/>
        <w:ind w:firstLine="476"/>
        <w:rPr>
          <w:rFonts w:ascii="宋体" w:hAnsi="宋体"/>
          <w:kern w:val="0"/>
          <w:sz w:val="24"/>
          <w:szCs w:val="22"/>
        </w:rPr>
      </w:pPr>
      <w:bookmarkStart w:id="2" w:name="_Hlk44491720"/>
      <w:bookmarkEnd w:id="1"/>
    </w:p>
    <w:p w14:paraId="6F2700FA" w14:textId="1B0C4431" w:rsidR="00470C7C" w:rsidRDefault="007F215C">
      <w:pPr>
        <w:widowControl/>
        <w:adjustRightInd w:val="0"/>
        <w:snapToGrid w:val="0"/>
        <w:spacing w:beforeLines="50" w:before="156" w:afterLines="50" w:after="156" w:line="360" w:lineRule="auto"/>
        <w:ind w:firstLine="476"/>
        <w:rPr>
          <w:rFonts w:ascii="宋体" w:hAnsi="宋体"/>
          <w:kern w:val="0"/>
          <w:sz w:val="24"/>
          <w:szCs w:val="22"/>
        </w:rPr>
      </w:pPr>
      <w:r>
        <w:rPr>
          <w:rFonts w:ascii="宋体" w:hAnsi="宋体" w:hint="eastAsia"/>
          <w:kern w:val="0"/>
          <w:sz w:val="24"/>
          <w:szCs w:val="22"/>
        </w:rPr>
        <w:t>安徽省交通建设股份有限公司（以下简称“公司”）</w:t>
      </w:r>
      <w:proofErr w:type="gramStart"/>
      <w:r>
        <w:rPr>
          <w:rFonts w:ascii="宋体" w:hAnsi="宋体" w:hint="eastAsia"/>
          <w:kern w:val="0"/>
          <w:sz w:val="24"/>
          <w:szCs w:val="22"/>
        </w:rPr>
        <w:t>拟非公开</w:t>
      </w:r>
      <w:proofErr w:type="gramEnd"/>
      <w:r>
        <w:rPr>
          <w:rFonts w:ascii="宋体" w:hAnsi="宋体" w:hint="eastAsia"/>
          <w:kern w:val="0"/>
          <w:sz w:val="24"/>
          <w:szCs w:val="22"/>
        </w:rPr>
        <w:t>发行股票（以下简称“本次非公开发行”）。</w:t>
      </w:r>
      <w:bookmarkEnd w:id="2"/>
      <w:r>
        <w:rPr>
          <w:rFonts w:ascii="宋体" w:hAnsi="宋体"/>
          <w:kern w:val="0"/>
          <w:sz w:val="24"/>
          <w:szCs w:val="22"/>
        </w:rPr>
        <w:t>根据《国务院办公厅关于进一步加强资本市场中小投资者合法权益保护工作的意见》（国办发[2013]110号）</w:t>
      </w:r>
      <w:r>
        <w:rPr>
          <w:rFonts w:ascii="宋体" w:hAnsi="宋体" w:hint="eastAsia"/>
          <w:kern w:val="0"/>
          <w:sz w:val="24"/>
          <w:szCs w:val="22"/>
        </w:rPr>
        <w:t>、《国务院关于进一步促进资本市场健康发展的若干意见》（国发[2014]17号）和</w:t>
      </w:r>
      <w:r>
        <w:rPr>
          <w:rFonts w:ascii="宋体" w:hAnsi="宋体"/>
          <w:kern w:val="0"/>
          <w:sz w:val="24"/>
          <w:szCs w:val="22"/>
        </w:rPr>
        <w:t>中国证券监督管理委员会《关于首发及再融资、重大资产重组摊薄即期回报有关事项的指导意见》（证监会公告[2015]31</w:t>
      </w:r>
      <w:r>
        <w:rPr>
          <w:rFonts w:ascii="宋体" w:hAnsi="宋体" w:hint="eastAsia"/>
          <w:kern w:val="0"/>
          <w:sz w:val="24"/>
          <w:szCs w:val="22"/>
        </w:rPr>
        <w:t>号）等文件的有关规定，公司就本次非公开发行股票事宜对即期回报摊薄的影响进行了认真分析并提出了具体的填补回报措施。为维护广大投资者的利益，相关主体对公司本次非公开发行摊薄即期回报及填补</w:t>
      </w:r>
      <w:r w:rsidR="003D6FC6">
        <w:rPr>
          <w:rFonts w:ascii="宋体" w:hAnsi="宋体" w:hint="eastAsia"/>
          <w:kern w:val="0"/>
          <w:sz w:val="24"/>
          <w:szCs w:val="22"/>
        </w:rPr>
        <w:t>回报</w:t>
      </w:r>
      <w:r>
        <w:rPr>
          <w:rFonts w:ascii="宋体" w:hAnsi="宋体" w:hint="eastAsia"/>
          <w:kern w:val="0"/>
          <w:sz w:val="24"/>
          <w:szCs w:val="22"/>
        </w:rPr>
        <w:t>措施事宜</w:t>
      </w:r>
      <w:proofErr w:type="gramStart"/>
      <w:r>
        <w:rPr>
          <w:rFonts w:ascii="宋体" w:hAnsi="宋体" w:hint="eastAsia"/>
          <w:kern w:val="0"/>
          <w:sz w:val="24"/>
          <w:szCs w:val="22"/>
        </w:rPr>
        <w:t>作出</w:t>
      </w:r>
      <w:proofErr w:type="gramEnd"/>
      <w:r>
        <w:rPr>
          <w:rFonts w:ascii="宋体" w:hAnsi="宋体" w:hint="eastAsia"/>
          <w:kern w:val="0"/>
          <w:sz w:val="24"/>
          <w:szCs w:val="22"/>
        </w:rPr>
        <w:t>了承诺，具体情况如下：</w:t>
      </w:r>
    </w:p>
    <w:p w14:paraId="465D6AE2" w14:textId="54751074" w:rsidR="00470C7C" w:rsidRPr="002E4B27" w:rsidRDefault="007F215C">
      <w:pPr>
        <w:widowControl/>
        <w:spacing w:beforeLines="50" w:before="156" w:afterLines="50" w:after="156" w:line="360" w:lineRule="auto"/>
        <w:ind w:firstLine="476"/>
        <w:rPr>
          <w:rFonts w:ascii="宋体" w:hAnsi="宋体"/>
          <w:b/>
          <w:bCs/>
          <w:kern w:val="0"/>
          <w:sz w:val="24"/>
          <w:szCs w:val="22"/>
        </w:rPr>
      </w:pPr>
      <w:r w:rsidRPr="002E4B27">
        <w:rPr>
          <w:rFonts w:ascii="宋体" w:hAnsi="宋体" w:hint="eastAsia"/>
          <w:b/>
          <w:bCs/>
          <w:kern w:val="0"/>
          <w:sz w:val="24"/>
          <w:szCs w:val="22"/>
        </w:rPr>
        <w:t>一、公司董事、高级管理人员关于非公开发行股票摊薄即期回报采取填补</w:t>
      </w:r>
      <w:r w:rsidR="003D6FC6" w:rsidRPr="002E4B27">
        <w:rPr>
          <w:rFonts w:ascii="宋体" w:hAnsi="宋体" w:hint="eastAsia"/>
          <w:b/>
          <w:bCs/>
          <w:kern w:val="0"/>
          <w:sz w:val="24"/>
          <w:szCs w:val="22"/>
        </w:rPr>
        <w:t>回报</w:t>
      </w:r>
      <w:r w:rsidRPr="002E4B27">
        <w:rPr>
          <w:rFonts w:ascii="宋体" w:hAnsi="宋体" w:hint="eastAsia"/>
          <w:b/>
          <w:bCs/>
          <w:kern w:val="0"/>
          <w:sz w:val="24"/>
          <w:szCs w:val="22"/>
        </w:rPr>
        <w:t>措施的承诺</w:t>
      </w:r>
    </w:p>
    <w:p w14:paraId="08DA47E2" w14:textId="77777777" w:rsidR="00470C7C" w:rsidRDefault="007F215C">
      <w:pPr>
        <w:widowControl/>
        <w:spacing w:beforeLines="50" w:before="156" w:afterLines="50" w:after="156" w:line="360" w:lineRule="auto"/>
        <w:ind w:firstLine="476"/>
        <w:rPr>
          <w:rFonts w:ascii="宋体" w:hAnsi="宋体"/>
          <w:kern w:val="0"/>
          <w:sz w:val="24"/>
          <w:szCs w:val="22"/>
        </w:rPr>
      </w:pPr>
      <w:r>
        <w:rPr>
          <w:rFonts w:ascii="宋体" w:hAnsi="宋体" w:hint="eastAsia"/>
          <w:kern w:val="0"/>
          <w:sz w:val="24"/>
          <w:szCs w:val="22"/>
        </w:rPr>
        <w:lastRenderedPageBreak/>
        <w:t>公司董事、高级管理人员将忠实、勤勉地履行职责，维护公司和全体股东的合法权益，并根据中国证监会相关规定对公司填补即期回报措施能够得到切实履行</w:t>
      </w:r>
      <w:proofErr w:type="gramStart"/>
      <w:r>
        <w:rPr>
          <w:rFonts w:ascii="宋体" w:hAnsi="宋体" w:hint="eastAsia"/>
          <w:kern w:val="0"/>
          <w:sz w:val="24"/>
          <w:szCs w:val="22"/>
        </w:rPr>
        <w:t>作出</w:t>
      </w:r>
      <w:proofErr w:type="gramEnd"/>
      <w:r>
        <w:rPr>
          <w:rFonts w:ascii="宋体" w:hAnsi="宋体" w:hint="eastAsia"/>
          <w:kern w:val="0"/>
          <w:sz w:val="24"/>
          <w:szCs w:val="22"/>
        </w:rPr>
        <w:t>如下承诺：</w:t>
      </w:r>
    </w:p>
    <w:p w14:paraId="39044C2B" w14:textId="77777777" w:rsidR="00470C7C" w:rsidRDefault="007F215C">
      <w:pPr>
        <w:widowControl/>
        <w:spacing w:beforeLines="50" w:before="156" w:afterLines="50" w:after="156" w:line="360" w:lineRule="auto"/>
        <w:ind w:firstLine="476"/>
        <w:rPr>
          <w:rFonts w:ascii="宋体" w:hAnsi="宋体"/>
          <w:kern w:val="0"/>
          <w:sz w:val="24"/>
          <w:szCs w:val="22"/>
        </w:rPr>
      </w:pPr>
      <w:r>
        <w:rPr>
          <w:kern w:val="0"/>
          <w:sz w:val="24"/>
          <w:szCs w:val="22"/>
        </w:rPr>
        <w:t>1</w:t>
      </w:r>
      <w:r>
        <w:rPr>
          <w:kern w:val="0"/>
          <w:sz w:val="24"/>
          <w:szCs w:val="22"/>
        </w:rPr>
        <w:t>、</w:t>
      </w:r>
      <w:r>
        <w:rPr>
          <w:rFonts w:ascii="宋体" w:hAnsi="宋体" w:hint="eastAsia"/>
          <w:kern w:val="0"/>
          <w:sz w:val="24"/>
          <w:szCs w:val="22"/>
        </w:rPr>
        <w:t>本人承诺</w:t>
      </w:r>
      <w:proofErr w:type="gramStart"/>
      <w:r>
        <w:rPr>
          <w:rFonts w:ascii="宋体" w:hAnsi="宋体" w:hint="eastAsia"/>
          <w:kern w:val="0"/>
          <w:sz w:val="24"/>
          <w:szCs w:val="22"/>
        </w:rPr>
        <w:t>不</w:t>
      </w:r>
      <w:proofErr w:type="gramEnd"/>
      <w:r>
        <w:rPr>
          <w:rFonts w:ascii="宋体" w:hAnsi="宋体" w:hint="eastAsia"/>
          <w:kern w:val="0"/>
          <w:sz w:val="24"/>
          <w:szCs w:val="22"/>
        </w:rPr>
        <w:t>无偿或以不公平条件向其他单位或者个人输送利益，也不采用其他方式损害公司利益；</w:t>
      </w:r>
    </w:p>
    <w:p w14:paraId="74EAE7C2" w14:textId="77777777" w:rsidR="00470C7C" w:rsidRDefault="007F215C">
      <w:pPr>
        <w:widowControl/>
        <w:spacing w:beforeLines="50" w:before="156" w:afterLines="50" w:after="156" w:line="360" w:lineRule="auto"/>
        <w:ind w:firstLine="476"/>
        <w:rPr>
          <w:rFonts w:ascii="宋体" w:hAnsi="宋体"/>
          <w:kern w:val="0"/>
          <w:sz w:val="24"/>
          <w:szCs w:val="22"/>
        </w:rPr>
      </w:pPr>
      <w:r>
        <w:rPr>
          <w:rFonts w:hint="eastAsia"/>
          <w:kern w:val="0"/>
          <w:sz w:val="24"/>
          <w:szCs w:val="22"/>
        </w:rPr>
        <w:t>2</w:t>
      </w:r>
      <w:r>
        <w:rPr>
          <w:rFonts w:hint="eastAsia"/>
          <w:kern w:val="0"/>
          <w:sz w:val="24"/>
          <w:szCs w:val="22"/>
        </w:rPr>
        <w:t>、</w:t>
      </w:r>
      <w:r>
        <w:rPr>
          <w:rFonts w:ascii="宋体" w:hAnsi="宋体" w:hint="eastAsia"/>
          <w:kern w:val="0"/>
          <w:sz w:val="24"/>
          <w:szCs w:val="22"/>
        </w:rPr>
        <w:t>本人承诺对本人的职务消费行为进行约束；</w:t>
      </w:r>
    </w:p>
    <w:p w14:paraId="72C9EB05" w14:textId="77777777" w:rsidR="00470C7C" w:rsidRDefault="007F215C">
      <w:pPr>
        <w:widowControl/>
        <w:spacing w:beforeLines="50" w:before="156" w:afterLines="50" w:after="156" w:line="360" w:lineRule="auto"/>
        <w:ind w:firstLine="476"/>
        <w:rPr>
          <w:rFonts w:ascii="宋体" w:hAnsi="宋体"/>
          <w:kern w:val="0"/>
          <w:sz w:val="24"/>
          <w:szCs w:val="22"/>
        </w:rPr>
      </w:pPr>
      <w:r>
        <w:rPr>
          <w:rFonts w:hint="eastAsia"/>
          <w:kern w:val="0"/>
          <w:sz w:val="24"/>
          <w:szCs w:val="22"/>
        </w:rPr>
        <w:t>3</w:t>
      </w:r>
      <w:r>
        <w:rPr>
          <w:rFonts w:hint="eastAsia"/>
          <w:kern w:val="0"/>
          <w:sz w:val="24"/>
          <w:szCs w:val="22"/>
        </w:rPr>
        <w:t>、</w:t>
      </w:r>
      <w:r>
        <w:rPr>
          <w:rFonts w:ascii="宋体" w:hAnsi="宋体" w:hint="eastAsia"/>
          <w:kern w:val="0"/>
          <w:sz w:val="24"/>
          <w:szCs w:val="22"/>
        </w:rPr>
        <w:t>本人承诺不动用公司资产从事与本人履行职责无关的投资、消费活动；</w:t>
      </w:r>
    </w:p>
    <w:p w14:paraId="474A0E3C" w14:textId="77777777" w:rsidR="00470C7C" w:rsidRDefault="007F215C">
      <w:pPr>
        <w:widowControl/>
        <w:spacing w:beforeLines="50" w:before="156" w:afterLines="50" w:after="156" w:line="360" w:lineRule="auto"/>
        <w:ind w:firstLine="476"/>
        <w:rPr>
          <w:rFonts w:ascii="宋体" w:hAnsi="宋体"/>
          <w:kern w:val="0"/>
          <w:sz w:val="24"/>
          <w:szCs w:val="22"/>
        </w:rPr>
      </w:pPr>
      <w:r>
        <w:rPr>
          <w:rFonts w:hint="eastAsia"/>
          <w:kern w:val="0"/>
          <w:sz w:val="24"/>
          <w:szCs w:val="22"/>
        </w:rPr>
        <w:t>4</w:t>
      </w:r>
      <w:r>
        <w:rPr>
          <w:rFonts w:hint="eastAsia"/>
          <w:kern w:val="0"/>
          <w:sz w:val="24"/>
          <w:szCs w:val="22"/>
        </w:rPr>
        <w:t>、</w:t>
      </w:r>
      <w:r>
        <w:rPr>
          <w:rFonts w:ascii="宋体" w:hAnsi="宋体" w:hint="eastAsia"/>
          <w:kern w:val="0"/>
          <w:sz w:val="24"/>
          <w:szCs w:val="22"/>
        </w:rPr>
        <w:t>本人承诺由董事会或薪酬委员会制定的薪酬制度与公司填补回报措施的执行情况相挂钩；</w:t>
      </w:r>
    </w:p>
    <w:p w14:paraId="7F10F187" w14:textId="77777777" w:rsidR="00470C7C" w:rsidRDefault="007F215C">
      <w:pPr>
        <w:widowControl/>
        <w:spacing w:beforeLines="50" w:before="156" w:afterLines="50" w:after="156" w:line="360" w:lineRule="auto"/>
        <w:ind w:firstLine="476"/>
        <w:rPr>
          <w:rFonts w:ascii="宋体" w:hAnsi="宋体"/>
          <w:kern w:val="0"/>
          <w:sz w:val="24"/>
          <w:szCs w:val="22"/>
        </w:rPr>
      </w:pPr>
      <w:r>
        <w:rPr>
          <w:rFonts w:hint="eastAsia"/>
          <w:kern w:val="0"/>
          <w:sz w:val="24"/>
          <w:szCs w:val="22"/>
        </w:rPr>
        <w:t>5</w:t>
      </w:r>
      <w:r>
        <w:rPr>
          <w:rFonts w:hint="eastAsia"/>
          <w:kern w:val="0"/>
          <w:sz w:val="24"/>
          <w:szCs w:val="22"/>
        </w:rPr>
        <w:t>、</w:t>
      </w:r>
      <w:r>
        <w:rPr>
          <w:rFonts w:ascii="宋体" w:hAnsi="宋体" w:hint="eastAsia"/>
          <w:kern w:val="0"/>
          <w:sz w:val="24"/>
          <w:szCs w:val="22"/>
        </w:rPr>
        <w:t>未来公司如实施股权激励，本人承诺未来股权激励方案的行权条件将与公司填补回报措施的执行情况相挂钩；</w:t>
      </w:r>
    </w:p>
    <w:p w14:paraId="480ED129" w14:textId="77777777" w:rsidR="00470C7C" w:rsidRDefault="007F215C">
      <w:pPr>
        <w:widowControl/>
        <w:spacing w:beforeLines="50" w:before="156" w:afterLines="50" w:after="156" w:line="360" w:lineRule="auto"/>
        <w:ind w:firstLine="476"/>
        <w:rPr>
          <w:rFonts w:ascii="宋体" w:hAnsi="宋体"/>
          <w:kern w:val="0"/>
          <w:sz w:val="24"/>
          <w:szCs w:val="22"/>
        </w:rPr>
      </w:pPr>
      <w:r>
        <w:rPr>
          <w:rFonts w:hint="eastAsia"/>
          <w:kern w:val="0"/>
          <w:sz w:val="24"/>
          <w:szCs w:val="22"/>
        </w:rPr>
        <w:t>6</w:t>
      </w:r>
      <w:r>
        <w:rPr>
          <w:rFonts w:hint="eastAsia"/>
          <w:kern w:val="0"/>
          <w:sz w:val="24"/>
          <w:szCs w:val="22"/>
        </w:rPr>
        <w:t>、</w:t>
      </w:r>
      <w:r>
        <w:rPr>
          <w:rFonts w:ascii="宋体" w:hAnsi="宋体" w:hint="eastAsia"/>
          <w:kern w:val="0"/>
          <w:sz w:val="24"/>
          <w:szCs w:val="22"/>
        </w:rPr>
        <w:t>自</w:t>
      </w:r>
      <w:proofErr w:type="gramStart"/>
      <w:r>
        <w:rPr>
          <w:rFonts w:ascii="宋体" w:hAnsi="宋体" w:hint="eastAsia"/>
          <w:kern w:val="0"/>
          <w:sz w:val="24"/>
          <w:szCs w:val="22"/>
        </w:rPr>
        <w:t>本承诺</w:t>
      </w:r>
      <w:proofErr w:type="gramEnd"/>
      <w:r>
        <w:rPr>
          <w:rFonts w:ascii="宋体" w:hAnsi="宋体" w:hint="eastAsia"/>
          <w:kern w:val="0"/>
          <w:sz w:val="24"/>
          <w:szCs w:val="22"/>
        </w:rPr>
        <w:t>出具日至公司本次非公开发行股票实施完毕前，若中国证监会</w:t>
      </w:r>
      <w:proofErr w:type="gramStart"/>
      <w:r>
        <w:rPr>
          <w:rFonts w:ascii="宋体" w:hAnsi="宋体" w:hint="eastAsia"/>
          <w:kern w:val="0"/>
          <w:sz w:val="24"/>
          <w:szCs w:val="22"/>
        </w:rPr>
        <w:t>作出</w:t>
      </w:r>
      <w:proofErr w:type="gramEnd"/>
      <w:r>
        <w:rPr>
          <w:rFonts w:ascii="宋体" w:hAnsi="宋体" w:hint="eastAsia"/>
          <w:kern w:val="0"/>
          <w:sz w:val="24"/>
          <w:szCs w:val="22"/>
        </w:rPr>
        <w:t>关于填补回报措施及其承诺的其他新的监管规定的，且上述承诺不能满足中国证监会该等规定时，本人承诺届时将按照中国证监会的最新规定出具补充承诺。</w:t>
      </w:r>
    </w:p>
    <w:p w14:paraId="7B7AFB51" w14:textId="77777777" w:rsidR="00470C7C" w:rsidRDefault="007F215C">
      <w:pPr>
        <w:widowControl/>
        <w:spacing w:beforeLines="50" w:before="156" w:afterLines="50" w:after="156" w:line="360" w:lineRule="auto"/>
        <w:ind w:firstLine="476"/>
        <w:rPr>
          <w:rFonts w:ascii="宋体" w:hAnsi="宋体"/>
          <w:kern w:val="0"/>
          <w:sz w:val="24"/>
          <w:szCs w:val="22"/>
        </w:rPr>
      </w:pPr>
      <w:r>
        <w:rPr>
          <w:rFonts w:ascii="宋体" w:hAnsi="宋体" w:hint="eastAsia"/>
          <w:kern w:val="0"/>
          <w:sz w:val="24"/>
          <w:szCs w:val="22"/>
        </w:rPr>
        <w:t>作为填补回报措施相关责任主体之一，本人若违反上述承诺或拒不履行上述承诺，本人同意接受中国证监会和上海证券交易所等证券监管机构按照其制定或发布的有关规定、规则，对本人</w:t>
      </w:r>
      <w:proofErr w:type="gramStart"/>
      <w:r>
        <w:rPr>
          <w:rFonts w:ascii="宋体" w:hAnsi="宋体" w:hint="eastAsia"/>
          <w:kern w:val="0"/>
          <w:sz w:val="24"/>
          <w:szCs w:val="22"/>
        </w:rPr>
        <w:t>作出</w:t>
      </w:r>
      <w:proofErr w:type="gramEnd"/>
      <w:r>
        <w:rPr>
          <w:rFonts w:ascii="宋体" w:hAnsi="宋体" w:hint="eastAsia"/>
          <w:kern w:val="0"/>
          <w:sz w:val="24"/>
          <w:szCs w:val="22"/>
        </w:rPr>
        <w:t>相关处罚或采取相关管理措施，并愿意承担相应的法律责任。</w:t>
      </w:r>
    </w:p>
    <w:p w14:paraId="38084212" w14:textId="15840B73" w:rsidR="00470C7C" w:rsidRPr="002E4B27" w:rsidRDefault="007F215C">
      <w:pPr>
        <w:widowControl/>
        <w:adjustRightInd w:val="0"/>
        <w:snapToGrid w:val="0"/>
        <w:spacing w:beforeLines="50" w:before="156" w:afterLines="50" w:after="156" w:line="360" w:lineRule="auto"/>
        <w:ind w:firstLine="476"/>
        <w:rPr>
          <w:rFonts w:ascii="宋体" w:hAnsi="宋体"/>
          <w:b/>
          <w:bCs/>
          <w:kern w:val="0"/>
          <w:sz w:val="24"/>
          <w:szCs w:val="22"/>
        </w:rPr>
      </w:pPr>
      <w:r w:rsidRPr="002E4B27">
        <w:rPr>
          <w:rFonts w:ascii="宋体" w:hAnsi="宋体" w:hint="eastAsia"/>
          <w:b/>
          <w:bCs/>
          <w:kern w:val="0"/>
          <w:sz w:val="24"/>
          <w:szCs w:val="22"/>
        </w:rPr>
        <w:t>二、公司控股股东、实际控制人关于非公开发行股票摊薄即期回报采取填补</w:t>
      </w:r>
      <w:r w:rsidR="003D6FC6" w:rsidRPr="002E4B27">
        <w:rPr>
          <w:rFonts w:ascii="宋体" w:hAnsi="宋体" w:hint="eastAsia"/>
          <w:b/>
          <w:bCs/>
          <w:kern w:val="0"/>
          <w:sz w:val="24"/>
          <w:szCs w:val="22"/>
        </w:rPr>
        <w:t>回报</w:t>
      </w:r>
      <w:r w:rsidRPr="002E4B27">
        <w:rPr>
          <w:rFonts w:ascii="宋体" w:hAnsi="宋体" w:hint="eastAsia"/>
          <w:b/>
          <w:bCs/>
          <w:kern w:val="0"/>
          <w:sz w:val="24"/>
          <w:szCs w:val="22"/>
        </w:rPr>
        <w:t>措施的承诺</w:t>
      </w:r>
      <w:bookmarkStart w:id="3" w:name="_GoBack"/>
      <w:bookmarkEnd w:id="3"/>
    </w:p>
    <w:p w14:paraId="2FDB78E4" w14:textId="77777777" w:rsidR="00470C7C" w:rsidRDefault="007F215C">
      <w:pPr>
        <w:widowControl/>
        <w:adjustRightInd w:val="0"/>
        <w:snapToGrid w:val="0"/>
        <w:spacing w:beforeLines="50" w:before="156" w:afterLines="50" w:after="156" w:line="360" w:lineRule="auto"/>
        <w:ind w:firstLine="476"/>
        <w:rPr>
          <w:rFonts w:ascii="宋体" w:hAnsi="宋体"/>
          <w:kern w:val="0"/>
          <w:sz w:val="24"/>
          <w:szCs w:val="22"/>
        </w:rPr>
      </w:pPr>
      <w:r>
        <w:rPr>
          <w:rFonts w:ascii="宋体" w:hAnsi="宋体" w:hint="eastAsia"/>
          <w:kern w:val="0"/>
          <w:sz w:val="24"/>
          <w:szCs w:val="22"/>
        </w:rPr>
        <w:t>公司控股股东、实际控制人为保证公司填补回报措施能够得到切实履行，出具承诺如下：</w:t>
      </w:r>
    </w:p>
    <w:p w14:paraId="11B9A031" w14:textId="77777777" w:rsidR="00470C7C" w:rsidRDefault="007F215C">
      <w:pPr>
        <w:widowControl/>
        <w:spacing w:beforeLines="50" w:before="156" w:afterLines="50" w:after="156" w:line="360" w:lineRule="auto"/>
        <w:ind w:firstLine="476"/>
        <w:rPr>
          <w:rFonts w:ascii="宋体" w:hAnsi="宋体"/>
          <w:kern w:val="0"/>
          <w:sz w:val="24"/>
          <w:szCs w:val="22"/>
        </w:rPr>
      </w:pPr>
      <w:r>
        <w:rPr>
          <w:kern w:val="0"/>
          <w:sz w:val="24"/>
          <w:szCs w:val="22"/>
        </w:rPr>
        <w:t>1</w:t>
      </w:r>
      <w:r>
        <w:rPr>
          <w:rFonts w:hint="eastAsia"/>
          <w:kern w:val="0"/>
          <w:sz w:val="24"/>
          <w:szCs w:val="22"/>
        </w:rPr>
        <w:t>、</w:t>
      </w:r>
      <w:r>
        <w:rPr>
          <w:rFonts w:ascii="宋体" w:hAnsi="宋体" w:hint="eastAsia"/>
          <w:kern w:val="0"/>
          <w:sz w:val="24"/>
          <w:szCs w:val="22"/>
        </w:rPr>
        <w:t>依照相关法律、法规及公司章程的有关规定行使股东权利，本公司/本人承诺不越权干预公司经营管理活动，不侵占公司利益。</w:t>
      </w:r>
    </w:p>
    <w:p w14:paraId="194337B8" w14:textId="77777777" w:rsidR="00470C7C" w:rsidRDefault="007F215C">
      <w:pPr>
        <w:widowControl/>
        <w:spacing w:beforeLines="50" w:before="156" w:afterLines="50" w:after="156" w:line="360" w:lineRule="auto"/>
        <w:ind w:firstLine="476"/>
        <w:rPr>
          <w:rFonts w:ascii="宋体" w:hAnsi="宋体"/>
          <w:kern w:val="0"/>
          <w:sz w:val="24"/>
          <w:szCs w:val="22"/>
        </w:rPr>
      </w:pPr>
      <w:r>
        <w:rPr>
          <w:rFonts w:hint="eastAsia"/>
          <w:kern w:val="0"/>
          <w:sz w:val="24"/>
          <w:szCs w:val="22"/>
        </w:rPr>
        <w:t>2</w:t>
      </w:r>
      <w:r>
        <w:rPr>
          <w:rFonts w:hint="eastAsia"/>
          <w:kern w:val="0"/>
          <w:sz w:val="24"/>
          <w:szCs w:val="22"/>
        </w:rPr>
        <w:t>、</w:t>
      </w:r>
      <w:r>
        <w:rPr>
          <w:rFonts w:ascii="宋体" w:hAnsi="宋体" w:hint="eastAsia"/>
          <w:kern w:val="0"/>
          <w:sz w:val="24"/>
          <w:szCs w:val="22"/>
        </w:rPr>
        <w:t>本公司/本人承诺切实履行公司制定的有关填补回报的相关措施以及本公司对此</w:t>
      </w:r>
      <w:proofErr w:type="gramStart"/>
      <w:r>
        <w:rPr>
          <w:rFonts w:ascii="宋体" w:hAnsi="宋体" w:hint="eastAsia"/>
          <w:kern w:val="0"/>
          <w:sz w:val="24"/>
          <w:szCs w:val="22"/>
        </w:rPr>
        <w:t>作出</w:t>
      </w:r>
      <w:proofErr w:type="gramEnd"/>
      <w:r>
        <w:rPr>
          <w:rFonts w:ascii="宋体" w:hAnsi="宋体" w:hint="eastAsia"/>
          <w:kern w:val="0"/>
          <w:sz w:val="24"/>
          <w:szCs w:val="22"/>
        </w:rPr>
        <w:t>的任何有关填补回报措施的承诺，若本公司/本人违反该等承诺并给</w:t>
      </w:r>
      <w:r>
        <w:rPr>
          <w:rFonts w:ascii="宋体" w:hAnsi="宋体" w:hint="eastAsia"/>
          <w:kern w:val="0"/>
          <w:sz w:val="24"/>
          <w:szCs w:val="22"/>
        </w:rPr>
        <w:lastRenderedPageBreak/>
        <w:t>公司或者投资者造成损失的，本公司/本人愿意依法承担对公司或者投资者的补偿责任。</w:t>
      </w:r>
    </w:p>
    <w:p w14:paraId="42BD3EFF" w14:textId="77777777" w:rsidR="00470C7C" w:rsidRDefault="007F215C">
      <w:pPr>
        <w:widowControl/>
        <w:spacing w:beforeLines="50" w:before="156" w:afterLines="50" w:after="156" w:line="360" w:lineRule="auto"/>
        <w:ind w:firstLine="476"/>
        <w:rPr>
          <w:rFonts w:ascii="宋体" w:hAnsi="宋体"/>
          <w:kern w:val="0"/>
          <w:sz w:val="24"/>
          <w:szCs w:val="22"/>
        </w:rPr>
      </w:pPr>
      <w:r>
        <w:rPr>
          <w:rFonts w:hint="eastAsia"/>
          <w:kern w:val="0"/>
          <w:sz w:val="24"/>
          <w:szCs w:val="22"/>
        </w:rPr>
        <w:t>3</w:t>
      </w:r>
      <w:r>
        <w:rPr>
          <w:rFonts w:hint="eastAsia"/>
          <w:kern w:val="0"/>
          <w:sz w:val="24"/>
          <w:szCs w:val="22"/>
        </w:rPr>
        <w:t>、</w:t>
      </w:r>
      <w:r>
        <w:rPr>
          <w:rFonts w:ascii="宋体" w:hAnsi="宋体" w:hint="eastAsia"/>
          <w:kern w:val="0"/>
          <w:sz w:val="24"/>
          <w:szCs w:val="22"/>
        </w:rPr>
        <w:t>自</w:t>
      </w:r>
      <w:proofErr w:type="gramStart"/>
      <w:r>
        <w:rPr>
          <w:rFonts w:ascii="宋体" w:hAnsi="宋体" w:hint="eastAsia"/>
          <w:kern w:val="0"/>
          <w:sz w:val="24"/>
          <w:szCs w:val="22"/>
        </w:rPr>
        <w:t>本承诺</w:t>
      </w:r>
      <w:proofErr w:type="gramEnd"/>
      <w:r>
        <w:rPr>
          <w:rFonts w:ascii="宋体" w:hAnsi="宋体" w:hint="eastAsia"/>
          <w:kern w:val="0"/>
          <w:sz w:val="24"/>
          <w:szCs w:val="22"/>
        </w:rPr>
        <w:t>出具日至公司本次非公开发行股票实施完毕前，若中国证监会</w:t>
      </w:r>
      <w:proofErr w:type="gramStart"/>
      <w:r>
        <w:rPr>
          <w:rFonts w:ascii="宋体" w:hAnsi="宋体" w:hint="eastAsia"/>
          <w:kern w:val="0"/>
          <w:sz w:val="24"/>
          <w:szCs w:val="22"/>
        </w:rPr>
        <w:t>作出</w:t>
      </w:r>
      <w:proofErr w:type="gramEnd"/>
      <w:r>
        <w:rPr>
          <w:rFonts w:ascii="宋体" w:hAnsi="宋体" w:hint="eastAsia"/>
          <w:kern w:val="0"/>
          <w:sz w:val="24"/>
          <w:szCs w:val="22"/>
        </w:rPr>
        <w:t>关于填补回报措施及其承诺的其他新的监管规定的，且上述承诺不能满足中国证监会该等规定时，本公司/本人承诺届时将按照中国证监会的最新规定出具补充承诺。</w:t>
      </w:r>
    </w:p>
    <w:p w14:paraId="71269C78" w14:textId="77777777" w:rsidR="00470C7C" w:rsidRDefault="007F215C">
      <w:pPr>
        <w:widowControl/>
        <w:spacing w:beforeLines="50" w:before="156" w:afterLines="50" w:after="156" w:line="360" w:lineRule="auto"/>
        <w:ind w:firstLine="476"/>
        <w:rPr>
          <w:rFonts w:ascii="宋体" w:hAnsi="宋体"/>
          <w:kern w:val="0"/>
          <w:sz w:val="24"/>
          <w:szCs w:val="22"/>
        </w:rPr>
      </w:pPr>
      <w:r>
        <w:rPr>
          <w:rFonts w:ascii="宋体" w:hAnsi="宋体" w:hint="eastAsia"/>
          <w:kern w:val="0"/>
          <w:sz w:val="24"/>
          <w:szCs w:val="22"/>
        </w:rPr>
        <w:t>作为填补回报措施相关责任主体之一，本公司/本人若违反上述承诺或拒不履行上述承诺，本公司/本人同意按照中国证监会和上海证券交易所等证券监管机构按照其制定或发布的有关规定、规则，对本公司/本人</w:t>
      </w:r>
      <w:proofErr w:type="gramStart"/>
      <w:r>
        <w:rPr>
          <w:rFonts w:ascii="宋体" w:hAnsi="宋体" w:hint="eastAsia"/>
          <w:kern w:val="0"/>
          <w:sz w:val="24"/>
          <w:szCs w:val="22"/>
        </w:rPr>
        <w:t>作出</w:t>
      </w:r>
      <w:proofErr w:type="gramEnd"/>
      <w:r>
        <w:rPr>
          <w:rFonts w:ascii="宋体" w:hAnsi="宋体" w:hint="eastAsia"/>
          <w:kern w:val="0"/>
          <w:sz w:val="24"/>
          <w:szCs w:val="22"/>
        </w:rPr>
        <w:t>相关处罚或采取相关管理措施，并愿意承担相应的法律责任。</w:t>
      </w:r>
    </w:p>
    <w:p w14:paraId="714D8DA5" w14:textId="77777777" w:rsidR="00470C7C" w:rsidRDefault="007F215C">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特此公告。</w:t>
      </w:r>
    </w:p>
    <w:p w14:paraId="473FDC11" w14:textId="77777777" w:rsidR="00470C7C" w:rsidRDefault="007F215C">
      <w:pPr>
        <w:spacing w:beforeLines="50" w:before="156" w:afterLines="50" w:after="156" w:line="360" w:lineRule="auto"/>
        <w:ind w:firstLineChars="400" w:firstLine="960"/>
        <w:rPr>
          <w:rFonts w:ascii="宋体" w:hAnsi="宋体"/>
          <w:sz w:val="24"/>
          <w:szCs w:val="24"/>
        </w:rPr>
      </w:pPr>
      <w:r>
        <w:rPr>
          <w:rFonts w:ascii="宋体" w:hAnsi="宋体"/>
          <w:sz w:val="24"/>
          <w:szCs w:val="24"/>
        </w:rPr>
        <w:t xml:space="preserve">                                            </w:t>
      </w:r>
    </w:p>
    <w:p w14:paraId="77EA4C04" w14:textId="77777777" w:rsidR="00470C7C" w:rsidRDefault="00470C7C">
      <w:pPr>
        <w:spacing w:beforeLines="50" w:before="156" w:afterLines="50" w:after="156" w:line="360" w:lineRule="auto"/>
        <w:ind w:firstLineChars="1800" w:firstLine="4320"/>
        <w:rPr>
          <w:rFonts w:ascii="宋体" w:hAnsi="宋体"/>
          <w:kern w:val="0"/>
          <w:sz w:val="24"/>
          <w:szCs w:val="22"/>
        </w:rPr>
      </w:pPr>
    </w:p>
    <w:p w14:paraId="72733F78" w14:textId="77777777" w:rsidR="00470C7C" w:rsidRDefault="00470C7C">
      <w:pPr>
        <w:spacing w:beforeLines="50" w:before="156" w:afterLines="50" w:after="156" w:line="360" w:lineRule="auto"/>
        <w:ind w:firstLineChars="1800" w:firstLine="4320"/>
        <w:rPr>
          <w:rFonts w:ascii="宋体" w:hAnsi="宋体"/>
          <w:kern w:val="0"/>
          <w:sz w:val="24"/>
          <w:szCs w:val="22"/>
        </w:rPr>
      </w:pPr>
    </w:p>
    <w:p w14:paraId="4A56CEE9" w14:textId="77777777" w:rsidR="00470C7C" w:rsidRDefault="00470C7C">
      <w:pPr>
        <w:spacing w:beforeLines="50" w:before="156" w:afterLines="50" w:after="156" w:line="360" w:lineRule="auto"/>
        <w:ind w:firstLineChars="1800" w:firstLine="4320"/>
        <w:rPr>
          <w:rFonts w:ascii="宋体" w:hAnsi="宋体"/>
          <w:kern w:val="0"/>
          <w:sz w:val="24"/>
          <w:szCs w:val="22"/>
        </w:rPr>
      </w:pPr>
    </w:p>
    <w:p w14:paraId="7F4CA545" w14:textId="77777777" w:rsidR="00470C7C" w:rsidRDefault="00470C7C">
      <w:pPr>
        <w:spacing w:beforeLines="50" w:before="156" w:afterLines="50" w:after="156" w:line="360" w:lineRule="auto"/>
        <w:ind w:firstLineChars="1800" w:firstLine="4320"/>
        <w:rPr>
          <w:rFonts w:ascii="宋体" w:hAnsi="宋体"/>
          <w:kern w:val="0"/>
          <w:sz w:val="24"/>
          <w:szCs w:val="22"/>
        </w:rPr>
      </w:pPr>
    </w:p>
    <w:p w14:paraId="3A6D4619" w14:textId="77777777" w:rsidR="00470C7C" w:rsidRDefault="00470C7C">
      <w:pPr>
        <w:spacing w:beforeLines="50" w:before="156" w:afterLines="50" w:after="156" w:line="360" w:lineRule="auto"/>
        <w:ind w:firstLineChars="1800" w:firstLine="4320"/>
        <w:rPr>
          <w:rFonts w:ascii="宋体" w:hAnsi="宋体"/>
          <w:kern w:val="0"/>
          <w:sz w:val="24"/>
          <w:szCs w:val="22"/>
        </w:rPr>
      </w:pPr>
    </w:p>
    <w:p w14:paraId="0D26F4A4" w14:textId="77777777" w:rsidR="00470C7C" w:rsidRDefault="007F215C">
      <w:pPr>
        <w:spacing w:beforeLines="50" w:before="156" w:afterLines="50" w:after="156" w:line="360" w:lineRule="auto"/>
        <w:ind w:firstLineChars="1800" w:firstLine="4320"/>
        <w:jc w:val="right"/>
        <w:rPr>
          <w:kern w:val="0"/>
          <w:sz w:val="24"/>
          <w:szCs w:val="22"/>
        </w:rPr>
      </w:pPr>
      <w:bookmarkStart w:id="4" w:name="_Hlk44491818"/>
      <w:r>
        <w:rPr>
          <w:kern w:val="0"/>
          <w:sz w:val="24"/>
          <w:szCs w:val="22"/>
        </w:rPr>
        <w:t>安徽省交通建设股份有限公司董事会</w:t>
      </w:r>
    </w:p>
    <w:p w14:paraId="2A83FCF7" w14:textId="48911D33" w:rsidR="00470C7C" w:rsidRDefault="007F215C">
      <w:pPr>
        <w:spacing w:beforeLines="50" w:before="156" w:afterLines="50" w:after="156" w:line="360" w:lineRule="auto"/>
        <w:ind w:firstLineChars="2100" w:firstLine="5040"/>
        <w:jc w:val="right"/>
        <w:rPr>
          <w:kern w:val="0"/>
          <w:sz w:val="24"/>
          <w:szCs w:val="22"/>
        </w:rPr>
      </w:pPr>
      <w:r>
        <w:rPr>
          <w:kern w:val="0"/>
          <w:sz w:val="24"/>
          <w:szCs w:val="22"/>
        </w:rPr>
        <w:t>2020</w:t>
      </w:r>
      <w:r>
        <w:rPr>
          <w:kern w:val="0"/>
          <w:sz w:val="24"/>
          <w:szCs w:val="22"/>
        </w:rPr>
        <w:t>年</w:t>
      </w:r>
      <w:r>
        <w:rPr>
          <w:kern w:val="0"/>
          <w:sz w:val="24"/>
          <w:szCs w:val="22"/>
        </w:rPr>
        <w:t>7</w:t>
      </w:r>
      <w:r>
        <w:rPr>
          <w:kern w:val="0"/>
          <w:sz w:val="24"/>
          <w:szCs w:val="22"/>
        </w:rPr>
        <w:t>月</w:t>
      </w:r>
      <w:r>
        <w:rPr>
          <w:kern w:val="0"/>
          <w:sz w:val="24"/>
          <w:szCs w:val="22"/>
        </w:rPr>
        <w:t>2</w:t>
      </w:r>
      <w:r w:rsidR="0044798F">
        <w:rPr>
          <w:rFonts w:hint="eastAsia"/>
          <w:kern w:val="0"/>
          <w:sz w:val="24"/>
          <w:szCs w:val="22"/>
        </w:rPr>
        <w:t>1</w:t>
      </w:r>
      <w:r>
        <w:rPr>
          <w:kern w:val="0"/>
          <w:sz w:val="24"/>
          <w:szCs w:val="22"/>
        </w:rPr>
        <w:t>日</w:t>
      </w:r>
    </w:p>
    <w:bookmarkEnd w:id="4"/>
    <w:p w14:paraId="248C4ADA" w14:textId="77777777" w:rsidR="00470C7C" w:rsidRDefault="007F215C">
      <w:pPr>
        <w:spacing w:beforeLines="50" w:before="156" w:afterLines="50" w:after="156" w:line="360" w:lineRule="auto"/>
        <w:ind w:firstLineChars="400" w:firstLine="960"/>
        <w:rPr>
          <w:rFonts w:ascii="宋体" w:hAnsi="宋体"/>
          <w:kern w:val="0"/>
          <w:sz w:val="24"/>
          <w:szCs w:val="22"/>
        </w:rPr>
      </w:pPr>
      <w:r>
        <w:rPr>
          <w:rFonts w:ascii="宋体" w:hAnsi="宋体" w:hint="eastAsia"/>
          <w:kern w:val="0"/>
          <w:sz w:val="24"/>
          <w:szCs w:val="22"/>
        </w:rPr>
        <w:t xml:space="preserve"> </w:t>
      </w:r>
      <w:r>
        <w:rPr>
          <w:rFonts w:ascii="宋体" w:hAnsi="宋体"/>
          <w:kern w:val="0"/>
          <w:sz w:val="24"/>
          <w:szCs w:val="22"/>
        </w:rPr>
        <w:t xml:space="preserve">                                </w:t>
      </w:r>
    </w:p>
    <w:sectPr w:rsidR="00470C7C">
      <w:footerReference w:type="default" r:id="rId7"/>
      <w:pgSz w:w="11906" w:h="16838"/>
      <w:pgMar w:top="1553" w:right="1841" w:bottom="709"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F0232" w14:textId="77777777" w:rsidR="00C63325" w:rsidRDefault="00C63325">
      <w:r>
        <w:separator/>
      </w:r>
    </w:p>
  </w:endnote>
  <w:endnote w:type="continuationSeparator" w:id="0">
    <w:p w14:paraId="3AE23869" w14:textId="77777777" w:rsidR="00C63325" w:rsidRDefault="00C6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E55CE" w14:textId="77777777" w:rsidR="00470C7C" w:rsidRDefault="007F215C">
    <w:pPr>
      <w:pStyle w:val="a5"/>
      <w:jc w:val="center"/>
    </w:pPr>
    <w:r>
      <w:fldChar w:fldCharType="begin"/>
    </w:r>
    <w:r>
      <w:instrText xml:space="preserve"> PAGE   \* MERGEFORMAT </w:instrText>
    </w:r>
    <w:r>
      <w:fldChar w:fldCharType="separate"/>
    </w:r>
    <w:r w:rsidR="0044798F" w:rsidRPr="0044798F">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A9E36" w14:textId="77777777" w:rsidR="00C63325" w:rsidRDefault="00C63325">
      <w:r>
        <w:separator/>
      </w:r>
    </w:p>
  </w:footnote>
  <w:footnote w:type="continuationSeparator" w:id="0">
    <w:p w14:paraId="062D1973" w14:textId="77777777" w:rsidR="00C63325" w:rsidRDefault="00C63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E00"/>
    <w:rsid w:val="00075E00"/>
    <w:rsid w:val="00134889"/>
    <w:rsid w:val="00140705"/>
    <w:rsid w:val="0024507E"/>
    <w:rsid w:val="002B6E6C"/>
    <w:rsid w:val="002E4B27"/>
    <w:rsid w:val="00391499"/>
    <w:rsid w:val="003D6FC6"/>
    <w:rsid w:val="00405C6F"/>
    <w:rsid w:val="00410ACA"/>
    <w:rsid w:val="0041695A"/>
    <w:rsid w:val="00417329"/>
    <w:rsid w:val="0044798F"/>
    <w:rsid w:val="00470C7C"/>
    <w:rsid w:val="00487C08"/>
    <w:rsid w:val="00552E3B"/>
    <w:rsid w:val="005F4938"/>
    <w:rsid w:val="00636A3B"/>
    <w:rsid w:val="006529C2"/>
    <w:rsid w:val="006A39B0"/>
    <w:rsid w:val="00755326"/>
    <w:rsid w:val="007C7A66"/>
    <w:rsid w:val="007F215C"/>
    <w:rsid w:val="00812E62"/>
    <w:rsid w:val="009B3042"/>
    <w:rsid w:val="00A7105C"/>
    <w:rsid w:val="00AD0566"/>
    <w:rsid w:val="00B159E2"/>
    <w:rsid w:val="00B278D4"/>
    <w:rsid w:val="00B36313"/>
    <w:rsid w:val="00B424AF"/>
    <w:rsid w:val="00B61F1B"/>
    <w:rsid w:val="00C41C25"/>
    <w:rsid w:val="00C56E2B"/>
    <w:rsid w:val="00C63325"/>
    <w:rsid w:val="00CA1DA4"/>
    <w:rsid w:val="00CE4ADC"/>
    <w:rsid w:val="00D25406"/>
    <w:rsid w:val="00DB0D01"/>
    <w:rsid w:val="00DB7EA9"/>
    <w:rsid w:val="00DD306F"/>
    <w:rsid w:val="00DD6EB6"/>
    <w:rsid w:val="00E54930"/>
    <w:rsid w:val="00ED6C6D"/>
    <w:rsid w:val="00EE133E"/>
    <w:rsid w:val="00EF0971"/>
    <w:rsid w:val="00F55A17"/>
    <w:rsid w:val="00F71DCF"/>
    <w:rsid w:val="00F87106"/>
    <w:rsid w:val="00FF2988"/>
    <w:rsid w:val="00FF6D05"/>
    <w:rsid w:val="0290673D"/>
    <w:rsid w:val="0E687595"/>
    <w:rsid w:val="10AC1EB2"/>
    <w:rsid w:val="23686177"/>
    <w:rsid w:val="23DB30F8"/>
    <w:rsid w:val="2822663E"/>
    <w:rsid w:val="2C4D6E45"/>
    <w:rsid w:val="2EFA3130"/>
    <w:rsid w:val="312A1DA5"/>
    <w:rsid w:val="3DC2070D"/>
    <w:rsid w:val="46E47CC7"/>
    <w:rsid w:val="577B2E9A"/>
    <w:rsid w:val="611F2430"/>
    <w:rsid w:val="6C153E62"/>
    <w:rsid w:val="70087D2F"/>
    <w:rsid w:val="771800F2"/>
    <w:rsid w:val="7B7931E2"/>
    <w:rsid w:val="7BE5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D9A9C15"/>
  <w15:docId w15:val="{D4C41142-04CB-487D-84F0-91F9509F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link w:val="a5"/>
    <w:uiPriority w:val="99"/>
    <w:qFormat/>
    <w:rPr>
      <w:sz w:val="18"/>
    </w:rPr>
  </w:style>
  <w:style w:type="character" w:customStyle="1" w:styleId="1">
    <w:name w:val="页脚 字符1"/>
    <w:basedOn w:val="a0"/>
    <w:uiPriority w:val="99"/>
    <w:semiHidden/>
    <w:qFormat/>
    <w:rPr>
      <w:rFonts w:ascii="Times New Roman" w:eastAsia="宋体" w:hAnsi="Times New Roman"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administratoir</dc:creator>
  <cp:lastModifiedBy>林玲</cp:lastModifiedBy>
  <cp:revision>5</cp:revision>
  <dcterms:created xsi:type="dcterms:W3CDTF">2020-06-19T16:42:00Z</dcterms:created>
  <dcterms:modified xsi:type="dcterms:W3CDTF">2020-07-20T09:21:00Z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