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AC59B" w14:textId="3D5D3726" w:rsidR="008005C6" w:rsidRPr="00DD3A33" w:rsidRDefault="002A5F93">
      <w:pPr>
        <w:spacing w:line="360" w:lineRule="auto"/>
        <w:rPr>
          <w:rFonts w:ascii="宋体" w:hAnsi="宋体"/>
          <w:sz w:val="24"/>
          <w:szCs w:val="24"/>
        </w:rPr>
      </w:pPr>
      <w:bookmarkStart w:id="0" w:name="_Hlk36823465"/>
      <w:r>
        <w:rPr>
          <w:rFonts w:ascii="宋体" w:hAnsi="宋体" w:hint="eastAsia"/>
          <w:sz w:val="24"/>
          <w:szCs w:val="24"/>
        </w:rPr>
        <w:t>证券代码：</w:t>
      </w:r>
      <w:r>
        <w:rPr>
          <w:rFonts w:ascii="宋体" w:hAnsi="宋体"/>
          <w:sz w:val="24"/>
          <w:szCs w:val="24"/>
        </w:rPr>
        <w:t xml:space="preserve">603815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证券简称：</w:t>
      </w:r>
      <w:proofErr w:type="gramStart"/>
      <w:r>
        <w:rPr>
          <w:rFonts w:ascii="宋体" w:hAnsi="宋体" w:hint="eastAsia"/>
          <w:sz w:val="24"/>
          <w:szCs w:val="24"/>
        </w:rPr>
        <w:t>交建股份</w:t>
      </w:r>
      <w:proofErr w:type="gramEnd"/>
      <w:r>
        <w:rPr>
          <w:rFonts w:ascii="宋体" w:hAnsi="宋体" w:hint="eastAsia"/>
          <w:sz w:val="24"/>
          <w:szCs w:val="24"/>
        </w:rPr>
        <w:t xml:space="preserve"> </w:t>
      </w:r>
      <w:r>
        <w:rPr>
          <w:rFonts w:ascii="宋体" w:hAnsi="宋体"/>
          <w:sz w:val="24"/>
          <w:szCs w:val="24"/>
        </w:rPr>
        <w:t xml:space="preserve">      </w:t>
      </w:r>
      <w:r w:rsidRPr="00DD3A33">
        <w:rPr>
          <w:rFonts w:ascii="宋体" w:hAnsi="宋体"/>
          <w:sz w:val="24"/>
          <w:szCs w:val="24"/>
        </w:rPr>
        <w:t xml:space="preserve"> </w:t>
      </w:r>
      <w:r w:rsidRPr="00DD3A33">
        <w:rPr>
          <w:rFonts w:ascii="宋体" w:hAnsi="宋体" w:hint="eastAsia"/>
          <w:sz w:val="24"/>
          <w:szCs w:val="24"/>
        </w:rPr>
        <w:t xml:space="preserve">   </w:t>
      </w:r>
      <w:r w:rsidRPr="00DD3A33">
        <w:rPr>
          <w:rFonts w:ascii="宋体" w:hAnsi="宋体"/>
          <w:sz w:val="24"/>
          <w:szCs w:val="24"/>
        </w:rPr>
        <w:t xml:space="preserve"> </w:t>
      </w:r>
      <w:r w:rsidRPr="00DD3A33">
        <w:rPr>
          <w:rFonts w:ascii="宋体" w:hAnsi="宋体" w:hint="eastAsia"/>
          <w:sz w:val="24"/>
          <w:szCs w:val="24"/>
        </w:rPr>
        <w:t>公告编号：</w:t>
      </w:r>
      <w:r w:rsidRPr="00DD3A33">
        <w:rPr>
          <w:rFonts w:ascii="宋体" w:hAnsi="宋体"/>
          <w:sz w:val="24"/>
          <w:szCs w:val="24"/>
        </w:rPr>
        <w:t>2020-</w:t>
      </w:r>
      <w:r w:rsidR="00DD3A33" w:rsidRPr="00DD3A33">
        <w:rPr>
          <w:rFonts w:ascii="宋体" w:hAnsi="宋体"/>
          <w:sz w:val="24"/>
          <w:szCs w:val="24"/>
        </w:rPr>
        <w:t>051</w:t>
      </w:r>
    </w:p>
    <w:p w14:paraId="778BB627" w14:textId="77777777" w:rsidR="008005C6" w:rsidRDefault="008005C6">
      <w:pPr>
        <w:pStyle w:val="aff8"/>
        <w:adjustRightInd w:val="0"/>
        <w:snapToGrid w:val="0"/>
        <w:spacing w:beforeLines="0" w:afterLines="0"/>
        <w:ind w:firstLine="480"/>
      </w:pPr>
    </w:p>
    <w:p w14:paraId="45D7F71F" w14:textId="77777777" w:rsidR="008005C6" w:rsidRDefault="002A5F93">
      <w:pPr>
        <w:pStyle w:val="aff8"/>
        <w:adjustRightInd w:val="0"/>
        <w:snapToGrid w:val="0"/>
        <w:spacing w:before="156" w:after="156"/>
        <w:ind w:firstLineChars="0" w:firstLine="0"/>
        <w:jc w:val="center"/>
        <w:rPr>
          <w:rFonts w:eastAsia="黑体"/>
          <w:b/>
          <w:bCs/>
          <w:sz w:val="36"/>
          <w:szCs w:val="36"/>
        </w:rPr>
      </w:pPr>
      <w:bookmarkStart w:id="1" w:name="_Hlk40117783"/>
      <w:r>
        <w:rPr>
          <w:rFonts w:eastAsia="黑体" w:hint="eastAsia"/>
          <w:b/>
          <w:bCs/>
          <w:sz w:val="36"/>
          <w:szCs w:val="36"/>
        </w:rPr>
        <w:t>安徽省交通建设股份有限公司</w:t>
      </w:r>
    </w:p>
    <w:bookmarkEnd w:id="1"/>
    <w:p w14:paraId="09302AF8" w14:textId="77777777" w:rsidR="008005C6" w:rsidRDefault="002A5F93">
      <w:pPr>
        <w:pStyle w:val="aff8"/>
        <w:adjustRightInd w:val="0"/>
        <w:snapToGrid w:val="0"/>
        <w:spacing w:before="156" w:after="156"/>
        <w:ind w:firstLineChars="0" w:firstLine="0"/>
        <w:jc w:val="center"/>
        <w:rPr>
          <w:rFonts w:eastAsia="黑体"/>
          <w:b/>
          <w:bCs/>
          <w:sz w:val="36"/>
          <w:szCs w:val="36"/>
        </w:rPr>
      </w:pPr>
      <w:r>
        <w:rPr>
          <w:rFonts w:eastAsia="黑体" w:hint="eastAsia"/>
          <w:b/>
          <w:bCs/>
          <w:sz w:val="36"/>
          <w:szCs w:val="36"/>
        </w:rPr>
        <w:t>关于非公开发行股票摊薄即期回报及填补措施</w:t>
      </w:r>
    </w:p>
    <w:p w14:paraId="17ED233E" w14:textId="77777777" w:rsidR="008005C6" w:rsidRDefault="002A5F93">
      <w:pPr>
        <w:pStyle w:val="aff8"/>
        <w:adjustRightInd w:val="0"/>
        <w:snapToGrid w:val="0"/>
        <w:spacing w:before="156" w:after="156"/>
        <w:ind w:firstLineChars="0" w:firstLine="0"/>
        <w:jc w:val="center"/>
        <w:rPr>
          <w:rFonts w:eastAsia="黑体"/>
          <w:b/>
          <w:bCs/>
          <w:sz w:val="36"/>
          <w:szCs w:val="36"/>
        </w:rPr>
      </w:pPr>
      <w:r>
        <w:rPr>
          <w:noProof/>
        </w:rPr>
        <mc:AlternateContent>
          <mc:Choice Requires="wps">
            <w:drawing>
              <wp:anchor distT="0" distB="0" distL="114300" distR="114300" simplePos="0" relativeHeight="251658240" behindDoc="0" locked="0" layoutInCell="1" allowOverlap="0" wp14:anchorId="388B4C40" wp14:editId="52F913D5">
                <wp:simplePos x="0" y="0"/>
                <wp:positionH relativeFrom="column">
                  <wp:posOffset>-104140</wp:posOffset>
                </wp:positionH>
                <wp:positionV relativeFrom="paragraph">
                  <wp:posOffset>497840</wp:posOffset>
                </wp:positionV>
                <wp:extent cx="5887720" cy="978535"/>
                <wp:effectExtent l="4445" t="4445" r="13335" b="7620"/>
                <wp:wrapNone/>
                <wp:docPr id="1" name="文本框 2"/>
                <wp:cNvGraphicFramePr/>
                <a:graphic xmlns:a="http://schemas.openxmlformats.org/drawingml/2006/main">
                  <a:graphicData uri="http://schemas.microsoft.com/office/word/2010/wordprocessingShape">
                    <wps:wsp>
                      <wps:cNvSpPr txBox="1"/>
                      <wps:spPr>
                        <a:xfrm>
                          <a:off x="0" y="0"/>
                          <a:ext cx="5887720" cy="9785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016E2B" w14:textId="77777777" w:rsidR="008005C6" w:rsidRDefault="002A5F93">
                            <w:pPr>
                              <w:spacing w:beforeLines="50" w:before="156" w:afterLines="50" w:after="156" w:line="480" w:lineRule="auto"/>
                              <w:ind w:firstLineChars="200" w:firstLine="480"/>
                              <w:rPr>
                                <w:sz w:val="24"/>
                                <w:szCs w:val="24"/>
                              </w:rPr>
                            </w:pPr>
                            <w:r>
                              <w:rPr>
                                <w:rFonts w:hint="eastAsia"/>
                                <w:sz w:val="24"/>
                                <w:szCs w:val="24"/>
                              </w:rPr>
                              <w:t>本公司董事会及全体董事保证本公告内容不存在任何虚假记载、误导性陈述或者重大遗漏，并对其内容的真实性、准确性和完整性承担个别及连带责任。</w:t>
                            </w:r>
                          </w:p>
                        </w:txbxContent>
                      </wps:txbx>
                      <wps:bodyPr upright="1"/>
                    </wps:wsp>
                  </a:graphicData>
                </a:graphic>
              </wp:anchor>
            </w:drawing>
          </mc:Choice>
          <mc:Fallback>
            <w:pict>
              <v:shapetype w14:anchorId="388B4C40" id="_x0000_t202" coordsize="21600,21600" o:spt="202" path="m,l,21600r21600,l21600,xe">
                <v:stroke joinstyle="miter"/>
                <v:path gradientshapeok="t" o:connecttype="rect"/>
              </v:shapetype>
              <v:shape id="文本框 2" o:spid="_x0000_s1026" type="#_x0000_t202" style="position:absolute;left:0;text-align:left;margin-left:-8.2pt;margin-top:39.2pt;width:463.6pt;height:77.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" o:allowoverlap="f">
                <v:textbox>
                  <w:txbxContent>
                    <w:p w14:paraId="62016E2B" w14:textId="77777777" w:rsidR="008005C6" w:rsidRDefault="002A5F93">
                      <w:pPr>
                        <w:spacing w:beforeLines="50" w:before="156" w:afterLines="50" w:after="156" w:line="480" w:lineRule="auto"/>
                        <w:ind w:firstLineChars="200" w:firstLine="480"/>
                        <w:rPr>
                          <w:sz w:val="24"/>
                          <w:szCs w:val="24"/>
                        </w:rPr>
                      </w:pPr>
                      <w:r>
                        <w:rPr>
                          <w:rFonts w:hint="eastAsia"/>
                          <w:sz w:val="24"/>
                          <w:szCs w:val="24"/>
                        </w:rPr>
                        <w:t>本公司董事会及全体董事保证本公告内容不存在任何虚假记载、误导性陈述或者重大遗漏，并对其内容的真实性、准确性和完整性承担个别及连带责任。</w:t>
                      </w:r>
                    </w:p>
                  </w:txbxContent>
                </v:textbox>
              </v:shape>
            </w:pict>
          </mc:Fallback>
        </mc:AlternateContent>
      </w:r>
      <w:r>
        <w:rPr>
          <w:rFonts w:eastAsia="黑体" w:hint="eastAsia"/>
          <w:b/>
          <w:bCs/>
          <w:sz w:val="36"/>
          <w:szCs w:val="36"/>
        </w:rPr>
        <w:t>和相关主体承诺的公告</w:t>
      </w:r>
    </w:p>
    <w:p w14:paraId="7F6DCF5F" w14:textId="77777777" w:rsidR="008005C6" w:rsidRDefault="008005C6">
      <w:pPr>
        <w:pStyle w:val="aff8"/>
        <w:adjustRightInd w:val="0"/>
        <w:snapToGrid w:val="0"/>
        <w:spacing w:beforeLines="0" w:afterLines="0"/>
        <w:ind w:firstLine="480"/>
      </w:pPr>
    </w:p>
    <w:p w14:paraId="32B96526" w14:textId="77777777" w:rsidR="008005C6" w:rsidRDefault="008005C6">
      <w:pPr>
        <w:pStyle w:val="3"/>
        <w:spacing w:before="156" w:after="156"/>
        <w:ind w:firstLine="480"/>
      </w:pPr>
    </w:p>
    <w:p w14:paraId="0D6A438A" w14:textId="77777777" w:rsidR="008005C6" w:rsidRDefault="008005C6">
      <w:pPr>
        <w:pStyle w:val="3"/>
        <w:spacing w:before="156" w:after="156"/>
        <w:ind w:firstLine="480"/>
      </w:pPr>
    </w:p>
    <w:p w14:paraId="40ADCBB7" w14:textId="77777777" w:rsidR="008005C6" w:rsidRDefault="002A5F93">
      <w:pPr>
        <w:pStyle w:val="3"/>
        <w:spacing w:beforeLines="100" w:before="312" w:after="156"/>
        <w:ind w:firstLine="480"/>
      </w:pPr>
      <w:r>
        <w:rPr>
          <w:rFonts w:hint="eastAsia"/>
        </w:rPr>
        <w:t>安徽省交通建设股份有限公司（以下简称“公司”）非公开发行股票相关事项已经公司第二届董事会第九次会议、第二届监事会第六次会议审议通过，尚需公司股东大会审议和中国证券监督管理委员会的核准。</w:t>
      </w:r>
    </w:p>
    <w:p w14:paraId="666D095D" w14:textId="77777777" w:rsidR="008005C6" w:rsidRDefault="002A5F93">
      <w:pPr>
        <w:pStyle w:val="3"/>
        <w:spacing w:before="156" w:after="156"/>
        <w:ind w:firstLine="480"/>
      </w:pPr>
      <w:r>
        <w:t>根据《国务院办公厅关于进一步加强资本市场中小投资者合法权益保护工作的意见》（国办发</w:t>
      </w:r>
      <w:r>
        <w:t>[2013]110</w:t>
      </w:r>
      <w:r>
        <w:t>号）、《国务院关于进一步促进资本市场健康发展的若干意见》（国发</w:t>
      </w:r>
      <w:r>
        <w:t>[2014]17</w:t>
      </w:r>
      <w:r>
        <w:t>号）、中国证监会《关于首发及再融资、重大资产重组摊薄即期回报有关事项的指导意见》（证监会公告</w:t>
      </w:r>
      <w:r>
        <w:t>[2015]31</w:t>
      </w:r>
      <w:r>
        <w:t>号）等法规要求，为保障中小投资者利益，公司就本次非公开发行股票对即期回报摊薄的影响进行了认真分析，就本次发行摊薄即期回报对公司主要财务指标的影响及公司采取的措施说明如下：</w:t>
      </w:r>
      <w:bookmarkStart w:id="2" w:name="_Toc467919300"/>
      <w:bookmarkStart w:id="3" w:name="_Toc471902657"/>
    </w:p>
    <w:p w14:paraId="000D257B" w14:textId="18C8B4C6" w:rsidR="008005C6" w:rsidRDefault="002A5F93">
      <w:pPr>
        <w:pStyle w:val="13"/>
        <w:ind w:firstLine="562"/>
      </w:pPr>
      <w:r>
        <w:t>一、</w:t>
      </w:r>
      <w:bookmarkEnd w:id="2"/>
      <w:bookmarkEnd w:id="3"/>
      <w:r w:rsidR="00E068F7">
        <w:rPr>
          <w:b w:val="0"/>
          <w:bCs/>
        </w:rPr>
        <w:t>本次非公开发行摊薄即期回报对公司主要财务指标的影响</w:t>
      </w:r>
    </w:p>
    <w:p w14:paraId="13639A5B" w14:textId="77777777" w:rsidR="008005C6" w:rsidRDefault="002A5F93">
      <w:pPr>
        <w:pStyle w:val="23"/>
        <w:spacing w:before="156" w:after="156"/>
        <w:ind w:firstLine="482"/>
        <w:rPr>
          <w:rFonts w:eastAsia="黑体"/>
          <w:b w:val="0"/>
        </w:rPr>
      </w:pPr>
      <w:bookmarkStart w:id="4" w:name="_Toc471902580"/>
      <w:r>
        <w:rPr>
          <w:rFonts w:eastAsia="黑体" w:hint="eastAsia"/>
        </w:rPr>
        <w:t>（一）</w:t>
      </w:r>
      <w:bookmarkEnd w:id="4"/>
      <w:r>
        <w:rPr>
          <w:rFonts w:eastAsia="黑体" w:hint="eastAsia"/>
        </w:rPr>
        <w:t>主要测算假设</w:t>
      </w:r>
      <w:proofErr w:type="gramStart"/>
      <w:r>
        <w:rPr>
          <w:rFonts w:eastAsia="黑体" w:hint="eastAsia"/>
        </w:rPr>
        <w:t>及前提</w:t>
      </w:r>
      <w:proofErr w:type="gramEnd"/>
      <w:r>
        <w:rPr>
          <w:rFonts w:eastAsia="黑体" w:hint="eastAsia"/>
        </w:rPr>
        <w:t>条件</w:t>
      </w:r>
    </w:p>
    <w:p w14:paraId="6F255126" w14:textId="77777777" w:rsidR="008005C6" w:rsidRDefault="002A5F93">
      <w:pPr>
        <w:pStyle w:val="3"/>
        <w:spacing w:before="156" w:after="156"/>
        <w:ind w:firstLine="480"/>
      </w:pPr>
      <w:r>
        <w:rPr>
          <w:rFonts w:hint="eastAsia"/>
        </w:rPr>
        <w:t>以下假设仅为测算本次非公开发行摊薄即期回报对公司主要财务指标的影响，不代表对公司</w:t>
      </w:r>
      <w:r>
        <w:rPr>
          <w:rFonts w:hint="eastAsia"/>
        </w:rPr>
        <w:t>2020</w:t>
      </w:r>
      <w:r>
        <w:rPr>
          <w:rFonts w:hint="eastAsia"/>
        </w:rPr>
        <w:t>年度经营情况及趋势的判断，亦不构成盈利预测。投资者据此进行投资决策造成损失的，公司不承担赔偿责任。</w:t>
      </w:r>
    </w:p>
    <w:p w14:paraId="05A7203A" w14:textId="77777777" w:rsidR="008005C6" w:rsidRDefault="002A5F93">
      <w:pPr>
        <w:pStyle w:val="3"/>
        <w:spacing w:before="156" w:after="156"/>
        <w:ind w:firstLine="480"/>
      </w:pPr>
      <w:r>
        <w:rPr>
          <w:rFonts w:hint="eastAsia"/>
        </w:rPr>
        <w:t>1</w:t>
      </w:r>
      <w:r>
        <w:rPr>
          <w:rFonts w:hint="eastAsia"/>
        </w:rPr>
        <w:t>、假设公司本次非公开发</w:t>
      </w:r>
      <w:r>
        <w:rPr>
          <w:rFonts w:hint="eastAsia"/>
          <w:color w:val="000000" w:themeColor="text1"/>
        </w:rPr>
        <w:t>行于</w:t>
      </w:r>
      <w:r>
        <w:rPr>
          <w:color w:val="000000" w:themeColor="text1"/>
        </w:rPr>
        <w:t>2020</w:t>
      </w:r>
      <w:r>
        <w:rPr>
          <w:rFonts w:hint="eastAsia"/>
          <w:color w:val="000000" w:themeColor="text1"/>
        </w:rPr>
        <w:t>年</w:t>
      </w:r>
      <w:r>
        <w:rPr>
          <w:color w:val="000000" w:themeColor="text1"/>
        </w:rPr>
        <w:t>11</w:t>
      </w:r>
      <w:r>
        <w:rPr>
          <w:rFonts w:hint="eastAsia"/>
          <w:color w:val="000000" w:themeColor="text1"/>
        </w:rPr>
        <w:t>月</w:t>
      </w:r>
      <w:r>
        <w:rPr>
          <w:color w:val="000000" w:themeColor="text1"/>
        </w:rPr>
        <w:t>30</w:t>
      </w:r>
      <w:r>
        <w:rPr>
          <w:rFonts w:hint="eastAsia"/>
          <w:color w:val="000000" w:themeColor="text1"/>
        </w:rPr>
        <w:t>日实施完成，该</w:t>
      </w:r>
      <w:r>
        <w:rPr>
          <w:rFonts w:hint="eastAsia"/>
        </w:rPr>
        <w:t>完成时间仅用于计算本次非公开发行摊薄即期回报对公司主要财务指标的影响，最终以实际发行完成</w:t>
      </w:r>
      <w:r>
        <w:rPr>
          <w:rFonts w:hint="eastAsia"/>
        </w:rPr>
        <w:lastRenderedPageBreak/>
        <w:t>时间为准；</w:t>
      </w:r>
    </w:p>
    <w:p w14:paraId="778C176D" w14:textId="77777777" w:rsidR="008005C6" w:rsidRDefault="002A5F93">
      <w:pPr>
        <w:pStyle w:val="3"/>
        <w:spacing w:before="156" w:after="156"/>
        <w:ind w:firstLine="480"/>
      </w:pPr>
      <w:r>
        <w:rPr>
          <w:rFonts w:hint="eastAsia"/>
        </w:rPr>
        <w:t>2</w:t>
      </w:r>
      <w:r>
        <w:rPr>
          <w:rFonts w:hint="eastAsia"/>
        </w:rPr>
        <w:t>、假设宏观经济环境、产业政策、证券行业情况、产品市场情况及公司经营环境等方面没有发生重大不利变化；</w:t>
      </w:r>
    </w:p>
    <w:p w14:paraId="546B9FF1" w14:textId="77777777" w:rsidR="008005C6" w:rsidRDefault="002A5F93">
      <w:pPr>
        <w:pStyle w:val="3"/>
        <w:spacing w:before="156" w:after="156"/>
        <w:ind w:firstLine="480"/>
      </w:pPr>
      <w:r>
        <w:rPr>
          <w:rFonts w:hint="eastAsia"/>
        </w:rPr>
        <w:t>3</w:t>
      </w:r>
      <w:r>
        <w:rPr>
          <w:rFonts w:hint="eastAsia"/>
        </w:rPr>
        <w:t>、假设按照本次非公开发行股票的数量上限计算，发行</w:t>
      </w:r>
      <w:r>
        <w:rPr>
          <w:rFonts w:hint="eastAsia"/>
        </w:rPr>
        <w:t>149,700,000</w:t>
      </w:r>
      <w:r>
        <w:rPr>
          <w:rFonts w:hint="eastAsia"/>
        </w:rPr>
        <w:t>股。前述非公开发行股票数量仅为基于测算目的假设，最终发行数量以中国证监会核准的结果为准；</w:t>
      </w:r>
    </w:p>
    <w:p w14:paraId="3FE3B765" w14:textId="77777777" w:rsidR="008005C6" w:rsidRDefault="002A5F93">
      <w:pPr>
        <w:pStyle w:val="3"/>
        <w:spacing w:before="156" w:after="156"/>
        <w:ind w:firstLine="480"/>
      </w:pPr>
      <w:r>
        <w:t>4</w:t>
      </w:r>
      <w:r>
        <w:rPr>
          <w:rFonts w:hint="eastAsia"/>
        </w:rPr>
        <w:t>、假设本次非公开发行募集资金总额为</w:t>
      </w:r>
      <w:r>
        <w:t>120,000.00</w:t>
      </w:r>
      <w:r>
        <w:rPr>
          <w:rFonts w:hint="eastAsia"/>
        </w:rPr>
        <w:t>万元，不考虑发行费用，本次非公开发行实际到账的募集资金规模将根据发行认购情况、发行费用等情况最终确定；</w:t>
      </w:r>
    </w:p>
    <w:p w14:paraId="1DFF652D" w14:textId="77777777" w:rsidR="008005C6" w:rsidRDefault="002A5F93">
      <w:pPr>
        <w:pStyle w:val="3"/>
        <w:spacing w:before="156" w:after="156"/>
        <w:ind w:firstLine="480"/>
        <w:rPr>
          <w:kern w:val="0"/>
        </w:rPr>
      </w:pPr>
      <w:r>
        <w:t>5</w:t>
      </w:r>
      <w:r>
        <w:t>、</w:t>
      </w:r>
      <w:r>
        <w:rPr>
          <w:rFonts w:hint="eastAsia"/>
          <w:kern w:val="0"/>
        </w:rPr>
        <w:t>根据公司</w:t>
      </w:r>
      <w:r>
        <w:rPr>
          <w:rFonts w:hint="eastAsia"/>
          <w:kern w:val="0"/>
        </w:rPr>
        <w:t>2</w:t>
      </w:r>
      <w:r>
        <w:rPr>
          <w:kern w:val="0"/>
        </w:rPr>
        <w:t>019</w:t>
      </w:r>
      <w:r>
        <w:rPr>
          <w:rFonts w:hint="eastAsia"/>
          <w:kern w:val="0"/>
        </w:rPr>
        <w:t>年年报披露，</w:t>
      </w:r>
      <w:r>
        <w:rPr>
          <w:rFonts w:hint="eastAsia"/>
          <w:kern w:val="0"/>
        </w:rPr>
        <w:t>201</w:t>
      </w:r>
      <w:r>
        <w:rPr>
          <w:kern w:val="0"/>
        </w:rPr>
        <w:t>9</w:t>
      </w:r>
      <w:r>
        <w:rPr>
          <w:rFonts w:hint="eastAsia"/>
          <w:kern w:val="0"/>
        </w:rPr>
        <w:t>年公司实现的归属于母公司所有者的净利润及扣除非经常性损益后归属于母公司所有者的净利润为</w:t>
      </w:r>
      <w:r>
        <w:rPr>
          <w:kern w:val="0"/>
        </w:rPr>
        <w:t>10,672.89</w:t>
      </w:r>
      <w:r>
        <w:rPr>
          <w:rFonts w:hint="eastAsia"/>
          <w:kern w:val="0"/>
        </w:rPr>
        <w:t>万元和</w:t>
      </w:r>
      <w:r>
        <w:rPr>
          <w:kern w:val="0"/>
        </w:rPr>
        <w:t>10,383.01</w:t>
      </w:r>
      <w:r>
        <w:rPr>
          <w:rFonts w:hint="eastAsia"/>
          <w:kern w:val="0"/>
        </w:rPr>
        <w:t>万元；</w:t>
      </w:r>
    </w:p>
    <w:p w14:paraId="69D92DC3" w14:textId="77777777" w:rsidR="008005C6" w:rsidRDefault="002A5F93">
      <w:pPr>
        <w:pStyle w:val="3"/>
        <w:spacing w:before="156" w:after="156"/>
        <w:ind w:firstLine="480"/>
      </w:pPr>
      <w:r>
        <w:t>6</w:t>
      </w:r>
      <w:r>
        <w:t>、</w:t>
      </w:r>
      <w:r>
        <w:rPr>
          <w:rFonts w:hint="eastAsia"/>
        </w:rPr>
        <w:t>公司处于快速发展期，但由于公司业绩受到宏观经济、行业周期以及业务发展状况等多重因素影响，未来整体收益情况较难准确预测，</w:t>
      </w:r>
      <w:r>
        <w:t>2020</w:t>
      </w:r>
      <w:r>
        <w:t>年度归属于母公司所有者的扣除非经常性损益前</w:t>
      </w:r>
      <w:r>
        <w:t>/</w:t>
      </w:r>
      <w:r>
        <w:t>后的净利润分别按以下三种情况进行测算：（</w:t>
      </w:r>
      <w:r>
        <w:t>1</w:t>
      </w:r>
      <w:r>
        <w:t>）较上期增长</w:t>
      </w:r>
      <w:r>
        <w:t>15%</w:t>
      </w:r>
      <w:r>
        <w:t>；（</w:t>
      </w:r>
      <w:r>
        <w:t>2</w:t>
      </w:r>
      <w:r>
        <w:t>）与上期持平；（</w:t>
      </w:r>
      <w:r>
        <w:t>3</w:t>
      </w:r>
      <w:r>
        <w:t>）较上期下降</w:t>
      </w:r>
      <w:r>
        <w:t>15%</w:t>
      </w:r>
      <w:r>
        <w:t>。</w:t>
      </w:r>
      <w:r>
        <w:rPr>
          <w:rFonts w:hint="eastAsia"/>
        </w:rPr>
        <w:t>该假设仅用于计算本次非公开发行股票摊薄即期回报对主要财务指标的影响，并不代表公司对</w:t>
      </w:r>
      <w:r>
        <w:rPr>
          <w:rFonts w:hint="eastAsia"/>
        </w:rPr>
        <w:t>2020</w:t>
      </w:r>
      <w:r>
        <w:rPr>
          <w:rFonts w:hint="eastAsia"/>
        </w:rPr>
        <w:t>年度经营情况及趋势的判断，亦不构成公司盈利预测；</w:t>
      </w:r>
    </w:p>
    <w:p w14:paraId="4BBD7771" w14:textId="77777777" w:rsidR="008005C6" w:rsidRDefault="002A5F93">
      <w:pPr>
        <w:pStyle w:val="3"/>
        <w:spacing w:before="156" w:after="156"/>
        <w:ind w:firstLine="480"/>
      </w:pPr>
      <w:r>
        <w:t>7</w:t>
      </w:r>
      <w:r>
        <w:t>、</w:t>
      </w:r>
      <w:r>
        <w:rPr>
          <w:rFonts w:hint="eastAsia"/>
        </w:rPr>
        <w:t>未考虑其他非经常性损益、不可抗力因素对公司财务状况的影响；</w:t>
      </w:r>
    </w:p>
    <w:p w14:paraId="3E9C0F94" w14:textId="77777777" w:rsidR="008005C6" w:rsidRDefault="002A5F93">
      <w:pPr>
        <w:pStyle w:val="3"/>
        <w:spacing w:before="156" w:after="156"/>
        <w:ind w:firstLine="480"/>
      </w:pPr>
      <w:r>
        <w:t>8</w:t>
      </w:r>
      <w:r>
        <w:t>、</w:t>
      </w:r>
      <w:r>
        <w:rPr>
          <w:rFonts w:hint="eastAsia"/>
        </w:rPr>
        <w:t>未考虑本次发行募集资金到账后，对公司经营、财务状况（如财务费用、投资收益）等的影响。</w:t>
      </w:r>
    </w:p>
    <w:p w14:paraId="040E7F54" w14:textId="77777777" w:rsidR="008005C6" w:rsidRDefault="002A5F93">
      <w:pPr>
        <w:pStyle w:val="23"/>
        <w:spacing w:before="156" w:after="156"/>
        <w:ind w:firstLine="482"/>
        <w:rPr>
          <w:rFonts w:eastAsia="黑体"/>
        </w:rPr>
      </w:pPr>
      <w:bookmarkStart w:id="5" w:name="_Toc471902581"/>
      <w:r>
        <w:rPr>
          <w:rFonts w:eastAsia="黑体" w:hint="eastAsia"/>
        </w:rPr>
        <w:t>（二）对公司主要财务指标的影响</w:t>
      </w:r>
      <w:bookmarkEnd w:id="5"/>
    </w:p>
    <w:p w14:paraId="3B3775D5" w14:textId="77777777" w:rsidR="008005C6" w:rsidRDefault="002A5F93">
      <w:pPr>
        <w:pStyle w:val="3"/>
        <w:spacing w:before="156" w:after="156"/>
        <w:ind w:firstLine="480"/>
      </w:pPr>
      <w:r>
        <w:t>基于上述假设，本次公开发行摊薄即期回报对公司主要财务指标影响的测算如下：</w:t>
      </w:r>
    </w:p>
    <w:p w14:paraId="59B04EAF" w14:textId="6A56C76E" w:rsidR="008005C6" w:rsidRDefault="008005C6" w:rsidP="00E068F7">
      <w:pPr>
        <w:pStyle w:val="aff8"/>
        <w:adjustRightInd w:val="0"/>
        <w:snapToGrid w:val="0"/>
        <w:spacing w:beforeLines="0" w:afterLines="0" w:line="240" w:lineRule="atLeast"/>
        <w:ind w:firstLine="480"/>
        <w:jc w:val="right"/>
      </w:pPr>
    </w:p>
    <w:tbl>
      <w:tblPr>
        <w:tblW w:w="850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71"/>
        <w:gridCol w:w="1441"/>
        <w:gridCol w:w="1553"/>
        <w:gridCol w:w="1340"/>
      </w:tblGrid>
      <w:tr w:rsidR="008005C6" w14:paraId="557D3B1D" w14:textId="77777777">
        <w:trPr>
          <w:trHeight w:val="397"/>
          <w:tblHeader/>
          <w:jc w:val="center"/>
        </w:trPr>
        <w:tc>
          <w:tcPr>
            <w:tcW w:w="4171" w:type="dxa"/>
            <w:vMerge w:val="restart"/>
            <w:tcBorders>
              <w:tl2br w:val="nil"/>
              <w:tr2bl w:val="nil"/>
            </w:tcBorders>
            <w:tcMar>
              <w:top w:w="8" w:type="dxa"/>
              <w:left w:w="8" w:type="dxa"/>
              <w:right w:w="8" w:type="dxa"/>
            </w:tcMar>
            <w:vAlign w:val="center"/>
          </w:tcPr>
          <w:p w14:paraId="5BC77567" w14:textId="77777777" w:rsidR="008005C6" w:rsidRDefault="002A5F93">
            <w:pPr>
              <w:jc w:val="center"/>
              <w:textAlignment w:val="center"/>
              <w:rPr>
                <w:b/>
                <w:color w:val="000000"/>
                <w:szCs w:val="21"/>
              </w:rPr>
            </w:pPr>
            <w:r>
              <w:rPr>
                <w:rFonts w:hint="eastAsia"/>
                <w:b/>
                <w:color w:val="000000"/>
                <w:szCs w:val="21"/>
                <w:lang w:bidi="ar"/>
              </w:rPr>
              <w:t>项目</w:t>
            </w:r>
          </w:p>
        </w:tc>
        <w:tc>
          <w:tcPr>
            <w:tcW w:w="1441" w:type="dxa"/>
            <w:vMerge w:val="restart"/>
            <w:tcBorders>
              <w:tl2br w:val="nil"/>
              <w:tr2bl w:val="nil"/>
            </w:tcBorders>
            <w:tcMar>
              <w:top w:w="8" w:type="dxa"/>
              <w:left w:w="8" w:type="dxa"/>
              <w:right w:w="8" w:type="dxa"/>
            </w:tcMar>
            <w:vAlign w:val="center"/>
          </w:tcPr>
          <w:p w14:paraId="0DEFC47E" w14:textId="77777777" w:rsidR="008005C6" w:rsidRDefault="002A5F93">
            <w:pPr>
              <w:jc w:val="center"/>
              <w:textAlignment w:val="center"/>
              <w:rPr>
                <w:b/>
                <w:color w:val="000000"/>
                <w:szCs w:val="21"/>
                <w:lang w:bidi="ar"/>
              </w:rPr>
            </w:pPr>
            <w:r>
              <w:rPr>
                <w:b/>
                <w:color w:val="000000"/>
                <w:szCs w:val="21"/>
                <w:lang w:bidi="ar"/>
              </w:rPr>
              <w:t>2019</w:t>
            </w:r>
            <w:r>
              <w:rPr>
                <w:rFonts w:hint="eastAsia"/>
                <w:b/>
                <w:color w:val="000000"/>
                <w:szCs w:val="21"/>
                <w:lang w:bidi="ar"/>
              </w:rPr>
              <w:t>年度</w:t>
            </w:r>
            <w:r>
              <w:rPr>
                <w:b/>
                <w:color w:val="000000"/>
                <w:szCs w:val="21"/>
                <w:lang w:bidi="ar"/>
              </w:rPr>
              <w:t>/2019</w:t>
            </w:r>
            <w:r>
              <w:rPr>
                <w:rFonts w:hint="eastAsia"/>
                <w:b/>
                <w:color w:val="000000"/>
                <w:szCs w:val="21"/>
                <w:lang w:bidi="ar"/>
              </w:rPr>
              <w:t>年</w:t>
            </w:r>
            <w:r>
              <w:rPr>
                <w:b/>
                <w:color w:val="000000"/>
                <w:szCs w:val="21"/>
                <w:lang w:bidi="ar"/>
              </w:rPr>
              <w:t>12</w:t>
            </w:r>
            <w:r>
              <w:rPr>
                <w:rFonts w:hint="eastAsia"/>
                <w:b/>
                <w:color w:val="000000"/>
                <w:szCs w:val="21"/>
                <w:lang w:bidi="ar"/>
              </w:rPr>
              <w:t>月</w:t>
            </w:r>
            <w:r>
              <w:rPr>
                <w:b/>
                <w:color w:val="000000"/>
                <w:szCs w:val="21"/>
                <w:lang w:bidi="ar"/>
              </w:rPr>
              <w:t>31</w:t>
            </w:r>
            <w:r>
              <w:rPr>
                <w:rFonts w:hint="eastAsia"/>
                <w:b/>
                <w:color w:val="000000"/>
                <w:szCs w:val="21"/>
                <w:lang w:bidi="ar"/>
              </w:rPr>
              <w:t>日</w:t>
            </w:r>
          </w:p>
        </w:tc>
        <w:tc>
          <w:tcPr>
            <w:tcW w:w="2893" w:type="dxa"/>
            <w:gridSpan w:val="2"/>
            <w:tcBorders>
              <w:tl2br w:val="nil"/>
              <w:tr2bl w:val="nil"/>
            </w:tcBorders>
            <w:tcMar>
              <w:top w:w="8" w:type="dxa"/>
              <w:left w:w="8" w:type="dxa"/>
              <w:right w:w="8" w:type="dxa"/>
            </w:tcMar>
            <w:vAlign w:val="center"/>
          </w:tcPr>
          <w:p w14:paraId="4251C19B" w14:textId="77777777" w:rsidR="008005C6" w:rsidRDefault="002A5F93">
            <w:pPr>
              <w:jc w:val="center"/>
              <w:textAlignment w:val="center"/>
              <w:rPr>
                <w:b/>
                <w:color w:val="000000"/>
                <w:szCs w:val="21"/>
                <w:lang w:bidi="ar"/>
              </w:rPr>
            </w:pPr>
            <w:r>
              <w:rPr>
                <w:b/>
                <w:color w:val="000000"/>
                <w:szCs w:val="21"/>
                <w:lang w:bidi="ar"/>
              </w:rPr>
              <w:t>2020</w:t>
            </w:r>
            <w:r>
              <w:rPr>
                <w:rFonts w:hint="eastAsia"/>
                <w:b/>
                <w:color w:val="000000"/>
                <w:szCs w:val="21"/>
                <w:lang w:bidi="ar"/>
              </w:rPr>
              <w:t>年度</w:t>
            </w:r>
            <w:r>
              <w:rPr>
                <w:b/>
                <w:color w:val="000000"/>
                <w:szCs w:val="21"/>
                <w:lang w:bidi="ar"/>
              </w:rPr>
              <w:t>/2020</w:t>
            </w:r>
            <w:r>
              <w:rPr>
                <w:rFonts w:hint="eastAsia"/>
                <w:b/>
                <w:color w:val="000000"/>
                <w:szCs w:val="21"/>
                <w:lang w:bidi="ar"/>
              </w:rPr>
              <w:t>年</w:t>
            </w:r>
            <w:r>
              <w:rPr>
                <w:b/>
                <w:color w:val="000000"/>
                <w:szCs w:val="21"/>
                <w:lang w:bidi="ar"/>
              </w:rPr>
              <w:t>12</w:t>
            </w:r>
            <w:r>
              <w:rPr>
                <w:rFonts w:hint="eastAsia"/>
                <w:b/>
                <w:color w:val="000000"/>
                <w:szCs w:val="21"/>
                <w:lang w:bidi="ar"/>
              </w:rPr>
              <w:t>月</w:t>
            </w:r>
            <w:r>
              <w:rPr>
                <w:b/>
                <w:color w:val="000000"/>
                <w:szCs w:val="21"/>
                <w:lang w:bidi="ar"/>
              </w:rPr>
              <w:t>31</w:t>
            </w:r>
            <w:r>
              <w:rPr>
                <w:rFonts w:hint="eastAsia"/>
                <w:b/>
                <w:color w:val="000000"/>
                <w:szCs w:val="21"/>
                <w:lang w:bidi="ar"/>
              </w:rPr>
              <w:t>日</w:t>
            </w:r>
          </w:p>
        </w:tc>
      </w:tr>
      <w:tr w:rsidR="008005C6" w14:paraId="1D4F1FBE" w14:textId="77777777">
        <w:trPr>
          <w:trHeight w:val="397"/>
          <w:tblHeader/>
          <w:jc w:val="center"/>
        </w:trPr>
        <w:tc>
          <w:tcPr>
            <w:tcW w:w="4171" w:type="dxa"/>
            <w:vMerge/>
            <w:tcBorders>
              <w:tl2br w:val="nil"/>
              <w:tr2bl w:val="nil"/>
            </w:tcBorders>
            <w:tcMar>
              <w:top w:w="8" w:type="dxa"/>
              <w:left w:w="8" w:type="dxa"/>
              <w:right w:w="8" w:type="dxa"/>
            </w:tcMar>
            <w:vAlign w:val="center"/>
          </w:tcPr>
          <w:p w14:paraId="40519F47" w14:textId="77777777" w:rsidR="008005C6" w:rsidRDefault="008005C6">
            <w:pPr>
              <w:jc w:val="center"/>
              <w:rPr>
                <w:b/>
                <w:color w:val="000000"/>
                <w:szCs w:val="21"/>
              </w:rPr>
            </w:pPr>
          </w:p>
        </w:tc>
        <w:tc>
          <w:tcPr>
            <w:tcW w:w="1441" w:type="dxa"/>
            <w:vMerge/>
            <w:tcBorders>
              <w:tl2br w:val="nil"/>
              <w:tr2bl w:val="nil"/>
            </w:tcBorders>
            <w:tcMar>
              <w:top w:w="8" w:type="dxa"/>
              <w:left w:w="8" w:type="dxa"/>
              <w:right w:w="8" w:type="dxa"/>
            </w:tcMar>
            <w:vAlign w:val="center"/>
          </w:tcPr>
          <w:p w14:paraId="1658352C" w14:textId="77777777" w:rsidR="008005C6" w:rsidRDefault="008005C6">
            <w:pPr>
              <w:jc w:val="center"/>
              <w:textAlignment w:val="center"/>
              <w:rPr>
                <w:b/>
                <w:color w:val="000000"/>
                <w:szCs w:val="21"/>
                <w:lang w:bidi="ar"/>
              </w:rPr>
            </w:pPr>
          </w:p>
        </w:tc>
        <w:tc>
          <w:tcPr>
            <w:tcW w:w="1553" w:type="dxa"/>
            <w:tcBorders>
              <w:tl2br w:val="nil"/>
              <w:tr2bl w:val="nil"/>
            </w:tcBorders>
            <w:tcMar>
              <w:top w:w="8" w:type="dxa"/>
              <w:left w:w="8" w:type="dxa"/>
              <w:right w:w="8" w:type="dxa"/>
            </w:tcMar>
            <w:vAlign w:val="center"/>
          </w:tcPr>
          <w:p w14:paraId="50FC8C4F" w14:textId="77777777" w:rsidR="008005C6" w:rsidRDefault="002A5F93">
            <w:pPr>
              <w:jc w:val="center"/>
              <w:textAlignment w:val="center"/>
              <w:rPr>
                <w:b/>
                <w:color w:val="000000"/>
                <w:szCs w:val="21"/>
                <w:lang w:bidi="ar"/>
              </w:rPr>
            </w:pPr>
            <w:r>
              <w:rPr>
                <w:rFonts w:hint="eastAsia"/>
                <w:b/>
                <w:color w:val="000000"/>
                <w:szCs w:val="21"/>
                <w:lang w:bidi="ar"/>
              </w:rPr>
              <w:t>本次发行前</w:t>
            </w:r>
          </w:p>
        </w:tc>
        <w:tc>
          <w:tcPr>
            <w:tcW w:w="1340" w:type="dxa"/>
            <w:tcBorders>
              <w:tl2br w:val="nil"/>
              <w:tr2bl w:val="nil"/>
            </w:tcBorders>
            <w:tcMar>
              <w:top w:w="8" w:type="dxa"/>
              <w:left w:w="8" w:type="dxa"/>
              <w:right w:w="8" w:type="dxa"/>
            </w:tcMar>
            <w:vAlign w:val="center"/>
          </w:tcPr>
          <w:p w14:paraId="039F9CCD" w14:textId="77777777" w:rsidR="008005C6" w:rsidRDefault="002A5F93">
            <w:pPr>
              <w:jc w:val="center"/>
              <w:textAlignment w:val="center"/>
              <w:rPr>
                <w:b/>
                <w:color w:val="000000"/>
                <w:szCs w:val="21"/>
                <w:lang w:bidi="ar"/>
              </w:rPr>
            </w:pPr>
            <w:r>
              <w:rPr>
                <w:rFonts w:hint="eastAsia"/>
                <w:b/>
                <w:color w:val="000000"/>
                <w:szCs w:val="21"/>
                <w:lang w:bidi="ar"/>
              </w:rPr>
              <w:t>本次发行后</w:t>
            </w:r>
          </w:p>
        </w:tc>
      </w:tr>
      <w:tr w:rsidR="008005C6" w14:paraId="67272D21" w14:textId="77777777">
        <w:trPr>
          <w:trHeight w:val="397"/>
          <w:jc w:val="center"/>
        </w:trPr>
        <w:tc>
          <w:tcPr>
            <w:tcW w:w="4171" w:type="dxa"/>
            <w:tcBorders>
              <w:tl2br w:val="nil"/>
              <w:tr2bl w:val="nil"/>
            </w:tcBorders>
            <w:tcMar>
              <w:top w:w="8" w:type="dxa"/>
              <w:left w:w="8" w:type="dxa"/>
              <w:right w:w="8" w:type="dxa"/>
            </w:tcMar>
            <w:vAlign w:val="center"/>
          </w:tcPr>
          <w:p w14:paraId="7F81897F" w14:textId="77777777" w:rsidR="008005C6" w:rsidRDefault="002A5F93">
            <w:pPr>
              <w:textAlignment w:val="center"/>
              <w:rPr>
                <w:color w:val="000000"/>
                <w:szCs w:val="21"/>
              </w:rPr>
            </w:pPr>
            <w:r>
              <w:rPr>
                <w:rFonts w:hint="eastAsia"/>
                <w:color w:val="000000"/>
                <w:szCs w:val="21"/>
                <w:lang w:bidi="ar"/>
              </w:rPr>
              <w:t>总股本（万股）</w:t>
            </w:r>
          </w:p>
        </w:tc>
        <w:tc>
          <w:tcPr>
            <w:tcW w:w="1441" w:type="dxa"/>
            <w:tcBorders>
              <w:tl2br w:val="nil"/>
              <w:tr2bl w:val="nil"/>
            </w:tcBorders>
            <w:tcMar>
              <w:top w:w="8" w:type="dxa"/>
              <w:left w:w="8" w:type="dxa"/>
              <w:right w:w="8" w:type="dxa"/>
            </w:tcMar>
            <w:vAlign w:val="center"/>
          </w:tcPr>
          <w:p w14:paraId="2784C64C" w14:textId="77777777" w:rsidR="008005C6" w:rsidRDefault="002A5F93">
            <w:pPr>
              <w:jc w:val="right"/>
              <w:textAlignment w:val="center"/>
              <w:rPr>
                <w:szCs w:val="21"/>
              </w:rPr>
            </w:pPr>
            <w:r>
              <w:rPr>
                <w:szCs w:val="21"/>
              </w:rPr>
              <w:t>49,900.00</w:t>
            </w:r>
          </w:p>
        </w:tc>
        <w:tc>
          <w:tcPr>
            <w:tcW w:w="1553" w:type="dxa"/>
            <w:tcBorders>
              <w:tl2br w:val="nil"/>
              <w:tr2bl w:val="nil"/>
            </w:tcBorders>
            <w:tcMar>
              <w:top w:w="8" w:type="dxa"/>
              <w:left w:w="8" w:type="dxa"/>
              <w:right w:w="8" w:type="dxa"/>
            </w:tcMar>
            <w:vAlign w:val="center"/>
          </w:tcPr>
          <w:p w14:paraId="2BB82083" w14:textId="77777777" w:rsidR="008005C6" w:rsidRDefault="002A5F93">
            <w:pPr>
              <w:jc w:val="right"/>
              <w:textAlignment w:val="center"/>
              <w:rPr>
                <w:szCs w:val="21"/>
              </w:rPr>
            </w:pPr>
            <w:r>
              <w:rPr>
                <w:szCs w:val="21"/>
              </w:rPr>
              <w:t>49,900.00</w:t>
            </w:r>
          </w:p>
        </w:tc>
        <w:tc>
          <w:tcPr>
            <w:tcW w:w="1340" w:type="dxa"/>
            <w:tcBorders>
              <w:tl2br w:val="nil"/>
              <w:tr2bl w:val="nil"/>
            </w:tcBorders>
            <w:tcMar>
              <w:top w:w="8" w:type="dxa"/>
              <w:left w:w="8" w:type="dxa"/>
              <w:right w:w="8" w:type="dxa"/>
            </w:tcMar>
            <w:vAlign w:val="center"/>
          </w:tcPr>
          <w:p w14:paraId="51C3FF54" w14:textId="77777777" w:rsidR="008005C6" w:rsidRDefault="002A5F93">
            <w:pPr>
              <w:jc w:val="right"/>
              <w:textAlignment w:val="center"/>
              <w:rPr>
                <w:szCs w:val="21"/>
              </w:rPr>
            </w:pPr>
            <w:r>
              <w:rPr>
                <w:szCs w:val="21"/>
              </w:rPr>
              <w:t>64,870.00</w:t>
            </w:r>
          </w:p>
        </w:tc>
      </w:tr>
      <w:tr w:rsidR="008005C6" w14:paraId="135038B7" w14:textId="77777777">
        <w:trPr>
          <w:trHeight w:val="397"/>
          <w:jc w:val="center"/>
        </w:trPr>
        <w:tc>
          <w:tcPr>
            <w:tcW w:w="8505" w:type="dxa"/>
            <w:gridSpan w:val="4"/>
            <w:tcBorders>
              <w:tl2br w:val="nil"/>
              <w:tr2bl w:val="nil"/>
            </w:tcBorders>
            <w:tcMar>
              <w:top w:w="8" w:type="dxa"/>
              <w:left w:w="8" w:type="dxa"/>
              <w:right w:w="8" w:type="dxa"/>
            </w:tcMar>
            <w:vAlign w:val="center"/>
          </w:tcPr>
          <w:p w14:paraId="64FB2F3E" w14:textId="77777777" w:rsidR="008005C6" w:rsidRDefault="002A5F93">
            <w:pPr>
              <w:textAlignment w:val="center"/>
              <w:rPr>
                <w:b/>
                <w:color w:val="000000"/>
                <w:szCs w:val="21"/>
                <w:lang w:bidi="ar"/>
              </w:rPr>
            </w:pPr>
            <w:r>
              <w:rPr>
                <w:rFonts w:hint="eastAsia"/>
                <w:b/>
                <w:color w:val="000000"/>
                <w:szCs w:val="21"/>
                <w:lang w:bidi="ar"/>
              </w:rPr>
              <w:t>情形</w:t>
            </w:r>
            <w:proofErr w:type="gramStart"/>
            <w:r>
              <w:rPr>
                <w:rFonts w:hint="eastAsia"/>
                <w:b/>
                <w:color w:val="000000"/>
                <w:szCs w:val="21"/>
                <w:lang w:bidi="ar"/>
              </w:rPr>
              <w:t>一</w:t>
            </w:r>
            <w:proofErr w:type="gramEnd"/>
            <w:r>
              <w:rPr>
                <w:rFonts w:hint="eastAsia"/>
                <w:b/>
                <w:color w:val="000000"/>
                <w:szCs w:val="21"/>
                <w:lang w:bidi="ar"/>
              </w:rPr>
              <w:t>：假设</w:t>
            </w:r>
            <w:r>
              <w:rPr>
                <w:b/>
                <w:color w:val="000000"/>
                <w:szCs w:val="21"/>
                <w:lang w:bidi="ar"/>
              </w:rPr>
              <w:t>2020</w:t>
            </w:r>
            <w:r>
              <w:rPr>
                <w:rFonts w:hint="eastAsia"/>
                <w:b/>
                <w:color w:val="000000"/>
                <w:szCs w:val="21"/>
                <w:lang w:bidi="ar"/>
              </w:rPr>
              <w:t>年度扣除非经常性损益前</w:t>
            </w:r>
            <w:r>
              <w:rPr>
                <w:b/>
                <w:color w:val="000000"/>
                <w:szCs w:val="21"/>
                <w:lang w:bidi="ar"/>
              </w:rPr>
              <w:t>/</w:t>
            </w:r>
            <w:r>
              <w:rPr>
                <w:rFonts w:hint="eastAsia"/>
                <w:b/>
                <w:color w:val="000000"/>
                <w:szCs w:val="21"/>
                <w:lang w:bidi="ar"/>
              </w:rPr>
              <w:t>后归属母公司所有者的净利润较上期增长</w:t>
            </w:r>
            <w:r>
              <w:rPr>
                <w:b/>
                <w:color w:val="000000"/>
                <w:szCs w:val="21"/>
                <w:lang w:bidi="ar"/>
              </w:rPr>
              <w:t>15%</w:t>
            </w:r>
          </w:p>
        </w:tc>
      </w:tr>
      <w:tr w:rsidR="008005C6" w14:paraId="7CAE366A" w14:textId="77777777">
        <w:trPr>
          <w:trHeight w:val="397"/>
          <w:jc w:val="center"/>
        </w:trPr>
        <w:tc>
          <w:tcPr>
            <w:tcW w:w="4171" w:type="dxa"/>
            <w:tcBorders>
              <w:tl2br w:val="nil"/>
              <w:tr2bl w:val="nil"/>
            </w:tcBorders>
            <w:tcMar>
              <w:top w:w="8" w:type="dxa"/>
              <w:left w:w="8" w:type="dxa"/>
              <w:right w:w="8" w:type="dxa"/>
            </w:tcMar>
            <w:vAlign w:val="center"/>
          </w:tcPr>
          <w:p w14:paraId="079C7A22" w14:textId="77777777" w:rsidR="008005C6" w:rsidRDefault="002A5F93">
            <w:pPr>
              <w:textAlignment w:val="center"/>
              <w:rPr>
                <w:color w:val="000000"/>
                <w:szCs w:val="21"/>
              </w:rPr>
            </w:pPr>
            <w:r>
              <w:rPr>
                <w:rFonts w:hint="eastAsia"/>
                <w:color w:val="000000"/>
                <w:szCs w:val="21"/>
                <w:lang w:bidi="ar"/>
              </w:rPr>
              <w:lastRenderedPageBreak/>
              <w:t>归属于母公司所有者的净利润（万元）</w:t>
            </w:r>
          </w:p>
        </w:tc>
        <w:tc>
          <w:tcPr>
            <w:tcW w:w="1441" w:type="dxa"/>
            <w:tcBorders>
              <w:tl2br w:val="nil"/>
              <w:tr2bl w:val="nil"/>
            </w:tcBorders>
            <w:tcMar>
              <w:top w:w="8" w:type="dxa"/>
              <w:left w:w="8" w:type="dxa"/>
              <w:right w:w="8" w:type="dxa"/>
            </w:tcMar>
            <w:vAlign w:val="center"/>
          </w:tcPr>
          <w:p w14:paraId="19061FEE" w14:textId="77777777" w:rsidR="008005C6" w:rsidRDefault="002A5F93">
            <w:pPr>
              <w:jc w:val="right"/>
              <w:textAlignment w:val="center"/>
              <w:rPr>
                <w:color w:val="000000"/>
                <w:szCs w:val="21"/>
              </w:rPr>
            </w:pPr>
            <w:r>
              <w:rPr>
                <w:szCs w:val="21"/>
              </w:rPr>
              <w:t>10,672.89</w:t>
            </w:r>
          </w:p>
        </w:tc>
        <w:tc>
          <w:tcPr>
            <w:tcW w:w="1553" w:type="dxa"/>
            <w:tcBorders>
              <w:tl2br w:val="nil"/>
              <w:tr2bl w:val="nil"/>
            </w:tcBorders>
            <w:tcMar>
              <w:top w:w="8" w:type="dxa"/>
              <w:left w:w="8" w:type="dxa"/>
              <w:right w:w="8" w:type="dxa"/>
            </w:tcMar>
            <w:vAlign w:val="center"/>
          </w:tcPr>
          <w:p w14:paraId="1B039C12" w14:textId="77777777" w:rsidR="008005C6" w:rsidRDefault="002A5F93">
            <w:pPr>
              <w:jc w:val="right"/>
              <w:textAlignment w:val="center"/>
              <w:rPr>
                <w:szCs w:val="21"/>
              </w:rPr>
            </w:pPr>
            <w:r>
              <w:rPr>
                <w:szCs w:val="21"/>
              </w:rPr>
              <w:t>12,273.82</w:t>
            </w:r>
          </w:p>
        </w:tc>
        <w:tc>
          <w:tcPr>
            <w:tcW w:w="1340" w:type="dxa"/>
            <w:tcBorders>
              <w:tl2br w:val="nil"/>
              <w:tr2bl w:val="nil"/>
            </w:tcBorders>
            <w:tcMar>
              <w:top w:w="8" w:type="dxa"/>
              <w:left w:w="8" w:type="dxa"/>
              <w:right w:w="8" w:type="dxa"/>
            </w:tcMar>
            <w:vAlign w:val="center"/>
          </w:tcPr>
          <w:p w14:paraId="74871143" w14:textId="77777777" w:rsidR="008005C6" w:rsidRDefault="002A5F93">
            <w:pPr>
              <w:jc w:val="right"/>
              <w:textAlignment w:val="center"/>
              <w:rPr>
                <w:szCs w:val="21"/>
              </w:rPr>
            </w:pPr>
            <w:r>
              <w:rPr>
                <w:szCs w:val="21"/>
              </w:rPr>
              <w:t>12,273.82</w:t>
            </w:r>
          </w:p>
        </w:tc>
      </w:tr>
      <w:tr w:rsidR="008005C6" w14:paraId="0C37D95F" w14:textId="77777777">
        <w:trPr>
          <w:trHeight w:val="397"/>
          <w:jc w:val="center"/>
        </w:trPr>
        <w:tc>
          <w:tcPr>
            <w:tcW w:w="4171" w:type="dxa"/>
            <w:tcBorders>
              <w:tl2br w:val="nil"/>
              <w:tr2bl w:val="nil"/>
            </w:tcBorders>
            <w:tcMar>
              <w:top w:w="8" w:type="dxa"/>
              <w:left w:w="8" w:type="dxa"/>
              <w:right w:w="8" w:type="dxa"/>
            </w:tcMar>
            <w:vAlign w:val="center"/>
          </w:tcPr>
          <w:p w14:paraId="426A831C" w14:textId="77777777" w:rsidR="008005C6" w:rsidRDefault="002A5F93">
            <w:pPr>
              <w:textAlignment w:val="center"/>
              <w:rPr>
                <w:color w:val="000000"/>
                <w:szCs w:val="21"/>
              </w:rPr>
            </w:pPr>
            <w:r>
              <w:rPr>
                <w:rFonts w:hint="eastAsia"/>
                <w:color w:val="000000"/>
                <w:szCs w:val="21"/>
                <w:lang w:bidi="ar"/>
              </w:rPr>
              <w:t>扣除非经常性损益后归属于母公司所有者的净利润（万元）</w:t>
            </w:r>
          </w:p>
        </w:tc>
        <w:tc>
          <w:tcPr>
            <w:tcW w:w="1441" w:type="dxa"/>
            <w:tcBorders>
              <w:tl2br w:val="nil"/>
              <w:tr2bl w:val="nil"/>
            </w:tcBorders>
            <w:tcMar>
              <w:top w:w="8" w:type="dxa"/>
              <w:left w:w="8" w:type="dxa"/>
              <w:right w:w="8" w:type="dxa"/>
            </w:tcMar>
            <w:vAlign w:val="center"/>
          </w:tcPr>
          <w:p w14:paraId="0B3493BB" w14:textId="77777777" w:rsidR="008005C6" w:rsidRDefault="002A5F93">
            <w:pPr>
              <w:jc w:val="right"/>
              <w:textAlignment w:val="center"/>
              <w:rPr>
                <w:color w:val="000000"/>
                <w:szCs w:val="21"/>
              </w:rPr>
            </w:pPr>
            <w:r>
              <w:rPr>
                <w:szCs w:val="21"/>
              </w:rPr>
              <w:t>10,383.01</w:t>
            </w:r>
          </w:p>
        </w:tc>
        <w:tc>
          <w:tcPr>
            <w:tcW w:w="1553" w:type="dxa"/>
            <w:tcBorders>
              <w:tl2br w:val="nil"/>
              <w:tr2bl w:val="nil"/>
            </w:tcBorders>
            <w:tcMar>
              <w:top w:w="8" w:type="dxa"/>
              <w:left w:w="8" w:type="dxa"/>
              <w:right w:w="8" w:type="dxa"/>
            </w:tcMar>
            <w:vAlign w:val="center"/>
          </w:tcPr>
          <w:p w14:paraId="7B141624" w14:textId="77777777" w:rsidR="008005C6" w:rsidRDefault="002A5F93">
            <w:pPr>
              <w:jc w:val="right"/>
              <w:textAlignment w:val="center"/>
              <w:rPr>
                <w:szCs w:val="21"/>
              </w:rPr>
            </w:pPr>
            <w:r>
              <w:rPr>
                <w:szCs w:val="21"/>
              </w:rPr>
              <w:t>11,940.46</w:t>
            </w:r>
          </w:p>
        </w:tc>
        <w:tc>
          <w:tcPr>
            <w:tcW w:w="1340" w:type="dxa"/>
            <w:tcBorders>
              <w:tl2br w:val="nil"/>
              <w:tr2bl w:val="nil"/>
            </w:tcBorders>
            <w:tcMar>
              <w:top w:w="8" w:type="dxa"/>
              <w:left w:w="8" w:type="dxa"/>
              <w:right w:w="8" w:type="dxa"/>
            </w:tcMar>
            <w:vAlign w:val="center"/>
          </w:tcPr>
          <w:p w14:paraId="4CA25F89" w14:textId="77777777" w:rsidR="008005C6" w:rsidRDefault="002A5F93">
            <w:pPr>
              <w:jc w:val="right"/>
              <w:textAlignment w:val="center"/>
              <w:rPr>
                <w:szCs w:val="21"/>
              </w:rPr>
            </w:pPr>
            <w:r>
              <w:rPr>
                <w:szCs w:val="21"/>
              </w:rPr>
              <w:t>11,940.46</w:t>
            </w:r>
          </w:p>
        </w:tc>
      </w:tr>
      <w:tr w:rsidR="008005C6" w14:paraId="4B19F576" w14:textId="77777777">
        <w:trPr>
          <w:trHeight w:val="397"/>
          <w:jc w:val="center"/>
        </w:trPr>
        <w:tc>
          <w:tcPr>
            <w:tcW w:w="4171" w:type="dxa"/>
            <w:tcBorders>
              <w:tl2br w:val="nil"/>
              <w:tr2bl w:val="nil"/>
            </w:tcBorders>
            <w:tcMar>
              <w:top w:w="8" w:type="dxa"/>
              <w:left w:w="8" w:type="dxa"/>
              <w:right w:w="8" w:type="dxa"/>
            </w:tcMar>
            <w:vAlign w:val="center"/>
          </w:tcPr>
          <w:p w14:paraId="559AD9BE" w14:textId="77777777" w:rsidR="008005C6" w:rsidRDefault="002A5F93">
            <w:pPr>
              <w:textAlignment w:val="center"/>
              <w:rPr>
                <w:color w:val="000000"/>
                <w:szCs w:val="21"/>
              </w:rPr>
            </w:pPr>
            <w:r>
              <w:rPr>
                <w:rFonts w:hint="eastAsia"/>
                <w:color w:val="000000"/>
                <w:szCs w:val="21"/>
                <w:lang w:bidi="ar"/>
              </w:rPr>
              <w:t>期初归属于母公司所有者权益（万元）</w:t>
            </w:r>
          </w:p>
        </w:tc>
        <w:tc>
          <w:tcPr>
            <w:tcW w:w="1441" w:type="dxa"/>
            <w:tcBorders>
              <w:tl2br w:val="nil"/>
              <w:tr2bl w:val="nil"/>
            </w:tcBorders>
            <w:tcMar>
              <w:top w:w="8" w:type="dxa"/>
              <w:left w:w="8" w:type="dxa"/>
              <w:right w:w="8" w:type="dxa"/>
            </w:tcMar>
            <w:vAlign w:val="center"/>
          </w:tcPr>
          <w:p w14:paraId="30A02BC3" w14:textId="77777777" w:rsidR="008005C6" w:rsidRDefault="002A5F93">
            <w:pPr>
              <w:jc w:val="right"/>
              <w:textAlignment w:val="center"/>
              <w:rPr>
                <w:color w:val="000000"/>
                <w:szCs w:val="21"/>
              </w:rPr>
            </w:pPr>
            <w:r>
              <w:rPr>
                <w:szCs w:val="21"/>
              </w:rPr>
              <w:t>77,800.46</w:t>
            </w:r>
          </w:p>
        </w:tc>
        <w:tc>
          <w:tcPr>
            <w:tcW w:w="1553" w:type="dxa"/>
            <w:tcBorders>
              <w:tl2br w:val="nil"/>
              <w:tr2bl w:val="nil"/>
            </w:tcBorders>
            <w:tcMar>
              <w:top w:w="8" w:type="dxa"/>
              <w:left w:w="8" w:type="dxa"/>
              <w:right w:w="8" w:type="dxa"/>
            </w:tcMar>
            <w:vAlign w:val="center"/>
          </w:tcPr>
          <w:p w14:paraId="0BBB943C" w14:textId="77777777" w:rsidR="008005C6" w:rsidRDefault="002A5F93">
            <w:pPr>
              <w:jc w:val="right"/>
              <w:textAlignment w:val="center"/>
              <w:rPr>
                <w:szCs w:val="21"/>
              </w:rPr>
            </w:pPr>
            <w:r>
              <w:rPr>
                <w:szCs w:val="21"/>
              </w:rPr>
              <w:t>108,527.74</w:t>
            </w:r>
          </w:p>
        </w:tc>
        <w:tc>
          <w:tcPr>
            <w:tcW w:w="1340" w:type="dxa"/>
            <w:tcBorders>
              <w:tl2br w:val="nil"/>
              <w:tr2bl w:val="nil"/>
            </w:tcBorders>
            <w:tcMar>
              <w:top w:w="8" w:type="dxa"/>
              <w:left w:w="8" w:type="dxa"/>
              <w:right w:w="8" w:type="dxa"/>
            </w:tcMar>
            <w:vAlign w:val="center"/>
          </w:tcPr>
          <w:p w14:paraId="363284B5" w14:textId="77777777" w:rsidR="008005C6" w:rsidRDefault="002A5F93">
            <w:pPr>
              <w:jc w:val="right"/>
              <w:textAlignment w:val="center"/>
              <w:rPr>
                <w:szCs w:val="21"/>
              </w:rPr>
            </w:pPr>
            <w:r>
              <w:rPr>
                <w:szCs w:val="21"/>
              </w:rPr>
              <w:t>108,527.74</w:t>
            </w:r>
          </w:p>
        </w:tc>
      </w:tr>
      <w:tr w:rsidR="008005C6" w14:paraId="3619FBE7" w14:textId="77777777">
        <w:trPr>
          <w:trHeight w:val="397"/>
          <w:jc w:val="center"/>
        </w:trPr>
        <w:tc>
          <w:tcPr>
            <w:tcW w:w="4171" w:type="dxa"/>
            <w:tcBorders>
              <w:tl2br w:val="nil"/>
              <w:tr2bl w:val="nil"/>
            </w:tcBorders>
            <w:tcMar>
              <w:top w:w="8" w:type="dxa"/>
              <w:left w:w="8" w:type="dxa"/>
              <w:right w:w="8" w:type="dxa"/>
            </w:tcMar>
            <w:vAlign w:val="center"/>
          </w:tcPr>
          <w:p w14:paraId="3DEA8450" w14:textId="77777777" w:rsidR="008005C6" w:rsidRDefault="002A5F93">
            <w:pPr>
              <w:textAlignment w:val="center"/>
              <w:rPr>
                <w:color w:val="000000"/>
                <w:szCs w:val="21"/>
              </w:rPr>
            </w:pPr>
            <w:r>
              <w:rPr>
                <w:rFonts w:hint="eastAsia"/>
                <w:color w:val="000000"/>
                <w:szCs w:val="21"/>
                <w:lang w:bidi="ar"/>
              </w:rPr>
              <w:t>期末归属于母公司所有者权益（万元）</w:t>
            </w:r>
          </w:p>
        </w:tc>
        <w:tc>
          <w:tcPr>
            <w:tcW w:w="1441" w:type="dxa"/>
            <w:tcBorders>
              <w:tl2br w:val="nil"/>
              <w:tr2bl w:val="nil"/>
            </w:tcBorders>
            <w:tcMar>
              <w:top w:w="8" w:type="dxa"/>
              <w:left w:w="8" w:type="dxa"/>
              <w:right w:w="8" w:type="dxa"/>
            </w:tcMar>
            <w:vAlign w:val="center"/>
          </w:tcPr>
          <w:p w14:paraId="68E2BFBC" w14:textId="77777777" w:rsidR="008005C6" w:rsidRDefault="002A5F93">
            <w:pPr>
              <w:jc w:val="right"/>
              <w:textAlignment w:val="center"/>
              <w:rPr>
                <w:color w:val="000000"/>
                <w:szCs w:val="21"/>
              </w:rPr>
            </w:pPr>
            <w:r>
              <w:rPr>
                <w:szCs w:val="21"/>
              </w:rPr>
              <w:t>108,527.74</w:t>
            </w:r>
          </w:p>
        </w:tc>
        <w:tc>
          <w:tcPr>
            <w:tcW w:w="1553" w:type="dxa"/>
            <w:tcBorders>
              <w:tl2br w:val="nil"/>
              <w:tr2bl w:val="nil"/>
            </w:tcBorders>
            <w:tcMar>
              <w:top w:w="8" w:type="dxa"/>
              <w:left w:w="8" w:type="dxa"/>
              <w:right w:w="8" w:type="dxa"/>
            </w:tcMar>
            <w:vAlign w:val="center"/>
          </w:tcPr>
          <w:p w14:paraId="5DE284DC" w14:textId="77777777" w:rsidR="008005C6" w:rsidRDefault="002A5F93">
            <w:pPr>
              <w:jc w:val="right"/>
              <w:textAlignment w:val="center"/>
              <w:rPr>
                <w:szCs w:val="21"/>
              </w:rPr>
            </w:pPr>
            <w:r>
              <w:rPr>
                <w:szCs w:val="21"/>
              </w:rPr>
              <w:t>115,811.56</w:t>
            </w:r>
          </w:p>
        </w:tc>
        <w:tc>
          <w:tcPr>
            <w:tcW w:w="1340" w:type="dxa"/>
            <w:tcBorders>
              <w:tl2br w:val="nil"/>
              <w:tr2bl w:val="nil"/>
            </w:tcBorders>
            <w:tcMar>
              <w:top w:w="8" w:type="dxa"/>
              <w:left w:w="8" w:type="dxa"/>
              <w:right w:w="8" w:type="dxa"/>
            </w:tcMar>
            <w:vAlign w:val="center"/>
          </w:tcPr>
          <w:p w14:paraId="560FC589" w14:textId="77777777" w:rsidR="008005C6" w:rsidRDefault="002A5F93">
            <w:pPr>
              <w:jc w:val="right"/>
              <w:textAlignment w:val="center"/>
              <w:rPr>
                <w:szCs w:val="21"/>
              </w:rPr>
            </w:pPr>
            <w:r>
              <w:rPr>
                <w:szCs w:val="21"/>
              </w:rPr>
              <w:t>235,811.56</w:t>
            </w:r>
          </w:p>
        </w:tc>
      </w:tr>
      <w:tr w:rsidR="008005C6" w14:paraId="151C87D4" w14:textId="77777777">
        <w:trPr>
          <w:trHeight w:val="397"/>
          <w:jc w:val="center"/>
        </w:trPr>
        <w:tc>
          <w:tcPr>
            <w:tcW w:w="4171" w:type="dxa"/>
            <w:tcBorders>
              <w:tl2br w:val="nil"/>
              <w:tr2bl w:val="nil"/>
            </w:tcBorders>
            <w:tcMar>
              <w:top w:w="8" w:type="dxa"/>
              <w:left w:w="8" w:type="dxa"/>
              <w:right w:w="8" w:type="dxa"/>
            </w:tcMar>
            <w:vAlign w:val="center"/>
          </w:tcPr>
          <w:p w14:paraId="1DE18C4F" w14:textId="77777777" w:rsidR="008005C6" w:rsidRDefault="002A5F93">
            <w:pPr>
              <w:textAlignment w:val="center"/>
              <w:rPr>
                <w:color w:val="000000"/>
                <w:szCs w:val="21"/>
              </w:rPr>
            </w:pPr>
            <w:r>
              <w:rPr>
                <w:rFonts w:hint="eastAsia"/>
                <w:color w:val="000000"/>
                <w:szCs w:val="21"/>
                <w:lang w:bidi="ar"/>
              </w:rPr>
              <w:t>基本每股收益（元</w:t>
            </w:r>
            <w:r>
              <w:rPr>
                <w:szCs w:val="21"/>
              </w:rPr>
              <w:t>/</w:t>
            </w:r>
            <w:r>
              <w:rPr>
                <w:rFonts w:hint="eastAsia"/>
                <w:color w:val="000000"/>
                <w:szCs w:val="21"/>
              </w:rPr>
              <w:t>股）</w:t>
            </w:r>
          </w:p>
        </w:tc>
        <w:tc>
          <w:tcPr>
            <w:tcW w:w="1441" w:type="dxa"/>
            <w:tcBorders>
              <w:tl2br w:val="nil"/>
              <w:tr2bl w:val="nil"/>
            </w:tcBorders>
            <w:tcMar>
              <w:top w:w="8" w:type="dxa"/>
              <w:left w:w="8" w:type="dxa"/>
              <w:right w:w="8" w:type="dxa"/>
            </w:tcMar>
            <w:vAlign w:val="center"/>
          </w:tcPr>
          <w:p w14:paraId="70D07FCC" w14:textId="77777777" w:rsidR="008005C6" w:rsidRDefault="002A5F93">
            <w:pPr>
              <w:jc w:val="right"/>
              <w:textAlignment w:val="center"/>
              <w:rPr>
                <w:color w:val="000000"/>
                <w:szCs w:val="21"/>
              </w:rPr>
            </w:pPr>
            <w:r>
              <w:rPr>
                <w:szCs w:val="21"/>
              </w:rPr>
              <w:t>0.23</w:t>
            </w:r>
          </w:p>
        </w:tc>
        <w:tc>
          <w:tcPr>
            <w:tcW w:w="1553" w:type="dxa"/>
            <w:tcBorders>
              <w:tl2br w:val="nil"/>
              <w:tr2bl w:val="nil"/>
            </w:tcBorders>
            <w:tcMar>
              <w:top w:w="8" w:type="dxa"/>
              <w:left w:w="8" w:type="dxa"/>
              <w:right w:w="8" w:type="dxa"/>
            </w:tcMar>
            <w:vAlign w:val="center"/>
          </w:tcPr>
          <w:p w14:paraId="09C3B1CB" w14:textId="77777777" w:rsidR="008005C6" w:rsidRDefault="002A5F93">
            <w:pPr>
              <w:jc w:val="right"/>
              <w:textAlignment w:val="center"/>
              <w:rPr>
                <w:szCs w:val="21"/>
              </w:rPr>
            </w:pPr>
            <w:r>
              <w:rPr>
                <w:szCs w:val="21"/>
              </w:rPr>
              <w:t>0.25</w:t>
            </w:r>
          </w:p>
        </w:tc>
        <w:tc>
          <w:tcPr>
            <w:tcW w:w="1340" w:type="dxa"/>
            <w:tcBorders>
              <w:tl2br w:val="nil"/>
              <w:tr2bl w:val="nil"/>
            </w:tcBorders>
            <w:tcMar>
              <w:top w:w="8" w:type="dxa"/>
              <w:left w:w="8" w:type="dxa"/>
              <w:right w:w="8" w:type="dxa"/>
            </w:tcMar>
            <w:vAlign w:val="center"/>
          </w:tcPr>
          <w:p w14:paraId="338875D0" w14:textId="77777777" w:rsidR="008005C6" w:rsidRDefault="002A5F93">
            <w:pPr>
              <w:jc w:val="right"/>
              <w:textAlignment w:val="center"/>
              <w:rPr>
                <w:szCs w:val="21"/>
              </w:rPr>
            </w:pPr>
            <w:r>
              <w:rPr>
                <w:szCs w:val="21"/>
              </w:rPr>
              <w:t>0.24</w:t>
            </w:r>
          </w:p>
        </w:tc>
      </w:tr>
      <w:tr w:rsidR="008005C6" w14:paraId="3F8375E1" w14:textId="77777777">
        <w:trPr>
          <w:trHeight w:val="397"/>
          <w:jc w:val="center"/>
        </w:trPr>
        <w:tc>
          <w:tcPr>
            <w:tcW w:w="4171" w:type="dxa"/>
            <w:tcBorders>
              <w:tl2br w:val="nil"/>
              <w:tr2bl w:val="nil"/>
            </w:tcBorders>
            <w:tcMar>
              <w:top w:w="8" w:type="dxa"/>
              <w:left w:w="8" w:type="dxa"/>
              <w:right w:w="8" w:type="dxa"/>
            </w:tcMar>
            <w:vAlign w:val="center"/>
          </w:tcPr>
          <w:p w14:paraId="02938CA3" w14:textId="77777777" w:rsidR="008005C6" w:rsidRDefault="002A5F93">
            <w:pPr>
              <w:textAlignment w:val="center"/>
              <w:rPr>
                <w:color w:val="000000"/>
                <w:szCs w:val="21"/>
              </w:rPr>
            </w:pPr>
            <w:r>
              <w:rPr>
                <w:rFonts w:hint="eastAsia"/>
                <w:color w:val="000000"/>
                <w:szCs w:val="21"/>
                <w:lang w:bidi="ar"/>
              </w:rPr>
              <w:t>扣除非经常性损益后基本每股收益（元</w:t>
            </w:r>
            <w:r>
              <w:rPr>
                <w:szCs w:val="21"/>
              </w:rPr>
              <w:t>/</w:t>
            </w:r>
            <w:r>
              <w:rPr>
                <w:rFonts w:hint="eastAsia"/>
                <w:color w:val="000000"/>
                <w:szCs w:val="21"/>
              </w:rPr>
              <w:t>股）</w:t>
            </w:r>
          </w:p>
        </w:tc>
        <w:tc>
          <w:tcPr>
            <w:tcW w:w="1441" w:type="dxa"/>
            <w:tcBorders>
              <w:tl2br w:val="nil"/>
              <w:tr2bl w:val="nil"/>
            </w:tcBorders>
            <w:tcMar>
              <w:top w:w="8" w:type="dxa"/>
              <w:left w:w="8" w:type="dxa"/>
              <w:right w:w="8" w:type="dxa"/>
            </w:tcMar>
            <w:vAlign w:val="center"/>
          </w:tcPr>
          <w:p w14:paraId="7186FAAA" w14:textId="77777777" w:rsidR="008005C6" w:rsidRDefault="002A5F93">
            <w:pPr>
              <w:jc w:val="right"/>
              <w:textAlignment w:val="center"/>
              <w:rPr>
                <w:color w:val="000000"/>
                <w:szCs w:val="21"/>
              </w:rPr>
            </w:pPr>
            <w:r>
              <w:rPr>
                <w:szCs w:val="21"/>
              </w:rPr>
              <w:t>0.23</w:t>
            </w:r>
          </w:p>
        </w:tc>
        <w:tc>
          <w:tcPr>
            <w:tcW w:w="1553" w:type="dxa"/>
            <w:tcBorders>
              <w:tl2br w:val="nil"/>
              <w:tr2bl w:val="nil"/>
            </w:tcBorders>
            <w:tcMar>
              <w:top w:w="8" w:type="dxa"/>
              <w:left w:w="8" w:type="dxa"/>
              <w:right w:w="8" w:type="dxa"/>
            </w:tcMar>
            <w:vAlign w:val="center"/>
          </w:tcPr>
          <w:p w14:paraId="624B4777" w14:textId="77777777" w:rsidR="008005C6" w:rsidRDefault="002A5F93">
            <w:pPr>
              <w:jc w:val="right"/>
              <w:textAlignment w:val="center"/>
              <w:rPr>
                <w:szCs w:val="21"/>
              </w:rPr>
            </w:pPr>
            <w:r>
              <w:rPr>
                <w:szCs w:val="21"/>
              </w:rPr>
              <w:t>0.24</w:t>
            </w:r>
          </w:p>
        </w:tc>
        <w:tc>
          <w:tcPr>
            <w:tcW w:w="1340" w:type="dxa"/>
            <w:tcBorders>
              <w:tl2br w:val="nil"/>
              <w:tr2bl w:val="nil"/>
            </w:tcBorders>
            <w:tcMar>
              <w:top w:w="8" w:type="dxa"/>
              <w:left w:w="8" w:type="dxa"/>
              <w:right w:w="8" w:type="dxa"/>
            </w:tcMar>
            <w:vAlign w:val="center"/>
          </w:tcPr>
          <w:p w14:paraId="7D018CCC" w14:textId="77777777" w:rsidR="008005C6" w:rsidRDefault="002A5F93">
            <w:pPr>
              <w:jc w:val="right"/>
              <w:textAlignment w:val="center"/>
              <w:rPr>
                <w:szCs w:val="21"/>
              </w:rPr>
            </w:pPr>
            <w:r>
              <w:rPr>
                <w:szCs w:val="21"/>
              </w:rPr>
              <w:t>0.23</w:t>
            </w:r>
          </w:p>
        </w:tc>
      </w:tr>
      <w:tr w:rsidR="008005C6" w14:paraId="09C43A9F" w14:textId="77777777">
        <w:trPr>
          <w:trHeight w:val="397"/>
          <w:jc w:val="center"/>
        </w:trPr>
        <w:tc>
          <w:tcPr>
            <w:tcW w:w="4171" w:type="dxa"/>
            <w:tcBorders>
              <w:tl2br w:val="nil"/>
              <w:tr2bl w:val="nil"/>
            </w:tcBorders>
            <w:tcMar>
              <w:top w:w="8" w:type="dxa"/>
              <w:left w:w="8" w:type="dxa"/>
              <w:right w:w="8" w:type="dxa"/>
            </w:tcMar>
            <w:vAlign w:val="center"/>
          </w:tcPr>
          <w:p w14:paraId="314E17AC" w14:textId="77777777" w:rsidR="008005C6" w:rsidRDefault="002A5F93">
            <w:pPr>
              <w:textAlignment w:val="center"/>
              <w:rPr>
                <w:color w:val="000000"/>
                <w:szCs w:val="21"/>
              </w:rPr>
            </w:pPr>
            <w:r>
              <w:rPr>
                <w:rFonts w:hint="eastAsia"/>
                <w:color w:val="000000"/>
                <w:szCs w:val="21"/>
                <w:lang w:bidi="ar"/>
              </w:rPr>
              <w:t>加权平均净资产收益率（</w:t>
            </w:r>
            <w:r>
              <w:rPr>
                <w:szCs w:val="21"/>
              </w:rPr>
              <w:t>%</w:t>
            </w:r>
            <w:r>
              <w:rPr>
                <w:rFonts w:hint="eastAsia"/>
                <w:color w:val="000000"/>
                <w:szCs w:val="21"/>
              </w:rPr>
              <w:t>）</w:t>
            </w:r>
          </w:p>
        </w:tc>
        <w:tc>
          <w:tcPr>
            <w:tcW w:w="1441" w:type="dxa"/>
            <w:tcBorders>
              <w:tl2br w:val="nil"/>
              <w:tr2bl w:val="nil"/>
            </w:tcBorders>
            <w:tcMar>
              <w:top w:w="8" w:type="dxa"/>
              <w:left w:w="8" w:type="dxa"/>
              <w:right w:w="8" w:type="dxa"/>
            </w:tcMar>
            <w:vAlign w:val="center"/>
          </w:tcPr>
          <w:p w14:paraId="1BEF00A5" w14:textId="77777777" w:rsidR="008005C6" w:rsidRDefault="002A5F93">
            <w:pPr>
              <w:jc w:val="right"/>
              <w:textAlignment w:val="center"/>
              <w:rPr>
                <w:color w:val="000000"/>
                <w:szCs w:val="21"/>
              </w:rPr>
            </w:pPr>
            <w:r>
              <w:rPr>
                <w:szCs w:val="21"/>
              </w:rPr>
              <w:t>12.34</w:t>
            </w:r>
          </w:p>
        </w:tc>
        <w:tc>
          <w:tcPr>
            <w:tcW w:w="1553" w:type="dxa"/>
            <w:tcBorders>
              <w:tl2br w:val="nil"/>
              <w:tr2bl w:val="nil"/>
            </w:tcBorders>
            <w:tcMar>
              <w:top w:w="8" w:type="dxa"/>
              <w:left w:w="8" w:type="dxa"/>
              <w:right w:w="8" w:type="dxa"/>
            </w:tcMar>
            <w:vAlign w:val="center"/>
          </w:tcPr>
          <w:p w14:paraId="3AF887A5" w14:textId="77777777" w:rsidR="008005C6" w:rsidRDefault="002A5F93">
            <w:pPr>
              <w:jc w:val="right"/>
              <w:textAlignment w:val="center"/>
              <w:rPr>
                <w:szCs w:val="21"/>
              </w:rPr>
            </w:pPr>
            <w:r>
              <w:rPr>
                <w:szCs w:val="21"/>
              </w:rPr>
              <w:t>10.98</w:t>
            </w:r>
          </w:p>
        </w:tc>
        <w:tc>
          <w:tcPr>
            <w:tcW w:w="1340" w:type="dxa"/>
            <w:tcBorders>
              <w:tl2br w:val="nil"/>
              <w:tr2bl w:val="nil"/>
            </w:tcBorders>
            <w:tcMar>
              <w:top w:w="8" w:type="dxa"/>
              <w:left w:w="8" w:type="dxa"/>
              <w:right w:w="8" w:type="dxa"/>
            </w:tcMar>
            <w:vAlign w:val="center"/>
          </w:tcPr>
          <w:p w14:paraId="6B788647" w14:textId="77777777" w:rsidR="008005C6" w:rsidRDefault="002A5F93">
            <w:pPr>
              <w:jc w:val="right"/>
              <w:textAlignment w:val="center"/>
              <w:rPr>
                <w:szCs w:val="21"/>
              </w:rPr>
            </w:pPr>
            <w:r>
              <w:rPr>
                <w:szCs w:val="21"/>
              </w:rPr>
              <w:t>10.08</w:t>
            </w:r>
          </w:p>
        </w:tc>
      </w:tr>
      <w:tr w:rsidR="008005C6" w14:paraId="58A46EA3" w14:textId="77777777">
        <w:trPr>
          <w:trHeight w:val="397"/>
          <w:jc w:val="center"/>
        </w:trPr>
        <w:tc>
          <w:tcPr>
            <w:tcW w:w="4171" w:type="dxa"/>
            <w:tcBorders>
              <w:tl2br w:val="nil"/>
              <w:tr2bl w:val="nil"/>
            </w:tcBorders>
            <w:tcMar>
              <w:top w:w="8" w:type="dxa"/>
              <w:left w:w="8" w:type="dxa"/>
              <w:right w:w="8" w:type="dxa"/>
            </w:tcMar>
            <w:vAlign w:val="center"/>
          </w:tcPr>
          <w:p w14:paraId="48099DBC" w14:textId="77777777" w:rsidR="008005C6" w:rsidRDefault="002A5F93">
            <w:pPr>
              <w:textAlignment w:val="center"/>
              <w:rPr>
                <w:color w:val="000000"/>
                <w:szCs w:val="21"/>
              </w:rPr>
            </w:pPr>
            <w:r>
              <w:rPr>
                <w:rFonts w:hint="eastAsia"/>
                <w:color w:val="000000"/>
                <w:szCs w:val="21"/>
                <w:lang w:bidi="ar"/>
              </w:rPr>
              <w:t>扣除非经常性损益后加权平均净资产收益率（</w:t>
            </w:r>
            <w:r>
              <w:rPr>
                <w:szCs w:val="21"/>
              </w:rPr>
              <w:t>%</w:t>
            </w:r>
            <w:r>
              <w:rPr>
                <w:rFonts w:hint="eastAsia"/>
                <w:color w:val="000000"/>
                <w:szCs w:val="21"/>
              </w:rPr>
              <w:t>）</w:t>
            </w:r>
          </w:p>
        </w:tc>
        <w:tc>
          <w:tcPr>
            <w:tcW w:w="1441" w:type="dxa"/>
            <w:tcBorders>
              <w:tl2br w:val="nil"/>
              <w:tr2bl w:val="nil"/>
            </w:tcBorders>
            <w:tcMar>
              <w:top w:w="8" w:type="dxa"/>
              <w:left w:w="8" w:type="dxa"/>
              <w:right w:w="8" w:type="dxa"/>
            </w:tcMar>
            <w:vAlign w:val="center"/>
          </w:tcPr>
          <w:p w14:paraId="33F50313" w14:textId="77777777" w:rsidR="008005C6" w:rsidRDefault="002A5F93">
            <w:pPr>
              <w:jc w:val="right"/>
              <w:textAlignment w:val="center"/>
              <w:rPr>
                <w:color w:val="000000"/>
                <w:szCs w:val="21"/>
              </w:rPr>
            </w:pPr>
            <w:r>
              <w:rPr>
                <w:szCs w:val="21"/>
              </w:rPr>
              <w:t>12.01</w:t>
            </w:r>
          </w:p>
        </w:tc>
        <w:tc>
          <w:tcPr>
            <w:tcW w:w="1553" w:type="dxa"/>
            <w:tcBorders>
              <w:tl2br w:val="nil"/>
              <w:tr2bl w:val="nil"/>
            </w:tcBorders>
            <w:tcMar>
              <w:top w:w="8" w:type="dxa"/>
              <w:left w:w="8" w:type="dxa"/>
              <w:right w:w="8" w:type="dxa"/>
            </w:tcMar>
            <w:vAlign w:val="center"/>
          </w:tcPr>
          <w:p w14:paraId="5983B835" w14:textId="77777777" w:rsidR="008005C6" w:rsidRDefault="002A5F93">
            <w:pPr>
              <w:jc w:val="right"/>
              <w:textAlignment w:val="center"/>
              <w:rPr>
                <w:szCs w:val="21"/>
              </w:rPr>
            </w:pPr>
            <w:r>
              <w:rPr>
                <w:szCs w:val="21"/>
              </w:rPr>
              <w:t>10.68</w:t>
            </w:r>
          </w:p>
        </w:tc>
        <w:tc>
          <w:tcPr>
            <w:tcW w:w="1340" w:type="dxa"/>
            <w:tcBorders>
              <w:tl2br w:val="nil"/>
              <w:tr2bl w:val="nil"/>
            </w:tcBorders>
            <w:tcMar>
              <w:top w:w="8" w:type="dxa"/>
              <w:left w:w="8" w:type="dxa"/>
              <w:right w:w="8" w:type="dxa"/>
            </w:tcMar>
            <w:vAlign w:val="center"/>
          </w:tcPr>
          <w:p w14:paraId="2D3EADF6" w14:textId="77777777" w:rsidR="008005C6" w:rsidRDefault="002A5F93">
            <w:pPr>
              <w:jc w:val="right"/>
              <w:textAlignment w:val="center"/>
              <w:rPr>
                <w:szCs w:val="21"/>
              </w:rPr>
            </w:pPr>
            <w:r>
              <w:rPr>
                <w:szCs w:val="21"/>
              </w:rPr>
              <w:t>9.81</w:t>
            </w:r>
          </w:p>
        </w:tc>
      </w:tr>
      <w:tr w:rsidR="008005C6" w14:paraId="12D29879" w14:textId="77777777">
        <w:trPr>
          <w:trHeight w:val="397"/>
          <w:jc w:val="center"/>
        </w:trPr>
        <w:tc>
          <w:tcPr>
            <w:tcW w:w="8505" w:type="dxa"/>
            <w:gridSpan w:val="4"/>
            <w:tcBorders>
              <w:tl2br w:val="nil"/>
              <w:tr2bl w:val="nil"/>
            </w:tcBorders>
            <w:tcMar>
              <w:top w:w="8" w:type="dxa"/>
              <w:left w:w="8" w:type="dxa"/>
              <w:right w:w="8" w:type="dxa"/>
            </w:tcMar>
            <w:vAlign w:val="center"/>
          </w:tcPr>
          <w:p w14:paraId="37354CDD" w14:textId="77777777" w:rsidR="008005C6" w:rsidRDefault="002A5F93">
            <w:pPr>
              <w:textAlignment w:val="center"/>
              <w:rPr>
                <w:b/>
                <w:szCs w:val="21"/>
              </w:rPr>
            </w:pPr>
            <w:r>
              <w:rPr>
                <w:rFonts w:hint="eastAsia"/>
                <w:b/>
                <w:szCs w:val="21"/>
                <w:lang w:bidi="ar"/>
              </w:rPr>
              <w:t>情形二：假设</w:t>
            </w:r>
            <w:r>
              <w:rPr>
                <w:b/>
                <w:szCs w:val="21"/>
                <w:lang w:bidi="ar"/>
              </w:rPr>
              <w:t>2020</w:t>
            </w:r>
            <w:r>
              <w:rPr>
                <w:rFonts w:hint="eastAsia"/>
                <w:b/>
                <w:szCs w:val="21"/>
                <w:lang w:bidi="ar"/>
              </w:rPr>
              <w:t>年度扣除非经常性损益前</w:t>
            </w:r>
            <w:r>
              <w:rPr>
                <w:rStyle w:val="font41"/>
                <w:rFonts w:hint="default"/>
                <w:color w:val="auto"/>
                <w:sz w:val="21"/>
                <w:szCs w:val="21"/>
                <w:lang w:bidi="ar"/>
              </w:rPr>
              <w:t>/</w:t>
            </w:r>
            <w:r>
              <w:rPr>
                <w:rStyle w:val="font51"/>
                <w:rFonts w:hint="default"/>
                <w:color w:val="auto"/>
                <w:sz w:val="21"/>
                <w:szCs w:val="21"/>
                <w:lang w:bidi="ar"/>
              </w:rPr>
              <w:t>后归属母公司所有者的净利润与上期持平</w:t>
            </w:r>
          </w:p>
        </w:tc>
      </w:tr>
      <w:tr w:rsidR="008005C6" w14:paraId="2401BF35" w14:textId="77777777">
        <w:trPr>
          <w:trHeight w:val="397"/>
          <w:jc w:val="center"/>
        </w:trPr>
        <w:tc>
          <w:tcPr>
            <w:tcW w:w="4171" w:type="dxa"/>
            <w:tcBorders>
              <w:tl2br w:val="nil"/>
              <w:tr2bl w:val="nil"/>
            </w:tcBorders>
            <w:tcMar>
              <w:top w:w="8" w:type="dxa"/>
              <w:left w:w="8" w:type="dxa"/>
              <w:right w:w="8" w:type="dxa"/>
            </w:tcMar>
            <w:vAlign w:val="center"/>
          </w:tcPr>
          <w:p w14:paraId="343019CC" w14:textId="77777777" w:rsidR="008005C6" w:rsidRDefault="002A5F93">
            <w:pPr>
              <w:textAlignment w:val="center"/>
              <w:rPr>
                <w:color w:val="000000"/>
                <w:szCs w:val="21"/>
              </w:rPr>
            </w:pPr>
            <w:r>
              <w:rPr>
                <w:rFonts w:hint="eastAsia"/>
                <w:color w:val="000000"/>
                <w:szCs w:val="21"/>
                <w:lang w:bidi="ar"/>
              </w:rPr>
              <w:t>归属于母公司所有者的净利润（万元）</w:t>
            </w:r>
          </w:p>
        </w:tc>
        <w:tc>
          <w:tcPr>
            <w:tcW w:w="1441" w:type="dxa"/>
            <w:tcBorders>
              <w:tl2br w:val="nil"/>
              <w:tr2bl w:val="nil"/>
            </w:tcBorders>
            <w:tcMar>
              <w:top w:w="8" w:type="dxa"/>
              <w:left w:w="8" w:type="dxa"/>
              <w:right w:w="8" w:type="dxa"/>
            </w:tcMar>
            <w:vAlign w:val="center"/>
          </w:tcPr>
          <w:p w14:paraId="345A77A9" w14:textId="77777777" w:rsidR="008005C6" w:rsidRDefault="002A5F93">
            <w:pPr>
              <w:jc w:val="right"/>
              <w:textAlignment w:val="center"/>
              <w:rPr>
                <w:color w:val="000000"/>
                <w:szCs w:val="21"/>
              </w:rPr>
            </w:pPr>
            <w:r>
              <w:rPr>
                <w:szCs w:val="21"/>
              </w:rPr>
              <w:t>10,672.89</w:t>
            </w:r>
          </w:p>
        </w:tc>
        <w:tc>
          <w:tcPr>
            <w:tcW w:w="1553" w:type="dxa"/>
            <w:tcBorders>
              <w:tl2br w:val="nil"/>
              <w:tr2bl w:val="nil"/>
            </w:tcBorders>
            <w:tcMar>
              <w:top w:w="8" w:type="dxa"/>
              <w:left w:w="8" w:type="dxa"/>
              <w:right w:w="8" w:type="dxa"/>
            </w:tcMar>
            <w:vAlign w:val="center"/>
          </w:tcPr>
          <w:p w14:paraId="0DAD4BFD" w14:textId="77777777" w:rsidR="008005C6" w:rsidRDefault="002A5F93">
            <w:pPr>
              <w:jc w:val="right"/>
              <w:rPr>
                <w:szCs w:val="21"/>
              </w:rPr>
            </w:pPr>
            <w:r>
              <w:rPr>
                <w:szCs w:val="21"/>
              </w:rPr>
              <w:t>10,672.89</w:t>
            </w:r>
          </w:p>
        </w:tc>
        <w:tc>
          <w:tcPr>
            <w:tcW w:w="1340" w:type="dxa"/>
            <w:tcBorders>
              <w:tl2br w:val="nil"/>
              <w:tr2bl w:val="nil"/>
            </w:tcBorders>
            <w:tcMar>
              <w:top w:w="8" w:type="dxa"/>
              <w:left w:w="8" w:type="dxa"/>
              <w:right w:w="8" w:type="dxa"/>
            </w:tcMar>
            <w:vAlign w:val="center"/>
          </w:tcPr>
          <w:p w14:paraId="4C48E839" w14:textId="77777777" w:rsidR="008005C6" w:rsidRDefault="002A5F93">
            <w:pPr>
              <w:jc w:val="right"/>
              <w:rPr>
                <w:szCs w:val="21"/>
              </w:rPr>
            </w:pPr>
            <w:r>
              <w:rPr>
                <w:szCs w:val="21"/>
              </w:rPr>
              <w:t>10,672.89</w:t>
            </w:r>
          </w:p>
        </w:tc>
      </w:tr>
      <w:tr w:rsidR="008005C6" w14:paraId="08CB6A1A" w14:textId="77777777">
        <w:trPr>
          <w:trHeight w:val="397"/>
          <w:jc w:val="center"/>
        </w:trPr>
        <w:tc>
          <w:tcPr>
            <w:tcW w:w="4171" w:type="dxa"/>
            <w:tcBorders>
              <w:tl2br w:val="nil"/>
              <w:tr2bl w:val="nil"/>
            </w:tcBorders>
            <w:tcMar>
              <w:top w:w="8" w:type="dxa"/>
              <w:left w:w="8" w:type="dxa"/>
              <w:right w:w="8" w:type="dxa"/>
            </w:tcMar>
            <w:vAlign w:val="center"/>
          </w:tcPr>
          <w:p w14:paraId="72110854" w14:textId="77777777" w:rsidR="008005C6" w:rsidRDefault="002A5F93">
            <w:pPr>
              <w:textAlignment w:val="center"/>
              <w:rPr>
                <w:color w:val="000000"/>
                <w:szCs w:val="21"/>
              </w:rPr>
            </w:pPr>
            <w:r>
              <w:rPr>
                <w:rFonts w:hint="eastAsia"/>
                <w:color w:val="000000"/>
                <w:szCs w:val="21"/>
                <w:lang w:bidi="ar"/>
              </w:rPr>
              <w:t>扣除非经常性损益后归属于母公司所有者的净利润（万元）</w:t>
            </w:r>
          </w:p>
        </w:tc>
        <w:tc>
          <w:tcPr>
            <w:tcW w:w="1441" w:type="dxa"/>
            <w:tcBorders>
              <w:tl2br w:val="nil"/>
              <w:tr2bl w:val="nil"/>
            </w:tcBorders>
            <w:tcMar>
              <w:top w:w="8" w:type="dxa"/>
              <w:left w:w="8" w:type="dxa"/>
              <w:right w:w="8" w:type="dxa"/>
            </w:tcMar>
            <w:vAlign w:val="center"/>
          </w:tcPr>
          <w:p w14:paraId="12796193" w14:textId="77777777" w:rsidR="008005C6" w:rsidRDefault="002A5F93">
            <w:pPr>
              <w:jc w:val="right"/>
              <w:textAlignment w:val="center"/>
              <w:rPr>
                <w:color w:val="000000"/>
                <w:szCs w:val="21"/>
              </w:rPr>
            </w:pPr>
            <w:r>
              <w:rPr>
                <w:szCs w:val="21"/>
              </w:rPr>
              <w:t>10,383.01</w:t>
            </w:r>
          </w:p>
        </w:tc>
        <w:tc>
          <w:tcPr>
            <w:tcW w:w="1553" w:type="dxa"/>
            <w:tcBorders>
              <w:tl2br w:val="nil"/>
              <w:tr2bl w:val="nil"/>
            </w:tcBorders>
            <w:tcMar>
              <w:top w:w="8" w:type="dxa"/>
              <w:left w:w="8" w:type="dxa"/>
              <w:right w:w="8" w:type="dxa"/>
            </w:tcMar>
            <w:vAlign w:val="center"/>
          </w:tcPr>
          <w:p w14:paraId="55A0FCF9" w14:textId="77777777" w:rsidR="008005C6" w:rsidRDefault="002A5F93">
            <w:pPr>
              <w:jc w:val="right"/>
              <w:rPr>
                <w:szCs w:val="21"/>
              </w:rPr>
            </w:pPr>
            <w:r>
              <w:rPr>
                <w:szCs w:val="21"/>
              </w:rPr>
              <w:t>10,383.01</w:t>
            </w:r>
          </w:p>
        </w:tc>
        <w:tc>
          <w:tcPr>
            <w:tcW w:w="1340" w:type="dxa"/>
            <w:tcBorders>
              <w:tl2br w:val="nil"/>
              <w:tr2bl w:val="nil"/>
            </w:tcBorders>
            <w:tcMar>
              <w:top w:w="8" w:type="dxa"/>
              <w:left w:w="8" w:type="dxa"/>
              <w:right w:w="8" w:type="dxa"/>
            </w:tcMar>
            <w:vAlign w:val="center"/>
          </w:tcPr>
          <w:p w14:paraId="1C15BB9E" w14:textId="77777777" w:rsidR="008005C6" w:rsidRDefault="002A5F93">
            <w:pPr>
              <w:jc w:val="right"/>
              <w:rPr>
                <w:szCs w:val="21"/>
              </w:rPr>
            </w:pPr>
            <w:r>
              <w:rPr>
                <w:szCs w:val="21"/>
              </w:rPr>
              <w:t>10,383.01</w:t>
            </w:r>
          </w:p>
        </w:tc>
      </w:tr>
      <w:tr w:rsidR="008005C6" w14:paraId="64934A86" w14:textId="77777777">
        <w:trPr>
          <w:trHeight w:val="397"/>
          <w:jc w:val="center"/>
        </w:trPr>
        <w:tc>
          <w:tcPr>
            <w:tcW w:w="4171" w:type="dxa"/>
            <w:tcBorders>
              <w:tl2br w:val="nil"/>
              <w:tr2bl w:val="nil"/>
            </w:tcBorders>
            <w:tcMar>
              <w:top w:w="8" w:type="dxa"/>
              <w:left w:w="8" w:type="dxa"/>
              <w:right w:w="8" w:type="dxa"/>
            </w:tcMar>
            <w:vAlign w:val="center"/>
          </w:tcPr>
          <w:p w14:paraId="7EB228C7" w14:textId="77777777" w:rsidR="008005C6" w:rsidRDefault="002A5F93">
            <w:pPr>
              <w:textAlignment w:val="center"/>
              <w:rPr>
                <w:color w:val="000000"/>
                <w:szCs w:val="21"/>
              </w:rPr>
            </w:pPr>
            <w:r>
              <w:rPr>
                <w:rFonts w:hint="eastAsia"/>
                <w:color w:val="000000"/>
                <w:szCs w:val="21"/>
                <w:lang w:bidi="ar"/>
              </w:rPr>
              <w:t>期初归属于母公司所有者权益（万元）</w:t>
            </w:r>
          </w:p>
        </w:tc>
        <w:tc>
          <w:tcPr>
            <w:tcW w:w="1441" w:type="dxa"/>
            <w:tcBorders>
              <w:tl2br w:val="nil"/>
              <w:tr2bl w:val="nil"/>
            </w:tcBorders>
            <w:tcMar>
              <w:top w:w="8" w:type="dxa"/>
              <w:left w:w="8" w:type="dxa"/>
              <w:right w:w="8" w:type="dxa"/>
            </w:tcMar>
            <w:vAlign w:val="center"/>
          </w:tcPr>
          <w:p w14:paraId="13D3697C" w14:textId="77777777" w:rsidR="008005C6" w:rsidRDefault="002A5F93">
            <w:pPr>
              <w:jc w:val="right"/>
              <w:textAlignment w:val="center"/>
              <w:rPr>
                <w:color w:val="000000"/>
                <w:szCs w:val="21"/>
              </w:rPr>
            </w:pPr>
            <w:r>
              <w:rPr>
                <w:szCs w:val="21"/>
              </w:rPr>
              <w:t>77,800.46</w:t>
            </w:r>
          </w:p>
        </w:tc>
        <w:tc>
          <w:tcPr>
            <w:tcW w:w="1553" w:type="dxa"/>
            <w:tcBorders>
              <w:tl2br w:val="nil"/>
              <w:tr2bl w:val="nil"/>
            </w:tcBorders>
            <w:tcMar>
              <w:top w:w="8" w:type="dxa"/>
              <w:left w:w="8" w:type="dxa"/>
              <w:right w:w="8" w:type="dxa"/>
            </w:tcMar>
            <w:vAlign w:val="center"/>
          </w:tcPr>
          <w:p w14:paraId="30827205" w14:textId="77777777" w:rsidR="008005C6" w:rsidRDefault="002A5F93">
            <w:pPr>
              <w:jc w:val="right"/>
              <w:rPr>
                <w:szCs w:val="21"/>
              </w:rPr>
            </w:pPr>
            <w:r>
              <w:rPr>
                <w:szCs w:val="21"/>
              </w:rPr>
              <w:t>108,527.74</w:t>
            </w:r>
          </w:p>
        </w:tc>
        <w:tc>
          <w:tcPr>
            <w:tcW w:w="1340" w:type="dxa"/>
            <w:tcBorders>
              <w:tl2br w:val="nil"/>
              <w:tr2bl w:val="nil"/>
            </w:tcBorders>
            <w:tcMar>
              <w:top w:w="8" w:type="dxa"/>
              <w:left w:w="8" w:type="dxa"/>
              <w:right w:w="8" w:type="dxa"/>
            </w:tcMar>
            <w:vAlign w:val="center"/>
          </w:tcPr>
          <w:p w14:paraId="175CF798" w14:textId="77777777" w:rsidR="008005C6" w:rsidRDefault="002A5F93">
            <w:pPr>
              <w:jc w:val="right"/>
              <w:rPr>
                <w:szCs w:val="21"/>
              </w:rPr>
            </w:pPr>
            <w:r>
              <w:rPr>
                <w:szCs w:val="21"/>
              </w:rPr>
              <w:t>108,527.74</w:t>
            </w:r>
          </w:p>
        </w:tc>
      </w:tr>
      <w:tr w:rsidR="008005C6" w14:paraId="66D3D725" w14:textId="77777777">
        <w:trPr>
          <w:trHeight w:val="397"/>
          <w:jc w:val="center"/>
        </w:trPr>
        <w:tc>
          <w:tcPr>
            <w:tcW w:w="4171" w:type="dxa"/>
            <w:tcBorders>
              <w:tl2br w:val="nil"/>
              <w:tr2bl w:val="nil"/>
            </w:tcBorders>
            <w:tcMar>
              <w:top w:w="8" w:type="dxa"/>
              <w:left w:w="8" w:type="dxa"/>
              <w:right w:w="8" w:type="dxa"/>
            </w:tcMar>
            <w:vAlign w:val="center"/>
          </w:tcPr>
          <w:p w14:paraId="019EDB63" w14:textId="77777777" w:rsidR="008005C6" w:rsidRDefault="002A5F93">
            <w:pPr>
              <w:textAlignment w:val="center"/>
              <w:rPr>
                <w:color w:val="000000"/>
                <w:szCs w:val="21"/>
              </w:rPr>
            </w:pPr>
            <w:r>
              <w:rPr>
                <w:rFonts w:hint="eastAsia"/>
                <w:color w:val="000000"/>
                <w:szCs w:val="21"/>
                <w:lang w:bidi="ar"/>
              </w:rPr>
              <w:t>期末归属于母公司所有者权益（万元）</w:t>
            </w:r>
          </w:p>
        </w:tc>
        <w:tc>
          <w:tcPr>
            <w:tcW w:w="1441" w:type="dxa"/>
            <w:tcBorders>
              <w:tl2br w:val="nil"/>
              <w:tr2bl w:val="nil"/>
            </w:tcBorders>
            <w:tcMar>
              <w:top w:w="8" w:type="dxa"/>
              <w:left w:w="8" w:type="dxa"/>
              <w:right w:w="8" w:type="dxa"/>
            </w:tcMar>
            <w:vAlign w:val="center"/>
          </w:tcPr>
          <w:p w14:paraId="46531D3C" w14:textId="77777777" w:rsidR="008005C6" w:rsidRDefault="002A5F93">
            <w:pPr>
              <w:jc w:val="right"/>
              <w:textAlignment w:val="center"/>
              <w:rPr>
                <w:color w:val="000000"/>
                <w:szCs w:val="21"/>
              </w:rPr>
            </w:pPr>
            <w:r>
              <w:rPr>
                <w:szCs w:val="21"/>
              </w:rPr>
              <w:t>108,527.74</w:t>
            </w:r>
          </w:p>
        </w:tc>
        <w:tc>
          <w:tcPr>
            <w:tcW w:w="1553" w:type="dxa"/>
            <w:tcBorders>
              <w:tl2br w:val="nil"/>
              <w:tr2bl w:val="nil"/>
            </w:tcBorders>
            <w:tcMar>
              <w:top w:w="8" w:type="dxa"/>
              <w:left w:w="8" w:type="dxa"/>
              <w:right w:w="8" w:type="dxa"/>
            </w:tcMar>
            <w:vAlign w:val="center"/>
          </w:tcPr>
          <w:p w14:paraId="7D957072" w14:textId="77777777" w:rsidR="008005C6" w:rsidRDefault="002A5F93">
            <w:pPr>
              <w:jc w:val="right"/>
              <w:rPr>
                <w:szCs w:val="21"/>
              </w:rPr>
            </w:pPr>
            <w:r>
              <w:rPr>
                <w:szCs w:val="21"/>
              </w:rPr>
              <w:t>114,210.63</w:t>
            </w:r>
          </w:p>
        </w:tc>
        <w:tc>
          <w:tcPr>
            <w:tcW w:w="1340" w:type="dxa"/>
            <w:tcBorders>
              <w:tl2br w:val="nil"/>
              <w:tr2bl w:val="nil"/>
            </w:tcBorders>
            <w:tcMar>
              <w:top w:w="8" w:type="dxa"/>
              <w:left w:w="8" w:type="dxa"/>
              <w:right w:w="8" w:type="dxa"/>
            </w:tcMar>
            <w:vAlign w:val="center"/>
          </w:tcPr>
          <w:p w14:paraId="6907AF10" w14:textId="77777777" w:rsidR="008005C6" w:rsidRDefault="002A5F93">
            <w:pPr>
              <w:jc w:val="right"/>
              <w:rPr>
                <w:szCs w:val="21"/>
              </w:rPr>
            </w:pPr>
            <w:r>
              <w:rPr>
                <w:szCs w:val="21"/>
              </w:rPr>
              <w:t>234,210.63</w:t>
            </w:r>
          </w:p>
        </w:tc>
      </w:tr>
      <w:tr w:rsidR="008005C6" w14:paraId="2AA24C00" w14:textId="77777777">
        <w:trPr>
          <w:trHeight w:val="397"/>
          <w:jc w:val="center"/>
        </w:trPr>
        <w:tc>
          <w:tcPr>
            <w:tcW w:w="4171" w:type="dxa"/>
            <w:tcBorders>
              <w:tl2br w:val="nil"/>
              <w:tr2bl w:val="nil"/>
            </w:tcBorders>
            <w:tcMar>
              <w:top w:w="8" w:type="dxa"/>
              <w:left w:w="8" w:type="dxa"/>
              <w:right w:w="8" w:type="dxa"/>
            </w:tcMar>
            <w:vAlign w:val="center"/>
          </w:tcPr>
          <w:p w14:paraId="67F19A94" w14:textId="77777777" w:rsidR="008005C6" w:rsidRDefault="002A5F93">
            <w:pPr>
              <w:textAlignment w:val="center"/>
              <w:rPr>
                <w:color w:val="000000"/>
                <w:szCs w:val="21"/>
              </w:rPr>
            </w:pPr>
            <w:r>
              <w:rPr>
                <w:rFonts w:hint="eastAsia"/>
                <w:color w:val="000000"/>
                <w:szCs w:val="21"/>
                <w:lang w:bidi="ar"/>
              </w:rPr>
              <w:t>基本每股收益（元</w:t>
            </w:r>
            <w:r>
              <w:rPr>
                <w:szCs w:val="21"/>
              </w:rPr>
              <w:t>/</w:t>
            </w:r>
            <w:r>
              <w:rPr>
                <w:rFonts w:hint="eastAsia"/>
                <w:color w:val="000000"/>
                <w:szCs w:val="21"/>
              </w:rPr>
              <w:t>股）</w:t>
            </w:r>
          </w:p>
        </w:tc>
        <w:tc>
          <w:tcPr>
            <w:tcW w:w="1441" w:type="dxa"/>
            <w:tcBorders>
              <w:tl2br w:val="nil"/>
              <w:tr2bl w:val="nil"/>
            </w:tcBorders>
            <w:tcMar>
              <w:top w:w="8" w:type="dxa"/>
              <w:left w:w="8" w:type="dxa"/>
              <w:right w:w="8" w:type="dxa"/>
            </w:tcMar>
            <w:vAlign w:val="center"/>
          </w:tcPr>
          <w:p w14:paraId="3AC40E6F" w14:textId="77777777" w:rsidR="008005C6" w:rsidRDefault="002A5F93">
            <w:pPr>
              <w:jc w:val="right"/>
              <w:textAlignment w:val="center"/>
              <w:rPr>
                <w:color w:val="000000"/>
                <w:szCs w:val="21"/>
              </w:rPr>
            </w:pPr>
            <w:r>
              <w:rPr>
                <w:szCs w:val="21"/>
              </w:rPr>
              <w:t>0.23</w:t>
            </w:r>
          </w:p>
        </w:tc>
        <w:tc>
          <w:tcPr>
            <w:tcW w:w="1553" w:type="dxa"/>
            <w:tcBorders>
              <w:tl2br w:val="nil"/>
              <w:tr2bl w:val="nil"/>
            </w:tcBorders>
            <w:tcMar>
              <w:top w:w="8" w:type="dxa"/>
              <w:left w:w="8" w:type="dxa"/>
              <w:right w:w="8" w:type="dxa"/>
            </w:tcMar>
            <w:vAlign w:val="center"/>
          </w:tcPr>
          <w:p w14:paraId="0E6A9D08" w14:textId="77777777" w:rsidR="008005C6" w:rsidRDefault="002A5F93">
            <w:pPr>
              <w:jc w:val="right"/>
              <w:rPr>
                <w:szCs w:val="21"/>
              </w:rPr>
            </w:pPr>
            <w:r>
              <w:rPr>
                <w:szCs w:val="21"/>
              </w:rPr>
              <w:t>0.21</w:t>
            </w:r>
          </w:p>
        </w:tc>
        <w:tc>
          <w:tcPr>
            <w:tcW w:w="1340" w:type="dxa"/>
            <w:tcBorders>
              <w:tl2br w:val="nil"/>
              <w:tr2bl w:val="nil"/>
            </w:tcBorders>
            <w:tcMar>
              <w:top w:w="8" w:type="dxa"/>
              <w:left w:w="8" w:type="dxa"/>
              <w:right w:w="8" w:type="dxa"/>
            </w:tcMar>
            <w:vAlign w:val="center"/>
          </w:tcPr>
          <w:p w14:paraId="2B16F42E" w14:textId="77777777" w:rsidR="008005C6" w:rsidRDefault="002A5F93">
            <w:pPr>
              <w:jc w:val="right"/>
              <w:rPr>
                <w:szCs w:val="21"/>
              </w:rPr>
            </w:pPr>
            <w:r>
              <w:rPr>
                <w:szCs w:val="21"/>
              </w:rPr>
              <w:t>0.21</w:t>
            </w:r>
          </w:p>
        </w:tc>
      </w:tr>
      <w:tr w:rsidR="008005C6" w14:paraId="3EAA12DA" w14:textId="77777777">
        <w:trPr>
          <w:trHeight w:val="397"/>
          <w:jc w:val="center"/>
        </w:trPr>
        <w:tc>
          <w:tcPr>
            <w:tcW w:w="4171" w:type="dxa"/>
            <w:tcBorders>
              <w:tl2br w:val="nil"/>
              <w:tr2bl w:val="nil"/>
            </w:tcBorders>
            <w:tcMar>
              <w:top w:w="8" w:type="dxa"/>
              <w:left w:w="8" w:type="dxa"/>
              <w:right w:w="8" w:type="dxa"/>
            </w:tcMar>
            <w:vAlign w:val="center"/>
          </w:tcPr>
          <w:p w14:paraId="2F4A53D3" w14:textId="77777777" w:rsidR="008005C6" w:rsidRDefault="002A5F93">
            <w:pPr>
              <w:textAlignment w:val="center"/>
              <w:rPr>
                <w:color w:val="000000"/>
                <w:szCs w:val="21"/>
              </w:rPr>
            </w:pPr>
            <w:r>
              <w:rPr>
                <w:rFonts w:hint="eastAsia"/>
                <w:color w:val="000000"/>
                <w:szCs w:val="21"/>
                <w:lang w:bidi="ar"/>
              </w:rPr>
              <w:t>扣除非经常性损益后基本每股收益（元</w:t>
            </w:r>
            <w:r>
              <w:rPr>
                <w:szCs w:val="21"/>
              </w:rPr>
              <w:t>/</w:t>
            </w:r>
            <w:r>
              <w:rPr>
                <w:rFonts w:hint="eastAsia"/>
                <w:color w:val="000000"/>
                <w:szCs w:val="21"/>
              </w:rPr>
              <w:t>股）</w:t>
            </w:r>
          </w:p>
        </w:tc>
        <w:tc>
          <w:tcPr>
            <w:tcW w:w="1441" w:type="dxa"/>
            <w:tcBorders>
              <w:tl2br w:val="nil"/>
              <w:tr2bl w:val="nil"/>
            </w:tcBorders>
            <w:tcMar>
              <w:top w:w="8" w:type="dxa"/>
              <w:left w:w="8" w:type="dxa"/>
              <w:right w:w="8" w:type="dxa"/>
            </w:tcMar>
            <w:vAlign w:val="center"/>
          </w:tcPr>
          <w:p w14:paraId="517E857E" w14:textId="77777777" w:rsidR="008005C6" w:rsidRDefault="002A5F93">
            <w:pPr>
              <w:jc w:val="right"/>
              <w:textAlignment w:val="center"/>
              <w:rPr>
                <w:color w:val="000000"/>
                <w:szCs w:val="21"/>
              </w:rPr>
            </w:pPr>
            <w:r>
              <w:rPr>
                <w:szCs w:val="21"/>
              </w:rPr>
              <w:t>0.23</w:t>
            </w:r>
          </w:p>
        </w:tc>
        <w:tc>
          <w:tcPr>
            <w:tcW w:w="1553" w:type="dxa"/>
            <w:tcBorders>
              <w:tl2br w:val="nil"/>
              <w:tr2bl w:val="nil"/>
            </w:tcBorders>
            <w:tcMar>
              <w:top w:w="8" w:type="dxa"/>
              <w:left w:w="8" w:type="dxa"/>
              <w:right w:w="8" w:type="dxa"/>
            </w:tcMar>
            <w:vAlign w:val="center"/>
          </w:tcPr>
          <w:p w14:paraId="7DD40351" w14:textId="77777777" w:rsidR="008005C6" w:rsidRDefault="002A5F93">
            <w:pPr>
              <w:jc w:val="right"/>
              <w:rPr>
                <w:szCs w:val="21"/>
              </w:rPr>
            </w:pPr>
            <w:r>
              <w:rPr>
                <w:szCs w:val="21"/>
              </w:rPr>
              <w:t>0.21</w:t>
            </w:r>
          </w:p>
        </w:tc>
        <w:tc>
          <w:tcPr>
            <w:tcW w:w="1340" w:type="dxa"/>
            <w:tcBorders>
              <w:tl2br w:val="nil"/>
              <w:tr2bl w:val="nil"/>
            </w:tcBorders>
            <w:tcMar>
              <w:top w:w="8" w:type="dxa"/>
              <w:left w:w="8" w:type="dxa"/>
              <w:right w:w="8" w:type="dxa"/>
            </w:tcMar>
            <w:vAlign w:val="center"/>
          </w:tcPr>
          <w:p w14:paraId="499044BE" w14:textId="77777777" w:rsidR="008005C6" w:rsidRDefault="002A5F93">
            <w:pPr>
              <w:jc w:val="right"/>
              <w:rPr>
                <w:szCs w:val="21"/>
              </w:rPr>
            </w:pPr>
            <w:r>
              <w:rPr>
                <w:szCs w:val="21"/>
              </w:rPr>
              <w:t>0.20</w:t>
            </w:r>
          </w:p>
        </w:tc>
      </w:tr>
      <w:tr w:rsidR="008005C6" w14:paraId="44EE6CB5" w14:textId="77777777">
        <w:trPr>
          <w:trHeight w:val="397"/>
          <w:jc w:val="center"/>
        </w:trPr>
        <w:tc>
          <w:tcPr>
            <w:tcW w:w="4171" w:type="dxa"/>
            <w:tcBorders>
              <w:tl2br w:val="nil"/>
              <w:tr2bl w:val="nil"/>
            </w:tcBorders>
            <w:tcMar>
              <w:top w:w="8" w:type="dxa"/>
              <w:left w:w="8" w:type="dxa"/>
              <w:right w:w="8" w:type="dxa"/>
            </w:tcMar>
            <w:vAlign w:val="center"/>
          </w:tcPr>
          <w:p w14:paraId="1DA20944" w14:textId="77777777" w:rsidR="008005C6" w:rsidRDefault="002A5F93">
            <w:pPr>
              <w:textAlignment w:val="center"/>
              <w:rPr>
                <w:color w:val="000000"/>
                <w:szCs w:val="21"/>
              </w:rPr>
            </w:pPr>
            <w:r>
              <w:rPr>
                <w:rFonts w:hint="eastAsia"/>
                <w:color w:val="000000"/>
                <w:szCs w:val="21"/>
                <w:lang w:bidi="ar"/>
              </w:rPr>
              <w:t>加权平均净资产收益率（</w:t>
            </w:r>
            <w:r>
              <w:rPr>
                <w:szCs w:val="21"/>
              </w:rPr>
              <w:t>%</w:t>
            </w:r>
            <w:r>
              <w:rPr>
                <w:rFonts w:hint="eastAsia"/>
                <w:color w:val="000000"/>
                <w:szCs w:val="21"/>
              </w:rPr>
              <w:t>）</w:t>
            </w:r>
          </w:p>
        </w:tc>
        <w:tc>
          <w:tcPr>
            <w:tcW w:w="1441" w:type="dxa"/>
            <w:tcBorders>
              <w:tl2br w:val="nil"/>
              <w:tr2bl w:val="nil"/>
            </w:tcBorders>
            <w:tcMar>
              <w:top w:w="8" w:type="dxa"/>
              <w:left w:w="8" w:type="dxa"/>
              <w:right w:w="8" w:type="dxa"/>
            </w:tcMar>
            <w:vAlign w:val="center"/>
          </w:tcPr>
          <w:p w14:paraId="6C4A47E6" w14:textId="77777777" w:rsidR="008005C6" w:rsidRDefault="002A5F93">
            <w:pPr>
              <w:jc w:val="right"/>
              <w:textAlignment w:val="center"/>
              <w:rPr>
                <w:color w:val="000000"/>
                <w:szCs w:val="21"/>
              </w:rPr>
            </w:pPr>
            <w:r>
              <w:rPr>
                <w:szCs w:val="21"/>
              </w:rPr>
              <w:t>12.34</w:t>
            </w:r>
          </w:p>
        </w:tc>
        <w:tc>
          <w:tcPr>
            <w:tcW w:w="1553" w:type="dxa"/>
            <w:tcBorders>
              <w:tl2br w:val="nil"/>
              <w:tr2bl w:val="nil"/>
            </w:tcBorders>
            <w:tcMar>
              <w:top w:w="8" w:type="dxa"/>
              <w:left w:w="8" w:type="dxa"/>
              <w:right w:w="8" w:type="dxa"/>
            </w:tcMar>
            <w:vAlign w:val="center"/>
          </w:tcPr>
          <w:p w14:paraId="78B5265B" w14:textId="77777777" w:rsidR="008005C6" w:rsidRDefault="002A5F93">
            <w:pPr>
              <w:jc w:val="right"/>
              <w:rPr>
                <w:szCs w:val="21"/>
              </w:rPr>
            </w:pPr>
            <w:r>
              <w:rPr>
                <w:szCs w:val="21"/>
              </w:rPr>
              <w:t>9.62</w:t>
            </w:r>
          </w:p>
        </w:tc>
        <w:tc>
          <w:tcPr>
            <w:tcW w:w="1340" w:type="dxa"/>
            <w:tcBorders>
              <w:tl2br w:val="nil"/>
              <w:tr2bl w:val="nil"/>
            </w:tcBorders>
            <w:tcMar>
              <w:top w:w="8" w:type="dxa"/>
              <w:left w:w="8" w:type="dxa"/>
              <w:right w:w="8" w:type="dxa"/>
            </w:tcMar>
            <w:vAlign w:val="center"/>
          </w:tcPr>
          <w:p w14:paraId="588D6F29" w14:textId="77777777" w:rsidR="008005C6" w:rsidRDefault="002A5F93">
            <w:pPr>
              <w:jc w:val="right"/>
              <w:rPr>
                <w:szCs w:val="21"/>
              </w:rPr>
            </w:pPr>
            <w:r>
              <w:rPr>
                <w:szCs w:val="21"/>
              </w:rPr>
              <w:t>8.82</w:t>
            </w:r>
          </w:p>
        </w:tc>
      </w:tr>
      <w:tr w:rsidR="008005C6" w14:paraId="4B99C65F" w14:textId="77777777">
        <w:trPr>
          <w:trHeight w:val="397"/>
          <w:jc w:val="center"/>
        </w:trPr>
        <w:tc>
          <w:tcPr>
            <w:tcW w:w="4171" w:type="dxa"/>
            <w:tcBorders>
              <w:tl2br w:val="nil"/>
              <w:tr2bl w:val="nil"/>
            </w:tcBorders>
            <w:tcMar>
              <w:top w:w="8" w:type="dxa"/>
              <w:left w:w="8" w:type="dxa"/>
              <w:right w:w="8" w:type="dxa"/>
            </w:tcMar>
            <w:vAlign w:val="center"/>
          </w:tcPr>
          <w:p w14:paraId="09CD3C6A" w14:textId="77777777" w:rsidR="008005C6" w:rsidRDefault="002A5F93">
            <w:pPr>
              <w:textAlignment w:val="center"/>
              <w:rPr>
                <w:color w:val="000000"/>
                <w:szCs w:val="21"/>
              </w:rPr>
            </w:pPr>
            <w:r>
              <w:rPr>
                <w:rFonts w:hint="eastAsia"/>
                <w:color w:val="000000"/>
                <w:szCs w:val="21"/>
                <w:lang w:bidi="ar"/>
              </w:rPr>
              <w:t>扣除非经常性损益后加权平均净资产收益率（</w:t>
            </w:r>
            <w:r>
              <w:rPr>
                <w:szCs w:val="21"/>
              </w:rPr>
              <w:t>%</w:t>
            </w:r>
            <w:r>
              <w:rPr>
                <w:rFonts w:hint="eastAsia"/>
                <w:color w:val="000000"/>
                <w:szCs w:val="21"/>
              </w:rPr>
              <w:t>）</w:t>
            </w:r>
          </w:p>
        </w:tc>
        <w:tc>
          <w:tcPr>
            <w:tcW w:w="1441" w:type="dxa"/>
            <w:tcBorders>
              <w:tl2br w:val="nil"/>
              <w:tr2bl w:val="nil"/>
            </w:tcBorders>
            <w:tcMar>
              <w:top w:w="8" w:type="dxa"/>
              <w:left w:w="8" w:type="dxa"/>
              <w:right w:w="8" w:type="dxa"/>
            </w:tcMar>
            <w:vAlign w:val="center"/>
          </w:tcPr>
          <w:p w14:paraId="21936E20" w14:textId="77777777" w:rsidR="008005C6" w:rsidRDefault="002A5F93">
            <w:pPr>
              <w:jc w:val="right"/>
              <w:textAlignment w:val="center"/>
              <w:rPr>
                <w:color w:val="000000"/>
                <w:szCs w:val="21"/>
              </w:rPr>
            </w:pPr>
            <w:r>
              <w:rPr>
                <w:szCs w:val="21"/>
              </w:rPr>
              <w:t>12.01</w:t>
            </w:r>
          </w:p>
        </w:tc>
        <w:tc>
          <w:tcPr>
            <w:tcW w:w="1553" w:type="dxa"/>
            <w:tcBorders>
              <w:tl2br w:val="nil"/>
              <w:tr2bl w:val="nil"/>
            </w:tcBorders>
            <w:tcMar>
              <w:top w:w="8" w:type="dxa"/>
              <w:left w:w="8" w:type="dxa"/>
              <w:right w:w="8" w:type="dxa"/>
            </w:tcMar>
            <w:vAlign w:val="center"/>
          </w:tcPr>
          <w:p w14:paraId="2FF47D45" w14:textId="77777777" w:rsidR="008005C6" w:rsidRDefault="002A5F93">
            <w:pPr>
              <w:jc w:val="right"/>
              <w:rPr>
                <w:szCs w:val="21"/>
              </w:rPr>
            </w:pPr>
            <w:r>
              <w:rPr>
                <w:szCs w:val="21"/>
              </w:rPr>
              <w:t>9.36</w:t>
            </w:r>
          </w:p>
        </w:tc>
        <w:tc>
          <w:tcPr>
            <w:tcW w:w="1340" w:type="dxa"/>
            <w:tcBorders>
              <w:tl2br w:val="nil"/>
              <w:tr2bl w:val="nil"/>
            </w:tcBorders>
            <w:tcMar>
              <w:top w:w="8" w:type="dxa"/>
              <w:left w:w="8" w:type="dxa"/>
              <w:right w:w="8" w:type="dxa"/>
            </w:tcMar>
            <w:vAlign w:val="center"/>
          </w:tcPr>
          <w:p w14:paraId="51768A05" w14:textId="77777777" w:rsidR="008005C6" w:rsidRDefault="002A5F93">
            <w:pPr>
              <w:jc w:val="right"/>
              <w:rPr>
                <w:szCs w:val="21"/>
              </w:rPr>
            </w:pPr>
            <w:r>
              <w:rPr>
                <w:szCs w:val="21"/>
              </w:rPr>
              <w:t>8.58</w:t>
            </w:r>
          </w:p>
        </w:tc>
      </w:tr>
      <w:tr w:rsidR="008005C6" w14:paraId="14C11226" w14:textId="77777777">
        <w:trPr>
          <w:trHeight w:val="397"/>
          <w:jc w:val="center"/>
        </w:trPr>
        <w:tc>
          <w:tcPr>
            <w:tcW w:w="8505" w:type="dxa"/>
            <w:gridSpan w:val="4"/>
            <w:tcBorders>
              <w:tl2br w:val="nil"/>
              <w:tr2bl w:val="nil"/>
            </w:tcBorders>
            <w:tcMar>
              <w:top w:w="8" w:type="dxa"/>
              <w:left w:w="8" w:type="dxa"/>
              <w:right w:w="8" w:type="dxa"/>
            </w:tcMar>
            <w:vAlign w:val="center"/>
          </w:tcPr>
          <w:p w14:paraId="655BFB35" w14:textId="77777777" w:rsidR="008005C6" w:rsidRDefault="002A5F93">
            <w:pPr>
              <w:textAlignment w:val="center"/>
              <w:rPr>
                <w:b/>
                <w:color w:val="000000"/>
                <w:szCs w:val="21"/>
              </w:rPr>
            </w:pPr>
            <w:r>
              <w:rPr>
                <w:rFonts w:hint="eastAsia"/>
                <w:b/>
                <w:color w:val="000000"/>
                <w:szCs w:val="21"/>
                <w:lang w:bidi="ar"/>
              </w:rPr>
              <w:t>情形三：假设</w:t>
            </w:r>
            <w:r>
              <w:rPr>
                <w:b/>
                <w:color w:val="000000"/>
                <w:szCs w:val="21"/>
                <w:lang w:bidi="ar"/>
              </w:rPr>
              <w:t>2020</w:t>
            </w:r>
            <w:r>
              <w:rPr>
                <w:rFonts w:hint="eastAsia"/>
                <w:b/>
                <w:color w:val="000000"/>
                <w:szCs w:val="21"/>
                <w:lang w:bidi="ar"/>
              </w:rPr>
              <w:t>年度扣除非经常性损益前</w:t>
            </w:r>
            <w:r>
              <w:rPr>
                <w:b/>
                <w:color w:val="000000"/>
                <w:szCs w:val="21"/>
                <w:lang w:bidi="ar"/>
              </w:rPr>
              <w:t>/</w:t>
            </w:r>
            <w:r>
              <w:rPr>
                <w:rFonts w:hint="eastAsia"/>
                <w:b/>
                <w:color w:val="000000"/>
                <w:szCs w:val="21"/>
                <w:lang w:bidi="ar"/>
              </w:rPr>
              <w:t>后归属母公司所有者的净利润较上期减少</w:t>
            </w:r>
            <w:r>
              <w:rPr>
                <w:b/>
                <w:color w:val="000000"/>
                <w:szCs w:val="21"/>
                <w:lang w:bidi="ar"/>
              </w:rPr>
              <w:t>15%</w:t>
            </w:r>
          </w:p>
        </w:tc>
      </w:tr>
      <w:tr w:rsidR="008005C6" w14:paraId="2839E210" w14:textId="77777777">
        <w:trPr>
          <w:trHeight w:val="397"/>
          <w:jc w:val="center"/>
        </w:trPr>
        <w:tc>
          <w:tcPr>
            <w:tcW w:w="4171" w:type="dxa"/>
            <w:tcBorders>
              <w:tl2br w:val="nil"/>
              <w:tr2bl w:val="nil"/>
            </w:tcBorders>
            <w:tcMar>
              <w:top w:w="8" w:type="dxa"/>
              <w:left w:w="8" w:type="dxa"/>
              <w:right w:w="8" w:type="dxa"/>
            </w:tcMar>
            <w:vAlign w:val="center"/>
          </w:tcPr>
          <w:p w14:paraId="4DE1F2E0" w14:textId="77777777" w:rsidR="008005C6" w:rsidRDefault="002A5F93">
            <w:pPr>
              <w:textAlignment w:val="center"/>
              <w:rPr>
                <w:color w:val="000000"/>
                <w:szCs w:val="21"/>
              </w:rPr>
            </w:pPr>
            <w:r>
              <w:rPr>
                <w:rFonts w:hint="eastAsia"/>
                <w:color w:val="000000"/>
                <w:szCs w:val="21"/>
                <w:lang w:bidi="ar"/>
              </w:rPr>
              <w:t>归属于母公司所有者的净利润（万元）</w:t>
            </w:r>
          </w:p>
        </w:tc>
        <w:tc>
          <w:tcPr>
            <w:tcW w:w="1441" w:type="dxa"/>
            <w:tcBorders>
              <w:tl2br w:val="nil"/>
              <w:tr2bl w:val="nil"/>
            </w:tcBorders>
            <w:tcMar>
              <w:top w:w="8" w:type="dxa"/>
              <w:left w:w="8" w:type="dxa"/>
              <w:right w:w="8" w:type="dxa"/>
            </w:tcMar>
            <w:vAlign w:val="center"/>
          </w:tcPr>
          <w:p w14:paraId="702F689E" w14:textId="77777777" w:rsidR="008005C6" w:rsidRDefault="002A5F93">
            <w:pPr>
              <w:jc w:val="right"/>
              <w:textAlignment w:val="center"/>
              <w:rPr>
                <w:color w:val="000000"/>
                <w:szCs w:val="21"/>
              </w:rPr>
            </w:pPr>
            <w:r>
              <w:rPr>
                <w:szCs w:val="21"/>
              </w:rPr>
              <w:t>10,672.89</w:t>
            </w:r>
          </w:p>
        </w:tc>
        <w:tc>
          <w:tcPr>
            <w:tcW w:w="1553" w:type="dxa"/>
            <w:tcBorders>
              <w:tl2br w:val="nil"/>
              <w:tr2bl w:val="nil"/>
            </w:tcBorders>
            <w:tcMar>
              <w:top w:w="8" w:type="dxa"/>
              <w:left w:w="8" w:type="dxa"/>
              <w:right w:w="8" w:type="dxa"/>
            </w:tcMar>
            <w:vAlign w:val="center"/>
          </w:tcPr>
          <w:p w14:paraId="65CD6F28" w14:textId="77777777" w:rsidR="008005C6" w:rsidRDefault="002A5F93">
            <w:pPr>
              <w:jc w:val="right"/>
              <w:rPr>
                <w:szCs w:val="21"/>
              </w:rPr>
            </w:pPr>
            <w:r>
              <w:rPr>
                <w:szCs w:val="21"/>
              </w:rPr>
              <w:t>9,071.96</w:t>
            </w:r>
          </w:p>
        </w:tc>
        <w:tc>
          <w:tcPr>
            <w:tcW w:w="1340" w:type="dxa"/>
            <w:tcBorders>
              <w:tl2br w:val="nil"/>
              <w:tr2bl w:val="nil"/>
            </w:tcBorders>
            <w:tcMar>
              <w:top w:w="8" w:type="dxa"/>
              <w:left w:w="8" w:type="dxa"/>
              <w:right w:w="8" w:type="dxa"/>
            </w:tcMar>
            <w:vAlign w:val="center"/>
          </w:tcPr>
          <w:p w14:paraId="152E31D1" w14:textId="77777777" w:rsidR="008005C6" w:rsidRDefault="002A5F93">
            <w:pPr>
              <w:jc w:val="right"/>
              <w:rPr>
                <w:szCs w:val="21"/>
              </w:rPr>
            </w:pPr>
            <w:r>
              <w:rPr>
                <w:szCs w:val="21"/>
              </w:rPr>
              <w:t>9,071.96</w:t>
            </w:r>
          </w:p>
        </w:tc>
      </w:tr>
      <w:tr w:rsidR="008005C6" w14:paraId="55E601CE" w14:textId="77777777">
        <w:trPr>
          <w:trHeight w:val="397"/>
          <w:jc w:val="center"/>
        </w:trPr>
        <w:tc>
          <w:tcPr>
            <w:tcW w:w="4171" w:type="dxa"/>
            <w:tcBorders>
              <w:tl2br w:val="nil"/>
              <w:tr2bl w:val="nil"/>
            </w:tcBorders>
            <w:tcMar>
              <w:top w:w="8" w:type="dxa"/>
              <w:left w:w="8" w:type="dxa"/>
              <w:right w:w="8" w:type="dxa"/>
            </w:tcMar>
            <w:vAlign w:val="center"/>
          </w:tcPr>
          <w:p w14:paraId="4FA2500F" w14:textId="77777777" w:rsidR="008005C6" w:rsidRDefault="002A5F93">
            <w:pPr>
              <w:textAlignment w:val="center"/>
              <w:rPr>
                <w:color w:val="000000"/>
                <w:szCs w:val="21"/>
              </w:rPr>
            </w:pPr>
            <w:r>
              <w:rPr>
                <w:rFonts w:hint="eastAsia"/>
                <w:color w:val="000000"/>
                <w:szCs w:val="21"/>
                <w:lang w:bidi="ar"/>
              </w:rPr>
              <w:t>扣除非经常性损益后归属于母公司所有者的净利润（万元）</w:t>
            </w:r>
          </w:p>
        </w:tc>
        <w:tc>
          <w:tcPr>
            <w:tcW w:w="1441" w:type="dxa"/>
            <w:tcBorders>
              <w:tl2br w:val="nil"/>
              <w:tr2bl w:val="nil"/>
            </w:tcBorders>
            <w:tcMar>
              <w:top w:w="8" w:type="dxa"/>
              <w:left w:w="8" w:type="dxa"/>
              <w:right w:w="8" w:type="dxa"/>
            </w:tcMar>
            <w:vAlign w:val="center"/>
          </w:tcPr>
          <w:p w14:paraId="20E63DE5" w14:textId="77777777" w:rsidR="008005C6" w:rsidRDefault="002A5F93">
            <w:pPr>
              <w:jc w:val="right"/>
              <w:textAlignment w:val="center"/>
              <w:rPr>
                <w:color w:val="000000"/>
                <w:szCs w:val="21"/>
              </w:rPr>
            </w:pPr>
            <w:r>
              <w:rPr>
                <w:szCs w:val="21"/>
              </w:rPr>
              <w:t>10,383.01</w:t>
            </w:r>
          </w:p>
        </w:tc>
        <w:tc>
          <w:tcPr>
            <w:tcW w:w="1553" w:type="dxa"/>
            <w:tcBorders>
              <w:tl2br w:val="nil"/>
              <w:tr2bl w:val="nil"/>
            </w:tcBorders>
            <w:tcMar>
              <w:top w:w="8" w:type="dxa"/>
              <w:left w:w="8" w:type="dxa"/>
              <w:right w:w="8" w:type="dxa"/>
            </w:tcMar>
            <w:vAlign w:val="center"/>
          </w:tcPr>
          <w:p w14:paraId="3BE149FE" w14:textId="77777777" w:rsidR="008005C6" w:rsidRDefault="002A5F93">
            <w:pPr>
              <w:jc w:val="right"/>
              <w:rPr>
                <w:szCs w:val="21"/>
              </w:rPr>
            </w:pPr>
            <w:r>
              <w:rPr>
                <w:szCs w:val="21"/>
              </w:rPr>
              <w:t>8,825.56</w:t>
            </w:r>
          </w:p>
        </w:tc>
        <w:tc>
          <w:tcPr>
            <w:tcW w:w="1340" w:type="dxa"/>
            <w:tcBorders>
              <w:tl2br w:val="nil"/>
              <w:tr2bl w:val="nil"/>
            </w:tcBorders>
            <w:tcMar>
              <w:top w:w="8" w:type="dxa"/>
              <w:left w:w="8" w:type="dxa"/>
              <w:right w:w="8" w:type="dxa"/>
            </w:tcMar>
            <w:vAlign w:val="center"/>
          </w:tcPr>
          <w:p w14:paraId="4CE059E8" w14:textId="77777777" w:rsidR="008005C6" w:rsidRDefault="002A5F93">
            <w:pPr>
              <w:jc w:val="right"/>
              <w:rPr>
                <w:szCs w:val="21"/>
              </w:rPr>
            </w:pPr>
            <w:r>
              <w:rPr>
                <w:szCs w:val="21"/>
              </w:rPr>
              <w:t>8,825.56</w:t>
            </w:r>
          </w:p>
        </w:tc>
      </w:tr>
      <w:tr w:rsidR="008005C6" w14:paraId="3C6F5021" w14:textId="77777777">
        <w:trPr>
          <w:trHeight w:val="397"/>
          <w:jc w:val="center"/>
        </w:trPr>
        <w:tc>
          <w:tcPr>
            <w:tcW w:w="4171" w:type="dxa"/>
            <w:tcBorders>
              <w:tl2br w:val="nil"/>
              <w:tr2bl w:val="nil"/>
            </w:tcBorders>
            <w:tcMar>
              <w:top w:w="8" w:type="dxa"/>
              <w:left w:w="8" w:type="dxa"/>
              <w:right w:w="8" w:type="dxa"/>
            </w:tcMar>
            <w:vAlign w:val="center"/>
          </w:tcPr>
          <w:p w14:paraId="73E02495" w14:textId="77777777" w:rsidR="008005C6" w:rsidRDefault="002A5F93">
            <w:pPr>
              <w:textAlignment w:val="center"/>
              <w:rPr>
                <w:color w:val="000000"/>
                <w:szCs w:val="21"/>
              </w:rPr>
            </w:pPr>
            <w:r>
              <w:rPr>
                <w:rFonts w:hint="eastAsia"/>
                <w:color w:val="000000"/>
                <w:szCs w:val="21"/>
                <w:lang w:bidi="ar"/>
              </w:rPr>
              <w:t>期初归属于母公司所有者权益（万元）</w:t>
            </w:r>
          </w:p>
        </w:tc>
        <w:tc>
          <w:tcPr>
            <w:tcW w:w="1441" w:type="dxa"/>
            <w:tcBorders>
              <w:tl2br w:val="nil"/>
              <w:tr2bl w:val="nil"/>
            </w:tcBorders>
            <w:tcMar>
              <w:top w:w="8" w:type="dxa"/>
              <w:left w:w="8" w:type="dxa"/>
              <w:right w:w="8" w:type="dxa"/>
            </w:tcMar>
            <w:vAlign w:val="center"/>
          </w:tcPr>
          <w:p w14:paraId="78E865C8" w14:textId="77777777" w:rsidR="008005C6" w:rsidRDefault="002A5F93">
            <w:pPr>
              <w:jc w:val="right"/>
              <w:textAlignment w:val="center"/>
              <w:rPr>
                <w:color w:val="000000"/>
                <w:szCs w:val="21"/>
              </w:rPr>
            </w:pPr>
            <w:r>
              <w:rPr>
                <w:szCs w:val="21"/>
              </w:rPr>
              <w:t>77,800.46</w:t>
            </w:r>
          </w:p>
        </w:tc>
        <w:tc>
          <w:tcPr>
            <w:tcW w:w="1553" w:type="dxa"/>
            <w:tcBorders>
              <w:tl2br w:val="nil"/>
              <w:tr2bl w:val="nil"/>
            </w:tcBorders>
            <w:tcMar>
              <w:top w:w="8" w:type="dxa"/>
              <w:left w:w="8" w:type="dxa"/>
              <w:right w:w="8" w:type="dxa"/>
            </w:tcMar>
            <w:vAlign w:val="center"/>
          </w:tcPr>
          <w:p w14:paraId="06959B07" w14:textId="77777777" w:rsidR="008005C6" w:rsidRDefault="002A5F93">
            <w:pPr>
              <w:jc w:val="right"/>
              <w:rPr>
                <w:szCs w:val="21"/>
              </w:rPr>
            </w:pPr>
            <w:r>
              <w:rPr>
                <w:szCs w:val="21"/>
              </w:rPr>
              <w:t>108,527.74</w:t>
            </w:r>
          </w:p>
        </w:tc>
        <w:tc>
          <w:tcPr>
            <w:tcW w:w="1340" w:type="dxa"/>
            <w:tcBorders>
              <w:tl2br w:val="nil"/>
              <w:tr2bl w:val="nil"/>
            </w:tcBorders>
            <w:tcMar>
              <w:top w:w="8" w:type="dxa"/>
              <w:left w:w="8" w:type="dxa"/>
              <w:right w:w="8" w:type="dxa"/>
            </w:tcMar>
            <w:vAlign w:val="center"/>
          </w:tcPr>
          <w:p w14:paraId="34690847" w14:textId="77777777" w:rsidR="008005C6" w:rsidRDefault="002A5F93">
            <w:pPr>
              <w:jc w:val="right"/>
              <w:rPr>
                <w:szCs w:val="21"/>
              </w:rPr>
            </w:pPr>
            <w:r>
              <w:rPr>
                <w:szCs w:val="21"/>
              </w:rPr>
              <w:t>108,527.74</w:t>
            </w:r>
          </w:p>
        </w:tc>
      </w:tr>
      <w:tr w:rsidR="008005C6" w14:paraId="2A9701D6" w14:textId="77777777">
        <w:trPr>
          <w:trHeight w:val="397"/>
          <w:jc w:val="center"/>
        </w:trPr>
        <w:tc>
          <w:tcPr>
            <w:tcW w:w="4171" w:type="dxa"/>
            <w:tcBorders>
              <w:tl2br w:val="nil"/>
              <w:tr2bl w:val="nil"/>
            </w:tcBorders>
            <w:tcMar>
              <w:top w:w="8" w:type="dxa"/>
              <w:left w:w="8" w:type="dxa"/>
              <w:right w:w="8" w:type="dxa"/>
            </w:tcMar>
            <w:vAlign w:val="center"/>
          </w:tcPr>
          <w:p w14:paraId="1561CEA5" w14:textId="77777777" w:rsidR="008005C6" w:rsidRDefault="002A5F93">
            <w:pPr>
              <w:textAlignment w:val="center"/>
              <w:rPr>
                <w:color w:val="000000"/>
                <w:szCs w:val="21"/>
              </w:rPr>
            </w:pPr>
            <w:r>
              <w:rPr>
                <w:rFonts w:hint="eastAsia"/>
                <w:color w:val="000000"/>
                <w:szCs w:val="21"/>
                <w:lang w:bidi="ar"/>
              </w:rPr>
              <w:t>期末归属于母公司所有者权益（万元）</w:t>
            </w:r>
          </w:p>
        </w:tc>
        <w:tc>
          <w:tcPr>
            <w:tcW w:w="1441" w:type="dxa"/>
            <w:tcBorders>
              <w:tl2br w:val="nil"/>
              <w:tr2bl w:val="nil"/>
            </w:tcBorders>
            <w:tcMar>
              <w:top w:w="8" w:type="dxa"/>
              <w:left w:w="8" w:type="dxa"/>
              <w:right w:w="8" w:type="dxa"/>
            </w:tcMar>
            <w:vAlign w:val="center"/>
          </w:tcPr>
          <w:p w14:paraId="64413C72" w14:textId="77777777" w:rsidR="008005C6" w:rsidRDefault="002A5F93">
            <w:pPr>
              <w:jc w:val="right"/>
              <w:textAlignment w:val="center"/>
              <w:rPr>
                <w:color w:val="000000"/>
                <w:szCs w:val="21"/>
              </w:rPr>
            </w:pPr>
            <w:r>
              <w:rPr>
                <w:szCs w:val="21"/>
              </w:rPr>
              <w:t>108,527.74</w:t>
            </w:r>
          </w:p>
        </w:tc>
        <w:tc>
          <w:tcPr>
            <w:tcW w:w="1553" w:type="dxa"/>
            <w:tcBorders>
              <w:tl2br w:val="nil"/>
              <w:tr2bl w:val="nil"/>
            </w:tcBorders>
            <w:tcMar>
              <w:top w:w="8" w:type="dxa"/>
              <w:left w:w="8" w:type="dxa"/>
              <w:right w:w="8" w:type="dxa"/>
            </w:tcMar>
            <w:vAlign w:val="center"/>
          </w:tcPr>
          <w:p w14:paraId="35B8DD92" w14:textId="77777777" w:rsidR="008005C6" w:rsidRDefault="002A5F93">
            <w:pPr>
              <w:jc w:val="right"/>
              <w:rPr>
                <w:szCs w:val="21"/>
              </w:rPr>
            </w:pPr>
            <w:r>
              <w:rPr>
                <w:szCs w:val="21"/>
              </w:rPr>
              <w:t>112,609.70</w:t>
            </w:r>
          </w:p>
        </w:tc>
        <w:tc>
          <w:tcPr>
            <w:tcW w:w="1340" w:type="dxa"/>
            <w:tcBorders>
              <w:tl2br w:val="nil"/>
              <w:tr2bl w:val="nil"/>
            </w:tcBorders>
            <w:tcMar>
              <w:top w:w="8" w:type="dxa"/>
              <w:left w:w="8" w:type="dxa"/>
              <w:right w:w="8" w:type="dxa"/>
            </w:tcMar>
            <w:vAlign w:val="center"/>
          </w:tcPr>
          <w:p w14:paraId="1019030F" w14:textId="77777777" w:rsidR="008005C6" w:rsidRDefault="002A5F93">
            <w:pPr>
              <w:jc w:val="right"/>
              <w:rPr>
                <w:szCs w:val="21"/>
              </w:rPr>
            </w:pPr>
            <w:r>
              <w:rPr>
                <w:szCs w:val="21"/>
              </w:rPr>
              <w:t>232,609.70</w:t>
            </w:r>
          </w:p>
        </w:tc>
      </w:tr>
      <w:tr w:rsidR="008005C6" w14:paraId="05B2616A" w14:textId="77777777">
        <w:trPr>
          <w:trHeight w:val="397"/>
          <w:jc w:val="center"/>
        </w:trPr>
        <w:tc>
          <w:tcPr>
            <w:tcW w:w="4171" w:type="dxa"/>
            <w:tcBorders>
              <w:tl2br w:val="nil"/>
              <w:tr2bl w:val="nil"/>
            </w:tcBorders>
            <w:tcMar>
              <w:top w:w="8" w:type="dxa"/>
              <w:left w:w="8" w:type="dxa"/>
              <w:right w:w="8" w:type="dxa"/>
            </w:tcMar>
            <w:vAlign w:val="center"/>
          </w:tcPr>
          <w:p w14:paraId="7E2E28BC" w14:textId="77777777" w:rsidR="008005C6" w:rsidRDefault="002A5F93">
            <w:pPr>
              <w:textAlignment w:val="center"/>
              <w:rPr>
                <w:color w:val="000000"/>
                <w:szCs w:val="21"/>
              </w:rPr>
            </w:pPr>
            <w:r>
              <w:rPr>
                <w:rFonts w:hint="eastAsia"/>
                <w:color w:val="000000"/>
                <w:szCs w:val="21"/>
                <w:lang w:bidi="ar"/>
              </w:rPr>
              <w:t>基本每股收益（元</w:t>
            </w:r>
            <w:r>
              <w:rPr>
                <w:szCs w:val="21"/>
              </w:rPr>
              <w:t>/</w:t>
            </w:r>
            <w:r>
              <w:rPr>
                <w:rFonts w:hint="eastAsia"/>
                <w:color w:val="000000"/>
                <w:szCs w:val="21"/>
              </w:rPr>
              <w:t>股）</w:t>
            </w:r>
          </w:p>
        </w:tc>
        <w:tc>
          <w:tcPr>
            <w:tcW w:w="1441" w:type="dxa"/>
            <w:tcBorders>
              <w:tl2br w:val="nil"/>
              <w:tr2bl w:val="nil"/>
            </w:tcBorders>
            <w:tcMar>
              <w:top w:w="8" w:type="dxa"/>
              <w:left w:w="8" w:type="dxa"/>
              <w:right w:w="8" w:type="dxa"/>
            </w:tcMar>
            <w:vAlign w:val="center"/>
          </w:tcPr>
          <w:p w14:paraId="4BDDA4C4" w14:textId="77777777" w:rsidR="008005C6" w:rsidRDefault="002A5F93">
            <w:pPr>
              <w:jc w:val="right"/>
              <w:textAlignment w:val="center"/>
              <w:rPr>
                <w:color w:val="000000"/>
                <w:szCs w:val="21"/>
              </w:rPr>
            </w:pPr>
            <w:r>
              <w:rPr>
                <w:szCs w:val="21"/>
              </w:rPr>
              <w:t>0.23</w:t>
            </w:r>
          </w:p>
        </w:tc>
        <w:tc>
          <w:tcPr>
            <w:tcW w:w="1553" w:type="dxa"/>
            <w:tcBorders>
              <w:tl2br w:val="nil"/>
              <w:tr2bl w:val="nil"/>
            </w:tcBorders>
            <w:tcMar>
              <w:top w:w="8" w:type="dxa"/>
              <w:left w:w="8" w:type="dxa"/>
              <w:right w:w="8" w:type="dxa"/>
            </w:tcMar>
            <w:vAlign w:val="center"/>
          </w:tcPr>
          <w:p w14:paraId="1106BF69" w14:textId="77777777" w:rsidR="008005C6" w:rsidRDefault="002A5F93">
            <w:pPr>
              <w:jc w:val="right"/>
              <w:rPr>
                <w:szCs w:val="21"/>
              </w:rPr>
            </w:pPr>
            <w:r>
              <w:rPr>
                <w:szCs w:val="21"/>
              </w:rPr>
              <w:t>0.18</w:t>
            </w:r>
          </w:p>
        </w:tc>
        <w:tc>
          <w:tcPr>
            <w:tcW w:w="1340" w:type="dxa"/>
            <w:tcBorders>
              <w:tl2br w:val="nil"/>
              <w:tr2bl w:val="nil"/>
            </w:tcBorders>
            <w:tcMar>
              <w:top w:w="8" w:type="dxa"/>
              <w:left w:w="8" w:type="dxa"/>
              <w:right w:w="8" w:type="dxa"/>
            </w:tcMar>
            <w:vAlign w:val="center"/>
          </w:tcPr>
          <w:p w14:paraId="4AE9C834" w14:textId="77777777" w:rsidR="008005C6" w:rsidRDefault="002A5F93">
            <w:pPr>
              <w:jc w:val="right"/>
              <w:rPr>
                <w:szCs w:val="21"/>
              </w:rPr>
            </w:pPr>
            <w:r>
              <w:rPr>
                <w:szCs w:val="21"/>
              </w:rPr>
              <w:t>0.18</w:t>
            </w:r>
          </w:p>
        </w:tc>
      </w:tr>
      <w:tr w:rsidR="008005C6" w14:paraId="4420744E" w14:textId="77777777">
        <w:trPr>
          <w:trHeight w:val="397"/>
          <w:jc w:val="center"/>
        </w:trPr>
        <w:tc>
          <w:tcPr>
            <w:tcW w:w="4171" w:type="dxa"/>
            <w:tcBorders>
              <w:tl2br w:val="nil"/>
              <w:tr2bl w:val="nil"/>
            </w:tcBorders>
            <w:tcMar>
              <w:top w:w="8" w:type="dxa"/>
              <w:left w:w="8" w:type="dxa"/>
              <w:right w:w="8" w:type="dxa"/>
            </w:tcMar>
            <w:vAlign w:val="center"/>
          </w:tcPr>
          <w:p w14:paraId="274FCFEA" w14:textId="77777777" w:rsidR="008005C6" w:rsidRDefault="002A5F93">
            <w:pPr>
              <w:textAlignment w:val="center"/>
              <w:rPr>
                <w:color w:val="000000"/>
                <w:szCs w:val="21"/>
              </w:rPr>
            </w:pPr>
            <w:r>
              <w:rPr>
                <w:rFonts w:hint="eastAsia"/>
                <w:color w:val="000000"/>
                <w:szCs w:val="21"/>
                <w:lang w:bidi="ar"/>
              </w:rPr>
              <w:t>扣除非经常性损益后基本每股收益（元</w:t>
            </w:r>
            <w:r>
              <w:rPr>
                <w:szCs w:val="21"/>
              </w:rPr>
              <w:t>/</w:t>
            </w:r>
            <w:r>
              <w:rPr>
                <w:rFonts w:hint="eastAsia"/>
                <w:color w:val="000000"/>
                <w:szCs w:val="21"/>
              </w:rPr>
              <w:t>股）</w:t>
            </w:r>
          </w:p>
        </w:tc>
        <w:tc>
          <w:tcPr>
            <w:tcW w:w="1441" w:type="dxa"/>
            <w:tcBorders>
              <w:tl2br w:val="nil"/>
              <w:tr2bl w:val="nil"/>
            </w:tcBorders>
            <w:tcMar>
              <w:top w:w="8" w:type="dxa"/>
              <w:left w:w="8" w:type="dxa"/>
              <w:right w:w="8" w:type="dxa"/>
            </w:tcMar>
            <w:vAlign w:val="center"/>
          </w:tcPr>
          <w:p w14:paraId="3BE80486" w14:textId="77777777" w:rsidR="008005C6" w:rsidRDefault="002A5F93">
            <w:pPr>
              <w:jc w:val="right"/>
              <w:textAlignment w:val="center"/>
              <w:rPr>
                <w:color w:val="000000"/>
                <w:szCs w:val="21"/>
              </w:rPr>
            </w:pPr>
            <w:r>
              <w:rPr>
                <w:szCs w:val="21"/>
              </w:rPr>
              <w:t>0.23</w:t>
            </w:r>
          </w:p>
        </w:tc>
        <w:tc>
          <w:tcPr>
            <w:tcW w:w="1553" w:type="dxa"/>
            <w:tcBorders>
              <w:tl2br w:val="nil"/>
              <w:tr2bl w:val="nil"/>
            </w:tcBorders>
            <w:tcMar>
              <w:top w:w="8" w:type="dxa"/>
              <w:left w:w="8" w:type="dxa"/>
              <w:right w:w="8" w:type="dxa"/>
            </w:tcMar>
            <w:vAlign w:val="center"/>
          </w:tcPr>
          <w:p w14:paraId="4F024B37" w14:textId="77777777" w:rsidR="008005C6" w:rsidRDefault="002A5F93">
            <w:pPr>
              <w:jc w:val="right"/>
              <w:rPr>
                <w:szCs w:val="21"/>
              </w:rPr>
            </w:pPr>
            <w:r>
              <w:rPr>
                <w:szCs w:val="21"/>
              </w:rPr>
              <w:t>0.18</w:t>
            </w:r>
          </w:p>
        </w:tc>
        <w:tc>
          <w:tcPr>
            <w:tcW w:w="1340" w:type="dxa"/>
            <w:tcBorders>
              <w:tl2br w:val="nil"/>
              <w:tr2bl w:val="nil"/>
            </w:tcBorders>
            <w:tcMar>
              <w:top w:w="8" w:type="dxa"/>
              <w:left w:w="8" w:type="dxa"/>
              <w:right w:w="8" w:type="dxa"/>
            </w:tcMar>
            <w:vAlign w:val="center"/>
          </w:tcPr>
          <w:p w14:paraId="260C6236" w14:textId="77777777" w:rsidR="008005C6" w:rsidRDefault="002A5F93">
            <w:pPr>
              <w:jc w:val="right"/>
              <w:rPr>
                <w:szCs w:val="21"/>
              </w:rPr>
            </w:pPr>
            <w:r>
              <w:rPr>
                <w:szCs w:val="21"/>
              </w:rPr>
              <w:t>0.17</w:t>
            </w:r>
          </w:p>
        </w:tc>
      </w:tr>
      <w:tr w:rsidR="008005C6" w14:paraId="70FE3A3A" w14:textId="77777777">
        <w:trPr>
          <w:trHeight w:val="397"/>
          <w:jc w:val="center"/>
        </w:trPr>
        <w:tc>
          <w:tcPr>
            <w:tcW w:w="4171" w:type="dxa"/>
            <w:tcBorders>
              <w:tl2br w:val="nil"/>
              <w:tr2bl w:val="nil"/>
            </w:tcBorders>
            <w:tcMar>
              <w:top w:w="8" w:type="dxa"/>
              <w:left w:w="8" w:type="dxa"/>
              <w:right w:w="8" w:type="dxa"/>
            </w:tcMar>
            <w:vAlign w:val="center"/>
          </w:tcPr>
          <w:p w14:paraId="2C1AA124" w14:textId="77777777" w:rsidR="008005C6" w:rsidRDefault="002A5F93">
            <w:pPr>
              <w:textAlignment w:val="center"/>
              <w:rPr>
                <w:color w:val="000000"/>
                <w:szCs w:val="21"/>
              </w:rPr>
            </w:pPr>
            <w:r>
              <w:rPr>
                <w:rFonts w:hint="eastAsia"/>
                <w:color w:val="000000"/>
                <w:szCs w:val="21"/>
                <w:lang w:bidi="ar"/>
              </w:rPr>
              <w:t>加权平均净资产收益率（</w:t>
            </w:r>
            <w:r>
              <w:rPr>
                <w:szCs w:val="21"/>
              </w:rPr>
              <w:t>%</w:t>
            </w:r>
            <w:r>
              <w:rPr>
                <w:rFonts w:hint="eastAsia"/>
                <w:color w:val="000000"/>
                <w:szCs w:val="21"/>
              </w:rPr>
              <w:t>）</w:t>
            </w:r>
          </w:p>
        </w:tc>
        <w:tc>
          <w:tcPr>
            <w:tcW w:w="1441" w:type="dxa"/>
            <w:tcBorders>
              <w:tl2br w:val="nil"/>
              <w:tr2bl w:val="nil"/>
            </w:tcBorders>
            <w:tcMar>
              <w:top w:w="8" w:type="dxa"/>
              <w:left w:w="8" w:type="dxa"/>
              <w:right w:w="8" w:type="dxa"/>
            </w:tcMar>
            <w:vAlign w:val="center"/>
          </w:tcPr>
          <w:p w14:paraId="14A49C86" w14:textId="77777777" w:rsidR="008005C6" w:rsidRDefault="002A5F93">
            <w:pPr>
              <w:jc w:val="right"/>
              <w:textAlignment w:val="center"/>
              <w:rPr>
                <w:color w:val="000000"/>
                <w:szCs w:val="21"/>
              </w:rPr>
            </w:pPr>
            <w:r>
              <w:rPr>
                <w:szCs w:val="21"/>
              </w:rPr>
              <w:t>12.34</w:t>
            </w:r>
          </w:p>
        </w:tc>
        <w:tc>
          <w:tcPr>
            <w:tcW w:w="1553" w:type="dxa"/>
            <w:tcBorders>
              <w:tl2br w:val="nil"/>
              <w:tr2bl w:val="nil"/>
            </w:tcBorders>
            <w:tcMar>
              <w:top w:w="8" w:type="dxa"/>
              <w:left w:w="8" w:type="dxa"/>
              <w:right w:w="8" w:type="dxa"/>
            </w:tcMar>
            <w:vAlign w:val="center"/>
          </w:tcPr>
          <w:p w14:paraId="0A158E3C" w14:textId="77777777" w:rsidR="008005C6" w:rsidRDefault="002A5F93">
            <w:pPr>
              <w:jc w:val="right"/>
              <w:rPr>
                <w:szCs w:val="21"/>
              </w:rPr>
            </w:pPr>
            <w:r>
              <w:rPr>
                <w:szCs w:val="21"/>
              </w:rPr>
              <w:t>8.24</w:t>
            </w:r>
          </w:p>
        </w:tc>
        <w:tc>
          <w:tcPr>
            <w:tcW w:w="1340" w:type="dxa"/>
            <w:tcBorders>
              <w:tl2br w:val="nil"/>
              <w:tr2bl w:val="nil"/>
            </w:tcBorders>
            <w:tcMar>
              <w:top w:w="8" w:type="dxa"/>
              <w:left w:w="8" w:type="dxa"/>
              <w:right w:w="8" w:type="dxa"/>
            </w:tcMar>
            <w:vAlign w:val="center"/>
          </w:tcPr>
          <w:p w14:paraId="77FE4732" w14:textId="77777777" w:rsidR="008005C6" w:rsidRDefault="002A5F93">
            <w:pPr>
              <w:jc w:val="right"/>
              <w:rPr>
                <w:szCs w:val="21"/>
              </w:rPr>
            </w:pPr>
            <w:r>
              <w:rPr>
                <w:szCs w:val="21"/>
              </w:rPr>
              <w:t>7.55</w:t>
            </w:r>
          </w:p>
        </w:tc>
      </w:tr>
      <w:tr w:rsidR="008005C6" w14:paraId="5BC7457F" w14:textId="77777777">
        <w:trPr>
          <w:trHeight w:val="397"/>
          <w:jc w:val="center"/>
        </w:trPr>
        <w:tc>
          <w:tcPr>
            <w:tcW w:w="4171" w:type="dxa"/>
            <w:tcBorders>
              <w:tl2br w:val="nil"/>
              <w:tr2bl w:val="nil"/>
            </w:tcBorders>
            <w:tcMar>
              <w:top w:w="8" w:type="dxa"/>
              <w:left w:w="8" w:type="dxa"/>
              <w:right w:w="8" w:type="dxa"/>
            </w:tcMar>
            <w:vAlign w:val="center"/>
          </w:tcPr>
          <w:p w14:paraId="640CC704" w14:textId="77777777" w:rsidR="008005C6" w:rsidRDefault="002A5F93">
            <w:pPr>
              <w:textAlignment w:val="center"/>
              <w:rPr>
                <w:color w:val="000000"/>
                <w:szCs w:val="21"/>
              </w:rPr>
            </w:pPr>
            <w:r>
              <w:rPr>
                <w:rFonts w:hint="eastAsia"/>
                <w:color w:val="000000"/>
                <w:szCs w:val="21"/>
                <w:lang w:bidi="ar"/>
              </w:rPr>
              <w:t>扣除非经常性损益后加权平均净资产收益率（</w:t>
            </w:r>
            <w:r>
              <w:rPr>
                <w:szCs w:val="21"/>
              </w:rPr>
              <w:t>%</w:t>
            </w:r>
            <w:r>
              <w:rPr>
                <w:rFonts w:hint="eastAsia"/>
                <w:color w:val="000000"/>
                <w:szCs w:val="21"/>
              </w:rPr>
              <w:t>）</w:t>
            </w:r>
          </w:p>
        </w:tc>
        <w:tc>
          <w:tcPr>
            <w:tcW w:w="1441" w:type="dxa"/>
            <w:tcBorders>
              <w:tl2br w:val="nil"/>
              <w:tr2bl w:val="nil"/>
            </w:tcBorders>
            <w:tcMar>
              <w:top w:w="8" w:type="dxa"/>
              <w:left w:w="8" w:type="dxa"/>
              <w:right w:w="8" w:type="dxa"/>
            </w:tcMar>
            <w:vAlign w:val="center"/>
          </w:tcPr>
          <w:p w14:paraId="593BDFB5" w14:textId="77777777" w:rsidR="008005C6" w:rsidRDefault="002A5F93">
            <w:pPr>
              <w:jc w:val="right"/>
              <w:textAlignment w:val="center"/>
              <w:rPr>
                <w:color w:val="000000"/>
                <w:szCs w:val="21"/>
              </w:rPr>
            </w:pPr>
            <w:r>
              <w:rPr>
                <w:szCs w:val="21"/>
              </w:rPr>
              <w:t>12.01</w:t>
            </w:r>
          </w:p>
        </w:tc>
        <w:tc>
          <w:tcPr>
            <w:tcW w:w="1553" w:type="dxa"/>
            <w:tcBorders>
              <w:tl2br w:val="nil"/>
              <w:tr2bl w:val="nil"/>
            </w:tcBorders>
            <w:tcMar>
              <w:top w:w="8" w:type="dxa"/>
              <w:left w:w="8" w:type="dxa"/>
              <w:right w:w="8" w:type="dxa"/>
            </w:tcMar>
            <w:vAlign w:val="center"/>
          </w:tcPr>
          <w:p w14:paraId="69021B3D" w14:textId="77777777" w:rsidR="008005C6" w:rsidRDefault="002A5F93">
            <w:pPr>
              <w:jc w:val="right"/>
              <w:rPr>
                <w:szCs w:val="21"/>
              </w:rPr>
            </w:pPr>
            <w:r>
              <w:rPr>
                <w:szCs w:val="21"/>
              </w:rPr>
              <w:t>8.01</w:t>
            </w:r>
          </w:p>
        </w:tc>
        <w:tc>
          <w:tcPr>
            <w:tcW w:w="1340" w:type="dxa"/>
            <w:tcBorders>
              <w:tl2br w:val="nil"/>
              <w:tr2bl w:val="nil"/>
            </w:tcBorders>
            <w:tcMar>
              <w:top w:w="8" w:type="dxa"/>
              <w:left w:w="8" w:type="dxa"/>
              <w:right w:w="8" w:type="dxa"/>
            </w:tcMar>
            <w:vAlign w:val="center"/>
          </w:tcPr>
          <w:p w14:paraId="10DBD000" w14:textId="77777777" w:rsidR="008005C6" w:rsidRDefault="002A5F93">
            <w:pPr>
              <w:jc w:val="right"/>
              <w:rPr>
                <w:szCs w:val="21"/>
              </w:rPr>
            </w:pPr>
            <w:r>
              <w:rPr>
                <w:szCs w:val="21"/>
              </w:rPr>
              <w:t>7.35</w:t>
            </w:r>
          </w:p>
        </w:tc>
      </w:tr>
    </w:tbl>
    <w:p w14:paraId="06C20D81" w14:textId="77777777" w:rsidR="008005C6" w:rsidRDefault="002A5F93">
      <w:pPr>
        <w:pStyle w:val="13"/>
        <w:ind w:firstLine="420"/>
        <w:outlineLvl w:val="9"/>
        <w:rPr>
          <w:rFonts w:eastAsia="宋体"/>
          <w:b w:val="0"/>
          <w:color w:val="000000"/>
          <w:sz w:val="21"/>
          <w:szCs w:val="21"/>
          <w:lang w:bidi="ar"/>
        </w:rPr>
      </w:pPr>
      <w:bookmarkStart w:id="6" w:name="_Toc471902658"/>
      <w:bookmarkStart w:id="7" w:name="_Toc467919301"/>
      <w:r>
        <w:rPr>
          <w:rFonts w:eastAsia="宋体" w:hint="eastAsia"/>
          <w:b w:val="0"/>
          <w:color w:val="000000"/>
          <w:sz w:val="21"/>
          <w:szCs w:val="21"/>
          <w:lang w:bidi="ar"/>
        </w:rPr>
        <w:t>注：上述计算每股收益按照《公开发行证券的公司信息披露编报规则第</w:t>
      </w:r>
      <w:r>
        <w:rPr>
          <w:rFonts w:eastAsia="宋体" w:hint="eastAsia"/>
          <w:b w:val="0"/>
          <w:color w:val="000000"/>
          <w:sz w:val="21"/>
          <w:szCs w:val="21"/>
          <w:lang w:bidi="ar"/>
        </w:rPr>
        <w:t xml:space="preserve"> 9 </w:t>
      </w:r>
      <w:r>
        <w:rPr>
          <w:rFonts w:eastAsia="宋体" w:hint="eastAsia"/>
          <w:b w:val="0"/>
          <w:color w:val="000000"/>
          <w:sz w:val="21"/>
          <w:szCs w:val="21"/>
          <w:lang w:bidi="ar"/>
        </w:rPr>
        <w:t>号—净资产收益率和每股收益的计算及披露》的规定，分别计算基本每股收益和净资产收益率。</w:t>
      </w:r>
    </w:p>
    <w:p w14:paraId="5D8CC4B6" w14:textId="1E2DAB11" w:rsidR="008005C6" w:rsidRDefault="002A5F93">
      <w:pPr>
        <w:pStyle w:val="13"/>
        <w:ind w:firstLine="562"/>
      </w:pPr>
      <w:r>
        <w:lastRenderedPageBreak/>
        <w:t>二、</w:t>
      </w:r>
      <w:bookmarkStart w:id="8" w:name="_Hlk46152042"/>
      <w:bookmarkEnd w:id="6"/>
      <w:bookmarkEnd w:id="7"/>
      <w:r>
        <w:rPr>
          <w:rFonts w:hint="eastAsia"/>
        </w:rPr>
        <w:t>本次非公开发行摊薄即期回报的风险提示</w:t>
      </w:r>
      <w:bookmarkEnd w:id="8"/>
    </w:p>
    <w:p w14:paraId="7C635274" w14:textId="77777777" w:rsidR="008005C6" w:rsidRDefault="002A5F93">
      <w:pPr>
        <w:pStyle w:val="3"/>
        <w:spacing w:before="156" w:after="156"/>
        <w:ind w:firstLine="480"/>
      </w:pPr>
      <w:bookmarkStart w:id="9" w:name="_Toc471902659"/>
      <w:bookmarkStart w:id="10" w:name="_Toc467919302"/>
      <w:r>
        <w:rPr>
          <w:rFonts w:hint="eastAsia"/>
        </w:rPr>
        <w:t>本次非公开发行完成后，公司总股本和净资产规模将有较大幅度的增加，有利于增强公司的抗风险能力和战略目标的实现。随着</w:t>
      </w:r>
      <w:proofErr w:type="gramStart"/>
      <w:r>
        <w:rPr>
          <w:rFonts w:hint="eastAsia"/>
        </w:rPr>
        <w:t>募投项目</w:t>
      </w:r>
      <w:proofErr w:type="gramEnd"/>
      <w:r>
        <w:rPr>
          <w:rFonts w:hint="eastAsia"/>
        </w:rPr>
        <w:t>的实施，公司营业收入规模将逐步增大，盈利能力将进一步提升。但募集资金使用产生效益需要一定周期，在股本和净资产均增加的情况下，若公司最终实现的净利润未能与股本及净资产规模同比例增长，每股收益和加权平均净资产收益率等指标将出现一定幅度的下降，本次募集资金到位后公司即期回报存在被摊薄的风险。敬请广大投资者理性投资，并注意投资风险。</w:t>
      </w:r>
    </w:p>
    <w:p w14:paraId="095F3244" w14:textId="77777777" w:rsidR="008005C6" w:rsidRDefault="002A5F93">
      <w:pPr>
        <w:pStyle w:val="13"/>
        <w:ind w:firstLine="562"/>
      </w:pPr>
      <w:r>
        <w:rPr>
          <w:rFonts w:hint="eastAsia"/>
        </w:rPr>
        <w:t>三、</w:t>
      </w:r>
      <w:r>
        <w:t>本次</w:t>
      </w:r>
      <w:r>
        <w:rPr>
          <w:rFonts w:hint="eastAsia"/>
        </w:rPr>
        <w:t>非公开发行</w:t>
      </w:r>
      <w:r>
        <w:t>的必要性及合理性</w:t>
      </w:r>
      <w:bookmarkEnd w:id="9"/>
      <w:bookmarkEnd w:id="10"/>
    </w:p>
    <w:p w14:paraId="24181393" w14:textId="1B628EFC" w:rsidR="008005C6" w:rsidRDefault="002A5F93">
      <w:pPr>
        <w:pStyle w:val="3"/>
        <w:spacing w:before="156" w:after="156"/>
        <w:ind w:firstLine="480"/>
        <w:rPr>
          <w:szCs w:val="22"/>
        </w:rPr>
      </w:pPr>
      <w:r>
        <w:rPr>
          <w:rFonts w:hint="eastAsia"/>
          <w:lang w:bidi="ar"/>
        </w:rPr>
        <w:t>本次非公开发行符合公司所处行业发展趋势和公司未来发展规划，有利于提升公司的资金实力和盈利能力，进一步优化资本结构，增强公司</w:t>
      </w:r>
      <w:proofErr w:type="gramStart"/>
      <w:r>
        <w:rPr>
          <w:rFonts w:hint="eastAsia"/>
          <w:lang w:bidi="ar"/>
        </w:rPr>
        <w:t>抗经营</w:t>
      </w:r>
      <w:proofErr w:type="gramEnd"/>
      <w:r>
        <w:rPr>
          <w:rFonts w:hint="eastAsia"/>
          <w:lang w:bidi="ar"/>
        </w:rPr>
        <w:t>风险的能力，巩固和加强公司的行业地位，符合公司及公司全体股东的利益。关于本次非公开发行的必要性及合理性分析，</w:t>
      </w:r>
      <w:r w:rsidR="00E068F7" w:rsidRPr="00E068F7">
        <w:rPr>
          <w:rFonts w:hint="eastAsia"/>
          <w:lang w:bidi="ar"/>
        </w:rPr>
        <w:t>详见公司同日发布的《非公开发行股票募集资金使用的可行性分析报告》。</w:t>
      </w:r>
    </w:p>
    <w:p w14:paraId="4AB3C312" w14:textId="77777777" w:rsidR="008005C6" w:rsidRDefault="002A5F93">
      <w:pPr>
        <w:pStyle w:val="13"/>
        <w:ind w:firstLine="562"/>
      </w:pPr>
      <w:bookmarkStart w:id="11" w:name="_Toc471902660"/>
      <w:bookmarkStart w:id="12" w:name="_Toc467919303"/>
      <w:r>
        <w:t>四、本次募集资金投资项目与公司现有业务的关系及公司从事募集资金投资项目的人员、技术、市场等方面的储备情况</w:t>
      </w:r>
      <w:bookmarkEnd w:id="11"/>
      <w:bookmarkEnd w:id="12"/>
    </w:p>
    <w:p w14:paraId="6D4F6D1E" w14:textId="77777777" w:rsidR="008005C6" w:rsidRDefault="002A5F93">
      <w:pPr>
        <w:pStyle w:val="23"/>
        <w:spacing w:before="156" w:after="156"/>
        <w:ind w:firstLine="482"/>
        <w:rPr>
          <w:rFonts w:eastAsia="黑体"/>
        </w:rPr>
      </w:pPr>
      <w:r>
        <w:rPr>
          <w:rFonts w:eastAsia="黑体" w:hint="eastAsia"/>
        </w:rPr>
        <w:t>（一）本次募集资金投资项目与公司现有业务的关系</w:t>
      </w:r>
    </w:p>
    <w:p w14:paraId="1B1A011A" w14:textId="77777777" w:rsidR="008005C6" w:rsidRDefault="002A5F93">
      <w:pPr>
        <w:pStyle w:val="3"/>
        <w:spacing w:before="156" w:after="156"/>
        <w:ind w:firstLine="480"/>
      </w:pPr>
      <w:r>
        <w:rPr>
          <w:rFonts w:hint="eastAsia"/>
        </w:rPr>
        <w:t>公司目前主要从事公路、市政基础设施相关的工程施工、勘察设计、试验检测等业务，基础设施建设与投资业务主要包括高等级公路及公路路基、路面、桥梁、隧道等的施工、建设与投资。</w:t>
      </w:r>
    </w:p>
    <w:p w14:paraId="4FA8F6D2" w14:textId="77777777" w:rsidR="008005C6" w:rsidRDefault="002A5F93">
      <w:pPr>
        <w:pStyle w:val="3"/>
        <w:spacing w:before="156" w:after="156"/>
        <w:ind w:firstLine="480"/>
        <w:rPr>
          <w:rFonts w:ascii="Calibri" w:hAnsi="Calibri"/>
          <w:b/>
          <w:kern w:val="0"/>
        </w:rPr>
      </w:pPr>
      <w:r>
        <w:rPr>
          <w:rFonts w:hint="eastAsia"/>
        </w:rPr>
        <w:t>本次募集资金投资项目紧紧围绕公司主营业务展开，用于界首</w:t>
      </w:r>
      <w:proofErr w:type="gramStart"/>
      <w:r>
        <w:rPr>
          <w:rFonts w:hint="eastAsia"/>
        </w:rPr>
        <w:t>市美丽</w:t>
      </w:r>
      <w:proofErr w:type="gramEnd"/>
      <w:r>
        <w:rPr>
          <w:rFonts w:hint="eastAsia"/>
        </w:rPr>
        <w:t>乡村建设整市推进</w:t>
      </w:r>
      <w:r>
        <w:rPr>
          <w:rFonts w:hint="eastAsia"/>
        </w:rPr>
        <w:t>PPP</w:t>
      </w:r>
      <w:r>
        <w:rPr>
          <w:rFonts w:hint="eastAsia"/>
        </w:rPr>
        <w:t>项目，符合国家有关产业政策，有利于公司在国内公路、市政基础设施相关工程领域进一步拓展，提升公司的市场竞争力，巩固公司的市场地位，增强公司经营业绩，保证公司的可持续发展。本次发行后，公司的主营业务范围保持不变，不会导致公司业务发生重大变化。同时，公司资本实力将增强，有助于进一步提高公司主营业务领域的项目承揽和项目全流程服务能力，抢占公路、市政基础设施领域市场份额，优化公司未来产业布局。</w:t>
      </w:r>
    </w:p>
    <w:p w14:paraId="2011AEDB" w14:textId="77777777" w:rsidR="008005C6" w:rsidRDefault="002A5F93">
      <w:pPr>
        <w:pStyle w:val="23"/>
        <w:spacing w:before="156" w:after="156"/>
        <w:ind w:firstLine="482"/>
        <w:rPr>
          <w:rFonts w:eastAsia="黑体"/>
        </w:rPr>
      </w:pPr>
      <w:r>
        <w:rPr>
          <w:rFonts w:eastAsia="黑体" w:hint="eastAsia"/>
        </w:rPr>
        <w:lastRenderedPageBreak/>
        <w:t>（二）公司从事募集资金投资项目的人员、技术、市场等方面的储备情况</w:t>
      </w:r>
    </w:p>
    <w:p w14:paraId="616DD5DB" w14:textId="77777777" w:rsidR="008005C6" w:rsidRDefault="002A5F93">
      <w:pPr>
        <w:spacing w:line="360" w:lineRule="auto"/>
        <w:ind w:firstLineChars="200" w:firstLine="482"/>
        <w:rPr>
          <w:b/>
          <w:bCs/>
          <w:sz w:val="24"/>
          <w:szCs w:val="22"/>
        </w:rPr>
      </w:pPr>
      <w:bookmarkStart w:id="13" w:name="_Toc467919304"/>
      <w:bookmarkStart w:id="14" w:name="_Toc471902661"/>
      <w:r>
        <w:rPr>
          <w:rFonts w:hint="eastAsia"/>
          <w:b/>
          <w:bCs/>
          <w:sz w:val="24"/>
          <w:szCs w:val="22"/>
        </w:rPr>
        <w:t>1</w:t>
      </w:r>
      <w:r>
        <w:rPr>
          <w:rFonts w:hint="eastAsia"/>
          <w:b/>
          <w:bCs/>
          <w:sz w:val="24"/>
          <w:szCs w:val="22"/>
        </w:rPr>
        <w:t>、人员储备</w:t>
      </w:r>
    </w:p>
    <w:p w14:paraId="37E7EC5D" w14:textId="77777777" w:rsidR="00E068F7" w:rsidRDefault="00E068F7" w:rsidP="00E068F7">
      <w:pPr>
        <w:spacing w:beforeLines="50" w:before="156" w:afterLines="50" w:after="156" w:line="360" w:lineRule="auto"/>
        <w:ind w:firstLineChars="200" w:firstLine="480"/>
        <w:rPr>
          <w:color w:val="000000"/>
          <w:sz w:val="24"/>
        </w:rPr>
      </w:pPr>
      <w:r>
        <w:rPr>
          <w:color w:val="000000"/>
          <w:sz w:val="24"/>
        </w:rPr>
        <w:t>公司的核心管理运营团队成员多数拥有十年以上的从业经验。公司董事长胡先宽作为</w:t>
      </w:r>
      <w:r>
        <w:rPr>
          <w:color w:val="000000"/>
          <w:sz w:val="24"/>
        </w:rPr>
        <w:t>4</w:t>
      </w:r>
      <w:r>
        <w:rPr>
          <w:color w:val="000000"/>
          <w:sz w:val="24"/>
        </w:rPr>
        <w:t>项专利、</w:t>
      </w:r>
      <w:r>
        <w:rPr>
          <w:color w:val="000000"/>
          <w:sz w:val="24"/>
        </w:rPr>
        <w:t>3</w:t>
      </w:r>
      <w:r>
        <w:rPr>
          <w:color w:val="000000"/>
          <w:sz w:val="24"/>
        </w:rPr>
        <w:t>项工法的主要发明人或完成人，主持的安庆至景德镇公路安徽段工程获得了</w:t>
      </w:r>
      <w:r>
        <w:rPr>
          <w:rFonts w:hint="eastAsia"/>
          <w:color w:val="000000"/>
          <w:sz w:val="24"/>
        </w:rPr>
        <w:t>“</w:t>
      </w:r>
      <w:r>
        <w:rPr>
          <w:color w:val="000000"/>
          <w:sz w:val="24"/>
        </w:rPr>
        <w:t>公路交通优质工程奖一等奖</w:t>
      </w:r>
      <w:r>
        <w:rPr>
          <w:rFonts w:hint="eastAsia"/>
          <w:color w:val="000000"/>
          <w:sz w:val="24"/>
        </w:rPr>
        <w:t>”</w:t>
      </w:r>
      <w:r>
        <w:rPr>
          <w:color w:val="000000"/>
          <w:sz w:val="24"/>
        </w:rPr>
        <w:t>，获得中国公路建设行业协会颁发的</w:t>
      </w:r>
      <w:r>
        <w:rPr>
          <w:color w:val="000000"/>
          <w:sz w:val="24"/>
        </w:rPr>
        <w:t>2017</w:t>
      </w:r>
      <w:r>
        <w:rPr>
          <w:color w:val="000000"/>
          <w:sz w:val="24"/>
        </w:rPr>
        <w:t>年度全国公路科技创新英才；公司总工程师储根法作为</w:t>
      </w:r>
      <w:r>
        <w:rPr>
          <w:color w:val="000000"/>
          <w:sz w:val="24"/>
        </w:rPr>
        <w:t>6</w:t>
      </w:r>
      <w:r>
        <w:rPr>
          <w:color w:val="000000"/>
          <w:sz w:val="24"/>
        </w:rPr>
        <w:t>项专利、</w:t>
      </w:r>
      <w:r>
        <w:rPr>
          <w:color w:val="000000"/>
          <w:sz w:val="24"/>
        </w:rPr>
        <w:t>10</w:t>
      </w:r>
      <w:r>
        <w:rPr>
          <w:color w:val="000000"/>
          <w:sz w:val="24"/>
        </w:rPr>
        <w:t>项工法的主要发明人或完成人，主持的合肥市裕溪路高架工程获得了</w:t>
      </w:r>
      <w:r>
        <w:rPr>
          <w:rFonts w:hint="eastAsia"/>
          <w:color w:val="000000"/>
          <w:sz w:val="24"/>
        </w:rPr>
        <w:t>“</w:t>
      </w:r>
      <w:r>
        <w:rPr>
          <w:color w:val="000000"/>
          <w:sz w:val="24"/>
        </w:rPr>
        <w:t>全国市政金杯示范工程奖</w:t>
      </w:r>
      <w:r>
        <w:rPr>
          <w:rFonts w:hint="eastAsia"/>
          <w:color w:val="000000"/>
          <w:sz w:val="24"/>
        </w:rPr>
        <w:t>”</w:t>
      </w:r>
      <w:r>
        <w:rPr>
          <w:color w:val="000000"/>
          <w:sz w:val="24"/>
        </w:rPr>
        <w:t>、阜阳北路高架工程获得了</w:t>
      </w:r>
      <w:r>
        <w:rPr>
          <w:rFonts w:hint="eastAsia"/>
          <w:color w:val="000000"/>
          <w:sz w:val="24"/>
        </w:rPr>
        <w:t>“</w:t>
      </w:r>
      <w:r>
        <w:rPr>
          <w:color w:val="000000"/>
          <w:sz w:val="24"/>
        </w:rPr>
        <w:t>全国市政金杯示范工程奖</w:t>
      </w:r>
      <w:r>
        <w:rPr>
          <w:rFonts w:hint="eastAsia"/>
          <w:color w:val="000000"/>
          <w:sz w:val="24"/>
        </w:rPr>
        <w:t>”</w:t>
      </w:r>
      <w:r>
        <w:rPr>
          <w:color w:val="000000"/>
          <w:sz w:val="24"/>
        </w:rPr>
        <w:t>和</w:t>
      </w:r>
      <w:r>
        <w:rPr>
          <w:rFonts w:hint="eastAsia"/>
          <w:color w:val="000000"/>
          <w:sz w:val="24"/>
        </w:rPr>
        <w:t>“</w:t>
      </w:r>
      <w:r>
        <w:rPr>
          <w:color w:val="000000"/>
          <w:sz w:val="24"/>
        </w:rPr>
        <w:t>国家优质工程奖</w:t>
      </w:r>
      <w:r>
        <w:rPr>
          <w:rFonts w:hint="eastAsia"/>
          <w:color w:val="000000"/>
          <w:sz w:val="24"/>
        </w:rPr>
        <w:t>”</w:t>
      </w:r>
      <w:r>
        <w:rPr>
          <w:color w:val="000000"/>
          <w:sz w:val="24"/>
        </w:rPr>
        <w:t>、六潜高速公路获得了</w:t>
      </w:r>
      <w:r>
        <w:rPr>
          <w:rFonts w:hint="eastAsia"/>
          <w:color w:val="000000"/>
          <w:sz w:val="24"/>
        </w:rPr>
        <w:t>“</w:t>
      </w:r>
      <w:r>
        <w:rPr>
          <w:color w:val="000000"/>
          <w:sz w:val="24"/>
        </w:rPr>
        <w:t>李春奖</w:t>
      </w:r>
      <w:r>
        <w:rPr>
          <w:rFonts w:hint="eastAsia"/>
          <w:color w:val="000000"/>
          <w:sz w:val="24"/>
        </w:rPr>
        <w:t>”</w:t>
      </w:r>
      <w:r>
        <w:rPr>
          <w:color w:val="000000"/>
          <w:sz w:val="24"/>
        </w:rPr>
        <w:t>。同时，公</w:t>
      </w:r>
      <w:r>
        <w:rPr>
          <w:sz w:val="24"/>
        </w:rPr>
        <w:t>司通过引进与培养人才，创新人才使用机制，建立了一批专业技能强、组织纪律好、结构合理的专业人才骨干队伍，人才质量和总量在安徽省市政、公路基础设施建设行业处于领先地位的人才队伍，为公司快速发展奠定了坚实基础。</w:t>
      </w:r>
    </w:p>
    <w:p w14:paraId="474120CC" w14:textId="77777777" w:rsidR="008005C6" w:rsidRDefault="002A5F93">
      <w:pPr>
        <w:spacing w:line="360" w:lineRule="auto"/>
        <w:ind w:firstLineChars="200" w:firstLine="482"/>
        <w:rPr>
          <w:b/>
          <w:bCs/>
          <w:sz w:val="24"/>
          <w:szCs w:val="22"/>
        </w:rPr>
      </w:pPr>
      <w:r>
        <w:rPr>
          <w:rFonts w:hint="eastAsia"/>
          <w:b/>
          <w:bCs/>
          <w:sz w:val="24"/>
          <w:szCs w:val="22"/>
        </w:rPr>
        <w:t>2</w:t>
      </w:r>
      <w:r>
        <w:rPr>
          <w:rFonts w:hint="eastAsia"/>
          <w:b/>
          <w:bCs/>
          <w:sz w:val="24"/>
          <w:szCs w:val="22"/>
        </w:rPr>
        <w:t>、技术储备</w:t>
      </w:r>
    </w:p>
    <w:p w14:paraId="2CE25B06" w14:textId="77777777" w:rsidR="00E068F7" w:rsidRDefault="00E068F7" w:rsidP="00E068F7">
      <w:pPr>
        <w:spacing w:beforeLines="50" w:before="156" w:afterLines="50" w:after="156" w:line="360" w:lineRule="auto"/>
        <w:ind w:firstLineChars="200" w:firstLine="480"/>
        <w:rPr>
          <w:sz w:val="24"/>
        </w:rPr>
      </w:pPr>
      <w:r>
        <w:rPr>
          <w:sz w:val="24"/>
        </w:rPr>
        <w:t>公司重视技术创新和创新，拥有省级企业技术中心，</w:t>
      </w:r>
      <w:r>
        <w:rPr>
          <w:sz w:val="24"/>
          <w:lang w:bidi="ar"/>
        </w:rPr>
        <w:t>截至</w:t>
      </w:r>
      <w:r>
        <w:rPr>
          <w:rFonts w:hint="eastAsia"/>
          <w:sz w:val="24"/>
          <w:lang w:bidi="ar"/>
        </w:rPr>
        <w:t>2020</w:t>
      </w:r>
      <w:r>
        <w:rPr>
          <w:rFonts w:hint="eastAsia"/>
          <w:sz w:val="24"/>
          <w:lang w:bidi="ar"/>
        </w:rPr>
        <w:t>年</w:t>
      </w:r>
      <w:r>
        <w:rPr>
          <w:rFonts w:hint="eastAsia"/>
          <w:sz w:val="24"/>
          <w:lang w:bidi="ar"/>
        </w:rPr>
        <w:t>3</w:t>
      </w:r>
      <w:r>
        <w:rPr>
          <w:rFonts w:hint="eastAsia"/>
          <w:sz w:val="24"/>
          <w:lang w:bidi="ar"/>
        </w:rPr>
        <w:t>月</w:t>
      </w:r>
      <w:r>
        <w:rPr>
          <w:rFonts w:hint="eastAsia"/>
          <w:sz w:val="24"/>
          <w:lang w:bidi="ar"/>
        </w:rPr>
        <w:t>31</w:t>
      </w:r>
      <w:r>
        <w:rPr>
          <w:rFonts w:hint="eastAsia"/>
          <w:sz w:val="24"/>
          <w:lang w:bidi="ar"/>
        </w:rPr>
        <w:t>日</w:t>
      </w:r>
      <w:r>
        <w:rPr>
          <w:sz w:val="24"/>
          <w:lang w:bidi="ar"/>
        </w:rPr>
        <w:t>，公司拥有专利</w:t>
      </w:r>
      <w:r>
        <w:rPr>
          <w:sz w:val="24"/>
          <w:lang w:bidi="ar"/>
        </w:rPr>
        <w:t>27</w:t>
      </w:r>
      <w:r>
        <w:rPr>
          <w:sz w:val="24"/>
          <w:lang w:bidi="ar"/>
        </w:rPr>
        <w:t>项，其中发明专利</w:t>
      </w:r>
      <w:r>
        <w:rPr>
          <w:sz w:val="24"/>
          <w:lang w:bidi="ar"/>
        </w:rPr>
        <w:t>9</w:t>
      </w:r>
      <w:r>
        <w:rPr>
          <w:sz w:val="24"/>
          <w:lang w:bidi="ar"/>
        </w:rPr>
        <w:t>项、实用新型专利</w:t>
      </w:r>
      <w:r>
        <w:rPr>
          <w:sz w:val="24"/>
          <w:lang w:bidi="ar"/>
        </w:rPr>
        <w:t>18</w:t>
      </w:r>
      <w:r>
        <w:rPr>
          <w:sz w:val="24"/>
          <w:lang w:bidi="ar"/>
        </w:rPr>
        <w:t>项，获得国家级工法</w:t>
      </w:r>
      <w:r>
        <w:rPr>
          <w:sz w:val="24"/>
          <w:lang w:bidi="ar"/>
        </w:rPr>
        <w:t>2</w:t>
      </w:r>
      <w:r>
        <w:rPr>
          <w:sz w:val="24"/>
          <w:lang w:bidi="ar"/>
        </w:rPr>
        <w:t>项，省部级工法</w:t>
      </w:r>
      <w:r>
        <w:rPr>
          <w:sz w:val="24"/>
          <w:lang w:bidi="ar"/>
        </w:rPr>
        <w:t>32</w:t>
      </w:r>
      <w:r>
        <w:rPr>
          <w:sz w:val="24"/>
          <w:lang w:bidi="ar"/>
        </w:rPr>
        <w:t>项，主持制定行业标准</w:t>
      </w:r>
      <w:r>
        <w:rPr>
          <w:sz w:val="24"/>
          <w:lang w:bidi="ar"/>
        </w:rPr>
        <w:t>1</w:t>
      </w:r>
      <w:r>
        <w:rPr>
          <w:sz w:val="24"/>
          <w:lang w:bidi="ar"/>
        </w:rPr>
        <w:t>项，地方标准</w:t>
      </w:r>
      <w:r>
        <w:rPr>
          <w:sz w:val="24"/>
          <w:lang w:bidi="ar"/>
        </w:rPr>
        <w:t>4</w:t>
      </w:r>
      <w:r>
        <w:rPr>
          <w:sz w:val="24"/>
          <w:lang w:bidi="ar"/>
        </w:rPr>
        <w:t>项，参与制定地方标准</w:t>
      </w:r>
      <w:r>
        <w:rPr>
          <w:sz w:val="24"/>
          <w:lang w:bidi="ar"/>
        </w:rPr>
        <w:t>3</w:t>
      </w:r>
      <w:r>
        <w:rPr>
          <w:sz w:val="24"/>
          <w:lang w:bidi="ar"/>
        </w:rPr>
        <w:t>项，</w:t>
      </w:r>
      <w:r>
        <w:rPr>
          <w:sz w:val="24"/>
        </w:rPr>
        <w:t>拥有公路工程施工总承包特级资质、市政公用工程施工总承包壹级资质，</w:t>
      </w:r>
      <w:r>
        <w:rPr>
          <w:sz w:val="24"/>
          <w:lang w:bidi="ar"/>
        </w:rPr>
        <w:t>水利水电工程、港口与航道工程、机电工程施工总承包贰级，桥梁工程、隧道工程、公路路面工程、公路路基工程、公路交通工程</w:t>
      </w:r>
      <w:r>
        <w:rPr>
          <w:sz w:val="24"/>
          <w:lang w:bidi="ar"/>
        </w:rPr>
        <w:t>(</w:t>
      </w:r>
      <w:r>
        <w:rPr>
          <w:sz w:val="24"/>
          <w:lang w:bidi="ar"/>
        </w:rPr>
        <w:t>公路安全设施</w:t>
      </w:r>
      <w:r>
        <w:rPr>
          <w:sz w:val="24"/>
          <w:lang w:bidi="ar"/>
        </w:rPr>
        <w:t>)</w:t>
      </w:r>
      <w:r>
        <w:rPr>
          <w:sz w:val="24"/>
          <w:lang w:bidi="ar"/>
        </w:rPr>
        <w:t>、环保工程专业承包壹级，公路</w:t>
      </w:r>
      <w:proofErr w:type="gramStart"/>
      <w:r>
        <w:rPr>
          <w:sz w:val="24"/>
          <w:lang w:bidi="ar"/>
        </w:rPr>
        <w:t>行业甲级</w:t>
      </w:r>
      <w:proofErr w:type="gramEnd"/>
      <w:r>
        <w:rPr>
          <w:sz w:val="24"/>
          <w:lang w:bidi="ar"/>
        </w:rPr>
        <w:t>设计资质，公路</w:t>
      </w:r>
      <w:proofErr w:type="gramStart"/>
      <w:r>
        <w:rPr>
          <w:sz w:val="24"/>
          <w:lang w:bidi="ar"/>
        </w:rPr>
        <w:t>专业甲级</w:t>
      </w:r>
      <w:proofErr w:type="gramEnd"/>
      <w:r>
        <w:rPr>
          <w:sz w:val="24"/>
          <w:lang w:bidi="ar"/>
        </w:rPr>
        <w:t>工程咨询单位资格等一系列资质，</w:t>
      </w:r>
      <w:r>
        <w:rPr>
          <w:sz w:val="24"/>
        </w:rPr>
        <w:t>在承接各类大型公路、市政基础设施工程方面具备技术优势。</w:t>
      </w:r>
    </w:p>
    <w:p w14:paraId="37560529" w14:textId="77777777" w:rsidR="00E068F7" w:rsidRDefault="00E068F7" w:rsidP="00E068F7">
      <w:pPr>
        <w:spacing w:line="360" w:lineRule="auto"/>
        <w:ind w:firstLineChars="200" w:firstLine="480"/>
        <w:rPr>
          <w:sz w:val="24"/>
        </w:rPr>
      </w:pPr>
      <w:r>
        <w:rPr>
          <w:sz w:val="24"/>
        </w:rPr>
        <w:t>公司所采用的施工技术处于国内领先水平，均已大规模运用于项目的施工过程中，项目管理人员及工程技术人员能够熟练运用各项技术，确保公司所承接项目达到业主的质量、工期要求。</w:t>
      </w:r>
    </w:p>
    <w:p w14:paraId="4D6C48D8" w14:textId="074D30CE" w:rsidR="008005C6" w:rsidRDefault="002A5F93" w:rsidP="00E068F7">
      <w:pPr>
        <w:spacing w:line="360" w:lineRule="auto"/>
        <w:ind w:firstLineChars="200" w:firstLine="482"/>
        <w:rPr>
          <w:b/>
          <w:bCs/>
          <w:sz w:val="24"/>
          <w:szCs w:val="22"/>
        </w:rPr>
      </w:pPr>
      <w:r>
        <w:rPr>
          <w:rFonts w:hint="eastAsia"/>
          <w:b/>
          <w:bCs/>
          <w:sz w:val="24"/>
          <w:szCs w:val="22"/>
        </w:rPr>
        <w:t>3</w:t>
      </w:r>
      <w:r>
        <w:rPr>
          <w:rFonts w:hint="eastAsia"/>
          <w:b/>
          <w:bCs/>
          <w:sz w:val="24"/>
          <w:szCs w:val="22"/>
        </w:rPr>
        <w:t>、市场储备</w:t>
      </w:r>
    </w:p>
    <w:p w14:paraId="654D9091" w14:textId="77777777" w:rsidR="00E068F7" w:rsidRDefault="00E068F7" w:rsidP="00E068F7">
      <w:pPr>
        <w:spacing w:beforeLines="50" w:before="156" w:afterLines="50" w:after="156" w:line="360" w:lineRule="auto"/>
        <w:ind w:firstLineChars="200" w:firstLine="480"/>
        <w:rPr>
          <w:sz w:val="24"/>
          <w:lang w:bidi="ar"/>
        </w:rPr>
      </w:pPr>
      <w:r>
        <w:rPr>
          <w:sz w:val="24"/>
          <w:lang w:bidi="ar"/>
        </w:rPr>
        <w:t>公司以公路、市政基础设施施工业务为核心，打造</w:t>
      </w:r>
      <w:r>
        <w:rPr>
          <w:rFonts w:hint="eastAsia"/>
          <w:sz w:val="24"/>
          <w:lang w:bidi="ar"/>
        </w:rPr>
        <w:t>“</w:t>
      </w:r>
      <w:r>
        <w:rPr>
          <w:sz w:val="24"/>
          <w:lang w:bidi="ar"/>
        </w:rPr>
        <w:t>投资、设计、施工、养护</w:t>
      </w:r>
      <w:r>
        <w:rPr>
          <w:rFonts w:hint="eastAsia"/>
          <w:sz w:val="24"/>
          <w:lang w:bidi="ar"/>
        </w:rPr>
        <w:t>”</w:t>
      </w:r>
      <w:r>
        <w:rPr>
          <w:sz w:val="24"/>
          <w:lang w:bidi="ar"/>
        </w:rPr>
        <w:t>一体化的产业格局，主要从事公路、市政基础设施建设领域相关的工程施工、勘察设</w:t>
      </w:r>
      <w:r>
        <w:rPr>
          <w:sz w:val="24"/>
          <w:lang w:bidi="ar"/>
        </w:rPr>
        <w:lastRenderedPageBreak/>
        <w:t>计、试验检测等业务，施工业务经验丰富，已完成包括</w:t>
      </w:r>
      <w:r>
        <w:rPr>
          <w:rFonts w:hint="eastAsia"/>
          <w:sz w:val="24"/>
          <w:lang w:bidi="ar"/>
        </w:rPr>
        <w:t>“</w:t>
      </w:r>
      <w:r>
        <w:rPr>
          <w:sz w:val="24"/>
        </w:rPr>
        <w:t>马鞍山长江公路大桥项目</w:t>
      </w:r>
      <w:r>
        <w:rPr>
          <w:rFonts w:hint="eastAsia"/>
          <w:sz w:val="24"/>
          <w:lang w:bidi="ar"/>
        </w:rPr>
        <w:t>”</w:t>
      </w:r>
      <w:r>
        <w:rPr>
          <w:sz w:val="24"/>
          <w:lang w:bidi="ar"/>
        </w:rPr>
        <w:t>、</w:t>
      </w:r>
      <w:r>
        <w:rPr>
          <w:rFonts w:hint="eastAsia"/>
          <w:sz w:val="24"/>
          <w:lang w:bidi="ar"/>
        </w:rPr>
        <w:t>“</w:t>
      </w:r>
      <w:r>
        <w:rPr>
          <w:sz w:val="24"/>
        </w:rPr>
        <w:t>安庆至景德镇高速项目</w:t>
      </w:r>
      <w:r>
        <w:rPr>
          <w:rFonts w:hint="eastAsia"/>
          <w:sz w:val="24"/>
          <w:lang w:bidi="ar"/>
        </w:rPr>
        <w:t>”</w:t>
      </w:r>
      <w:r>
        <w:rPr>
          <w:sz w:val="24"/>
          <w:lang w:bidi="ar"/>
        </w:rPr>
        <w:t>、</w:t>
      </w:r>
      <w:r>
        <w:rPr>
          <w:rFonts w:hint="eastAsia"/>
          <w:sz w:val="24"/>
          <w:lang w:bidi="ar"/>
        </w:rPr>
        <w:t>“</w:t>
      </w:r>
      <w:r>
        <w:rPr>
          <w:sz w:val="24"/>
          <w:lang w:bidi="ar"/>
        </w:rPr>
        <w:t>合肥市包河大道高架项目</w:t>
      </w:r>
      <w:r>
        <w:rPr>
          <w:rFonts w:hint="eastAsia"/>
          <w:sz w:val="24"/>
          <w:lang w:bidi="ar"/>
        </w:rPr>
        <w:t>”</w:t>
      </w:r>
      <w:r>
        <w:rPr>
          <w:sz w:val="24"/>
          <w:lang w:bidi="ar"/>
        </w:rPr>
        <w:t>、</w:t>
      </w:r>
      <w:r>
        <w:rPr>
          <w:rFonts w:hint="eastAsia"/>
          <w:sz w:val="24"/>
          <w:lang w:bidi="ar"/>
        </w:rPr>
        <w:t>“</w:t>
      </w:r>
      <w:r>
        <w:rPr>
          <w:sz w:val="24"/>
          <w:lang w:bidi="ar"/>
        </w:rPr>
        <w:t>合肥裕溪路高架项目</w:t>
      </w:r>
      <w:r>
        <w:rPr>
          <w:rFonts w:hint="eastAsia"/>
          <w:sz w:val="24"/>
          <w:lang w:bidi="ar"/>
        </w:rPr>
        <w:t>”</w:t>
      </w:r>
      <w:r>
        <w:rPr>
          <w:sz w:val="24"/>
          <w:lang w:bidi="ar"/>
        </w:rPr>
        <w:t>、</w:t>
      </w:r>
      <w:r>
        <w:rPr>
          <w:rFonts w:hint="eastAsia"/>
          <w:sz w:val="24"/>
          <w:lang w:bidi="ar"/>
        </w:rPr>
        <w:t>“</w:t>
      </w:r>
      <w:r>
        <w:rPr>
          <w:sz w:val="24"/>
          <w:lang w:bidi="ar"/>
        </w:rPr>
        <w:t>合肥市天鹅湖隧道工程</w:t>
      </w:r>
      <w:r>
        <w:rPr>
          <w:rFonts w:hint="eastAsia"/>
          <w:sz w:val="24"/>
          <w:lang w:bidi="ar"/>
        </w:rPr>
        <w:t>”</w:t>
      </w:r>
      <w:r>
        <w:rPr>
          <w:sz w:val="24"/>
          <w:lang w:bidi="ar"/>
        </w:rPr>
        <w:t>等多个施总</w:t>
      </w:r>
      <w:proofErr w:type="gramStart"/>
      <w:r>
        <w:rPr>
          <w:sz w:val="24"/>
          <w:lang w:bidi="ar"/>
        </w:rPr>
        <w:t>总</w:t>
      </w:r>
      <w:proofErr w:type="gramEnd"/>
      <w:r>
        <w:rPr>
          <w:sz w:val="24"/>
          <w:lang w:bidi="ar"/>
        </w:rPr>
        <w:t>承包项目，并承接了亳州市</w:t>
      </w:r>
      <w:proofErr w:type="gramStart"/>
      <w:r>
        <w:rPr>
          <w:sz w:val="24"/>
          <w:lang w:bidi="ar"/>
        </w:rPr>
        <w:t>谯</w:t>
      </w:r>
      <w:proofErr w:type="gramEnd"/>
      <w:r>
        <w:rPr>
          <w:sz w:val="24"/>
          <w:lang w:bidi="ar"/>
        </w:rPr>
        <w:t>城区</w:t>
      </w:r>
      <w:r>
        <w:rPr>
          <w:rFonts w:hint="eastAsia"/>
          <w:sz w:val="24"/>
          <w:lang w:bidi="ar"/>
        </w:rPr>
        <w:t>“</w:t>
      </w:r>
      <w:r>
        <w:rPr>
          <w:sz w:val="24"/>
          <w:lang w:bidi="ar"/>
        </w:rPr>
        <w:t>2017-2018</w:t>
      </w:r>
      <w:r>
        <w:rPr>
          <w:sz w:val="24"/>
          <w:lang w:bidi="ar"/>
        </w:rPr>
        <w:t>年改善农村人居环境</w:t>
      </w:r>
      <w:r>
        <w:rPr>
          <w:rFonts w:hint="eastAsia"/>
          <w:sz w:val="24"/>
          <w:lang w:bidi="ar"/>
        </w:rPr>
        <w:t>”</w:t>
      </w:r>
      <w:r>
        <w:rPr>
          <w:sz w:val="24"/>
          <w:lang w:bidi="ar"/>
        </w:rPr>
        <w:t>PPP</w:t>
      </w:r>
      <w:r>
        <w:rPr>
          <w:sz w:val="24"/>
          <w:lang w:bidi="ar"/>
        </w:rPr>
        <w:t>项目、</w:t>
      </w:r>
      <w:r>
        <w:rPr>
          <w:rFonts w:hint="eastAsia"/>
          <w:sz w:val="24"/>
          <w:lang w:bidi="ar"/>
        </w:rPr>
        <w:t>“</w:t>
      </w:r>
      <w:r>
        <w:rPr>
          <w:sz w:val="24"/>
          <w:lang w:bidi="ar"/>
        </w:rPr>
        <w:t>宿松县振兴大道南延伸工程</w:t>
      </w:r>
      <w:r>
        <w:rPr>
          <w:sz w:val="24"/>
          <w:lang w:bidi="ar"/>
        </w:rPr>
        <w:t>PPP</w:t>
      </w:r>
      <w:r>
        <w:rPr>
          <w:sz w:val="24"/>
          <w:lang w:bidi="ar"/>
        </w:rPr>
        <w:t>项目</w:t>
      </w:r>
      <w:r>
        <w:rPr>
          <w:rFonts w:hint="eastAsia"/>
          <w:sz w:val="24"/>
          <w:lang w:bidi="ar"/>
        </w:rPr>
        <w:t>”</w:t>
      </w:r>
      <w:r>
        <w:rPr>
          <w:sz w:val="24"/>
          <w:lang w:bidi="ar"/>
        </w:rPr>
        <w:t>，树立了良好的品牌形象。公司承建的项目获得了</w:t>
      </w:r>
      <w:r>
        <w:rPr>
          <w:rFonts w:hint="eastAsia"/>
          <w:sz w:val="24"/>
          <w:lang w:bidi="ar"/>
        </w:rPr>
        <w:t>“</w:t>
      </w:r>
      <w:r>
        <w:rPr>
          <w:sz w:val="24"/>
          <w:lang w:bidi="ar"/>
        </w:rPr>
        <w:t>中国建设工程鲁班奖</w:t>
      </w:r>
      <w:r>
        <w:rPr>
          <w:rFonts w:hint="eastAsia"/>
          <w:sz w:val="24"/>
          <w:lang w:bidi="ar"/>
        </w:rPr>
        <w:t>”</w:t>
      </w:r>
      <w:r>
        <w:rPr>
          <w:sz w:val="24"/>
          <w:lang w:bidi="ar"/>
        </w:rPr>
        <w:t>、</w:t>
      </w:r>
      <w:r>
        <w:rPr>
          <w:rFonts w:hint="eastAsia"/>
          <w:sz w:val="24"/>
          <w:lang w:bidi="ar"/>
        </w:rPr>
        <w:t>“</w:t>
      </w:r>
      <w:r>
        <w:rPr>
          <w:sz w:val="24"/>
          <w:lang w:bidi="ar"/>
        </w:rPr>
        <w:t>李春奖</w:t>
      </w:r>
      <w:r>
        <w:rPr>
          <w:rFonts w:hint="eastAsia"/>
          <w:sz w:val="24"/>
          <w:lang w:bidi="ar"/>
        </w:rPr>
        <w:t>”</w:t>
      </w:r>
      <w:r>
        <w:rPr>
          <w:sz w:val="24"/>
          <w:lang w:bidi="ar"/>
        </w:rPr>
        <w:t>、</w:t>
      </w:r>
      <w:r>
        <w:rPr>
          <w:rFonts w:hint="eastAsia"/>
          <w:sz w:val="24"/>
          <w:lang w:bidi="ar"/>
        </w:rPr>
        <w:t>“</w:t>
      </w:r>
      <w:r>
        <w:rPr>
          <w:sz w:val="24"/>
          <w:lang w:bidi="ar"/>
        </w:rPr>
        <w:t>中国土木工程詹天佑奖</w:t>
      </w:r>
      <w:r>
        <w:rPr>
          <w:rFonts w:hint="eastAsia"/>
          <w:sz w:val="24"/>
          <w:lang w:bidi="ar"/>
        </w:rPr>
        <w:t>”</w:t>
      </w:r>
      <w:r>
        <w:rPr>
          <w:sz w:val="24"/>
          <w:lang w:bidi="ar"/>
        </w:rPr>
        <w:t>、</w:t>
      </w:r>
      <w:r>
        <w:rPr>
          <w:rFonts w:hint="eastAsia"/>
          <w:sz w:val="24"/>
          <w:lang w:bidi="ar"/>
        </w:rPr>
        <w:t>“</w:t>
      </w:r>
      <w:r>
        <w:rPr>
          <w:sz w:val="24"/>
          <w:lang w:bidi="ar"/>
        </w:rPr>
        <w:t>公路交通优质工程奖一等奖</w:t>
      </w:r>
      <w:r>
        <w:rPr>
          <w:rFonts w:hint="eastAsia"/>
          <w:sz w:val="24"/>
          <w:lang w:bidi="ar"/>
        </w:rPr>
        <w:t>”</w:t>
      </w:r>
      <w:r>
        <w:rPr>
          <w:sz w:val="24"/>
          <w:lang w:bidi="ar"/>
        </w:rPr>
        <w:t>、</w:t>
      </w:r>
      <w:r>
        <w:rPr>
          <w:rFonts w:hint="eastAsia"/>
          <w:sz w:val="24"/>
          <w:lang w:bidi="ar"/>
        </w:rPr>
        <w:t>“</w:t>
      </w:r>
      <w:r>
        <w:rPr>
          <w:sz w:val="24"/>
          <w:lang w:bidi="ar"/>
        </w:rPr>
        <w:t>全国市政金杯示范工程奖</w:t>
      </w:r>
      <w:r>
        <w:rPr>
          <w:rFonts w:hint="eastAsia"/>
          <w:sz w:val="24"/>
          <w:lang w:bidi="ar"/>
        </w:rPr>
        <w:t>”</w:t>
      </w:r>
      <w:r>
        <w:rPr>
          <w:sz w:val="24"/>
          <w:lang w:bidi="ar"/>
        </w:rPr>
        <w:t>、</w:t>
      </w:r>
      <w:r>
        <w:rPr>
          <w:rFonts w:hint="eastAsia"/>
          <w:sz w:val="24"/>
          <w:lang w:bidi="ar"/>
        </w:rPr>
        <w:t>“</w:t>
      </w:r>
      <w:r>
        <w:rPr>
          <w:sz w:val="24"/>
          <w:lang w:bidi="ar"/>
        </w:rPr>
        <w:t>国家优质工程奖</w:t>
      </w:r>
      <w:r>
        <w:rPr>
          <w:rFonts w:hint="eastAsia"/>
          <w:sz w:val="24"/>
          <w:lang w:bidi="ar"/>
        </w:rPr>
        <w:t>”</w:t>
      </w:r>
      <w:r>
        <w:rPr>
          <w:sz w:val="24"/>
          <w:lang w:bidi="ar"/>
        </w:rPr>
        <w:t>等多项国家级奖项，并获得安徽省市政工程协会颁发的</w:t>
      </w:r>
      <w:r>
        <w:rPr>
          <w:rFonts w:hint="eastAsia"/>
          <w:sz w:val="24"/>
          <w:lang w:bidi="ar"/>
        </w:rPr>
        <w:t>“</w:t>
      </w:r>
      <w:r>
        <w:rPr>
          <w:sz w:val="24"/>
          <w:lang w:bidi="ar"/>
        </w:rPr>
        <w:t>2018</w:t>
      </w:r>
      <w:r>
        <w:rPr>
          <w:sz w:val="24"/>
          <w:lang w:bidi="ar"/>
        </w:rPr>
        <w:t>年度安徽省市政优秀施工企业</w:t>
      </w:r>
      <w:r>
        <w:rPr>
          <w:rFonts w:hint="eastAsia"/>
          <w:sz w:val="24"/>
          <w:lang w:bidi="ar"/>
        </w:rPr>
        <w:t>”</w:t>
      </w:r>
      <w:r>
        <w:rPr>
          <w:sz w:val="24"/>
          <w:lang w:bidi="ar"/>
        </w:rPr>
        <w:t>、中国施工企业管理协会颁发的</w:t>
      </w:r>
      <w:r>
        <w:rPr>
          <w:rFonts w:hint="eastAsia"/>
          <w:sz w:val="24"/>
          <w:lang w:bidi="ar"/>
        </w:rPr>
        <w:t>“</w:t>
      </w:r>
      <w:r>
        <w:rPr>
          <w:sz w:val="24"/>
          <w:lang w:bidi="ar"/>
        </w:rPr>
        <w:t>2019</w:t>
      </w:r>
      <w:r>
        <w:rPr>
          <w:sz w:val="24"/>
          <w:lang w:bidi="ar"/>
        </w:rPr>
        <w:t>年度工程建设诚信典型企业</w:t>
      </w:r>
      <w:r>
        <w:rPr>
          <w:rFonts w:hint="eastAsia"/>
          <w:sz w:val="24"/>
          <w:lang w:bidi="ar"/>
        </w:rPr>
        <w:t>”证书</w:t>
      </w:r>
      <w:r>
        <w:rPr>
          <w:sz w:val="24"/>
          <w:lang w:bidi="ar"/>
        </w:rPr>
        <w:t>，</w:t>
      </w:r>
      <w:r>
        <w:rPr>
          <w:rFonts w:hint="eastAsia"/>
          <w:sz w:val="24"/>
          <w:lang w:bidi="ar"/>
        </w:rPr>
        <w:t>树立了良好的市场品牌形象，为公司在业务承揽方面带来了较大的竞争优势</w:t>
      </w:r>
      <w:r>
        <w:rPr>
          <w:sz w:val="24"/>
          <w:lang w:bidi="ar"/>
        </w:rPr>
        <w:t>。</w:t>
      </w:r>
    </w:p>
    <w:p w14:paraId="22141E9E" w14:textId="6BAFF24D" w:rsidR="008005C6" w:rsidRDefault="00E068F7" w:rsidP="00E068F7">
      <w:pPr>
        <w:pStyle w:val="3"/>
        <w:spacing w:before="156" w:after="156"/>
        <w:ind w:firstLine="480"/>
      </w:pPr>
      <w:r>
        <w:rPr>
          <w:lang w:bidi="ar"/>
        </w:rPr>
        <w:t>在基建行业</w:t>
      </w:r>
      <w:r>
        <w:rPr>
          <w:rFonts w:hint="eastAsia"/>
          <w:lang w:bidi="ar"/>
        </w:rPr>
        <w:t>持续稳定</w:t>
      </w:r>
      <w:r>
        <w:rPr>
          <w:lang w:bidi="ar"/>
        </w:rPr>
        <w:t>发展的大背景下，公路、市政基础设施领域蕴藏着</w:t>
      </w:r>
      <w:r>
        <w:rPr>
          <w:rFonts w:hint="eastAsia"/>
          <w:lang w:bidi="ar"/>
        </w:rPr>
        <w:t>较为广阔</w:t>
      </w:r>
      <w:r>
        <w:rPr>
          <w:lang w:bidi="ar"/>
        </w:rPr>
        <w:t>的行业发展前景和市场需求空间。公司多年来深耕公路、市政基础设施领域，积累了大量的经验和客户资源，本次</w:t>
      </w:r>
      <w:proofErr w:type="gramStart"/>
      <w:r>
        <w:rPr>
          <w:lang w:bidi="ar"/>
        </w:rPr>
        <w:t>募投项目</w:t>
      </w:r>
      <w:proofErr w:type="gramEnd"/>
      <w:r>
        <w:rPr>
          <w:lang w:bidi="ar"/>
        </w:rPr>
        <w:t>将进一步加大公司的市场占有率，强化市场地位。</w:t>
      </w:r>
    </w:p>
    <w:p w14:paraId="78E758B4" w14:textId="77777777" w:rsidR="008005C6" w:rsidRDefault="002A5F93">
      <w:pPr>
        <w:pStyle w:val="13"/>
        <w:ind w:firstLine="562"/>
      </w:pPr>
      <w:r>
        <w:t>五、</w:t>
      </w:r>
      <w:bookmarkEnd w:id="13"/>
      <w:bookmarkEnd w:id="14"/>
      <w:r>
        <w:rPr>
          <w:rFonts w:hint="eastAsia"/>
        </w:rPr>
        <w:t>公司应对本次非公开发行摊薄即期回报的具体措施</w:t>
      </w:r>
    </w:p>
    <w:p w14:paraId="5E42F244" w14:textId="77777777" w:rsidR="008005C6" w:rsidRDefault="002A5F93">
      <w:pPr>
        <w:pStyle w:val="3"/>
        <w:spacing w:before="156" w:after="156"/>
        <w:ind w:firstLine="480"/>
      </w:pPr>
      <w:bookmarkStart w:id="15" w:name="_Hlk46135416"/>
      <w:r>
        <w:rPr>
          <w:rFonts w:hint="eastAsia"/>
        </w:rPr>
        <w:t>公司采取以下措施来应对本次公开发行摊薄即期回报，但是需要提示投资者的是，制定填补回报措施不等于对本公司未来利润做出保证。</w:t>
      </w:r>
    </w:p>
    <w:bookmarkEnd w:id="15"/>
    <w:p w14:paraId="495504BA" w14:textId="77777777" w:rsidR="008005C6" w:rsidRDefault="002A5F93">
      <w:pPr>
        <w:pStyle w:val="23"/>
        <w:spacing w:before="156" w:after="156"/>
        <w:ind w:firstLine="482"/>
        <w:rPr>
          <w:rFonts w:eastAsia="黑体"/>
        </w:rPr>
      </w:pPr>
      <w:r>
        <w:rPr>
          <w:rFonts w:eastAsia="黑体" w:hint="eastAsia"/>
        </w:rPr>
        <w:t>（一）强化募集资金管理，保证募集资金合理规范使用</w:t>
      </w:r>
    </w:p>
    <w:p w14:paraId="5DA32E3B" w14:textId="77777777" w:rsidR="008005C6" w:rsidRDefault="002A5F93">
      <w:pPr>
        <w:pStyle w:val="3"/>
        <w:spacing w:before="156" w:after="156"/>
        <w:ind w:firstLine="480"/>
      </w:pPr>
      <w:bookmarkStart w:id="16" w:name="_Hlk46135430"/>
      <w:r>
        <w:rPr>
          <w:rFonts w:hint="eastAsia"/>
        </w:rPr>
        <w:t>公司已制定了《</w:t>
      </w:r>
      <w:r>
        <w:rPr>
          <w:color w:val="000000"/>
          <w:kern w:val="0"/>
          <w:lang w:bidi="ar"/>
        </w:rPr>
        <w:t>安徽省交通建设股份有限公司募集资金管理办法</w:t>
      </w:r>
      <w:r>
        <w:rPr>
          <w:rFonts w:hint="eastAsia"/>
        </w:rPr>
        <w:t>》，本次非公开发行募集资金到位后，公司将与保荐机构、募集资金专户开户</w:t>
      </w:r>
      <w:proofErr w:type="gramStart"/>
      <w:r>
        <w:rPr>
          <w:rFonts w:hint="eastAsia"/>
        </w:rPr>
        <w:t>行签署</w:t>
      </w:r>
      <w:proofErr w:type="gramEnd"/>
      <w:r>
        <w:rPr>
          <w:rFonts w:hint="eastAsia"/>
        </w:rPr>
        <w:t>募集资金</w:t>
      </w:r>
      <w:proofErr w:type="gramStart"/>
      <w:r>
        <w:rPr>
          <w:rFonts w:hint="eastAsia"/>
        </w:rPr>
        <w:t>专户三方</w:t>
      </w:r>
      <w:proofErr w:type="gramEnd"/>
      <w:r>
        <w:rPr>
          <w:rFonts w:hint="eastAsia"/>
        </w:rPr>
        <w:t>监管协议，持续加强公司对募集资金进行专项存储的监督，遵循规范、安全、高效、透明的原则，注重使用效益。</w:t>
      </w:r>
    </w:p>
    <w:bookmarkEnd w:id="16"/>
    <w:p w14:paraId="58318565" w14:textId="77777777" w:rsidR="008005C6" w:rsidRDefault="002A5F93">
      <w:pPr>
        <w:pStyle w:val="23"/>
        <w:spacing w:before="156" w:after="156"/>
        <w:ind w:firstLine="482"/>
        <w:rPr>
          <w:rFonts w:eastAsia="黑体"/>
        </w:rPr>
      </w:pPr>
      <w:r>
        <w:rPr>
          <w:rFonts w:eastAsia="黑体" w:hint="eastAsia"/>
        </w:rPr>
        <w:t>（二）加快本次募集资金投资项目建设，争取早日实现项目预期效益</w:t>
      </w:r>
    </w:p>
    <w:p w14:paraId="7ED7461C" w14:textId="77777777" w:rsidR="008005C6" w:rsidRDefault="002A5F93">
      <w:pPr>
        <w:pStyle w:val="3"/>
        <w:spacing w:before="156" w:after="156"/>
        <w:ind w:firstLine="480"/>
      </w:pPr>
      <w:r>
        <w:rPr>
          <w:rFonts w:hint="eastAsia"/>
        </w:rPr>
        <w:t>本次</w:t>
      </w:r>
      <w:proofErr w:type="gramStart"/>
      <w:r>
        <w:rPr>
          <w:rFonts w:hint="eastAsia"/>
        </w:rPr>
        <w:t>募投项目</w:t>
      </w:r>
      <w:proofErr w:type="gramEnd"/>
      <w:r>
        <w:rPr>
          <w:rFonts w:hint="eastAsia"/>
        </w:rPr>
        <w:t>围绕公司主营业务开展，根据对项目的可行性论证研究，项目完成后公司收入规模和盈利能力将相应提高。本次非公开发行的募集资金到位后，公司将加快</w:t>
      </w:r>
      <w:proofErr w:type="gramStart"/>
      <w:r>
        <w:rPr>
          <w:rFonts w:hint="eastAsia"/>
        </w:rPr>
        <w:t>募投项目</w:t>
      </w:r>
      <w:proofErr w:type="gramEnd"/>
      <w:r>
        <w:rPr>
          <w:rFonts w:hint="eastAsia"/>
        </w:rPr>
        <w:t>的投资进度，有序推进</w:t>
      </w:r>
      <w:proofErr w:type="gramStart"/>
      <w:r>
        <w:rPr>
          <w:rFonts w:hint="eastAsia"/>
        </w:rPr>
        <w:t>募投项目</w:t>
      </w:r>
      <w:proofErr w:type="gramEnd"/>
      <w:r>
        <w:rPr>
          <w:rFonts w:hint="eastAsia"/>
        </w:rPr>
        <w:t>的顺利建设，争取早日实现效益，增强未来期间的股东回报。</w:t>
      </w:r>
    </w:p>
    <w:p w14:paraId="23A998E2" w14:textId="77777777" w:rsidR="008005C6" w:rsidRDefault="002A5F93">
      <w:pPr>
        <w:pStyle w:val="23"/>
        <w:spacing w:before="156" w:after="156"/>
        <w:ind w:firstLine="482"/>
        <w:rPr>
          <w:rFonts w:eastAsia="黑体"/>
        </w:rPr>
      </w:pPr>
      <w:r>
        <w:rPr>
          <w:rFonts w:eastAsia="黑体" w:hint="eastAsia"/>
        </w:rPr>
        <w:lastRenderedPageBreak/>
        <w:t>（三）加强经营管理和内部控制，提升经营效率和盈利能力</w:t>
      </w:r>
    </w:p>
    <w:p w14:paraId="3C5AE18E" w14:textId="77777777" w:rsidR="008005C6" w:rsidRDefault="002A5F93">
      <w:pPr>
        <w:pStyle w:val="23"/>
        <w:spacing w:before="156" w:after="156"/>
        <w:ind w:firstLine="480"/>
      </w:pPr>
      <w:r>
        <w:rPr>
          <w:rFonts w:ascii="Times New Roman" w:hAnsi="Times New Roman" w:hint="eastAsia"/>
          <w:b w:val="0"/>
          <w:bCs w:val="0"/>
          <w:szCs w:val="24"/>
        </w:rPr>
        <w:t>本次非公开发行募集资金到位后，公司将努力提高资金的使用效率，完善并强化投资决策程序，合理运用各种融资工具和渠道，加强成本控制，全面有效地控制公司经营风险，从而增加营业收入和公司业绩。</w:t>
      </w:r>
    </w:p>
    <w:p w14:paraId="058BDB0F" w14:textId="77777777" w:rsidR="008005C6" w:rsidRDefault="002A5F93">
      <w:pPr>
        <w:pStyle w:val="23"/>
        <w:spacing w:before="156" w:after="156"/>
        <w:ind w:firstLine="482"/>
        <w:rPr>
          <w:rFonts w:eastAsia="黑体"/>
        </w:rPr>
      </w:pPr>
      <w:r>
        <w:rPr>
          <w:rFonts w:eastAsia="黑体" w:hint="eastAsia"/>
        </w:rPr>
        <w:t>（四）不断完善利润分配政策，强化投资者回报机制</w:t>
      </w:r>
    </w:p>
    <w:p w14:paraId="615F7316" w14:textId="77777777" w:rsidR="008005C6" w:rsidRDefault="002A5F93">
      <w:pPr>
        <w:pStyle w:val="3"/>
        <w:spacing w:before="156" w:after="156"/>
        <w:ind w:firstLine="480"/>
      </w:pPr>
      <w:r>
        <w:rPr>
          <w:rFonts w:hint="eastAsia"/>
        </w:rPr>
        <w:t>公司募集资金到位后会加强公司的资金实力，为公司未来市场的开拓奠定坚实的基础，增强公司竞争优势。同时，公司将更加重视对投资者的合理回报根据中国证监会发布的《关于进一步落实上市公司现金分红有关事项的通知》（证监发</w:t>
      </w:r>
      <w:r>
        <w:rPr>
          <w:rFonts w:hint="eastAsia"/>
        </w:rPr>
        <w:t>[2012]37</w:t>
      </w:r>
      <w:r>
        <w:rPr>
          <w:rFonts w:hint="eastAsia"/>
        </w:rPr>
        <w:t>号）及《上市公司监管指引第</w:t>
      </w:r>
      <w:r>
        <w:rPr>
          <w:rFonts w:hint="eastAsia"/>
        </w:rPr>
        <w:t>3</w:t>
      </w:r>
      <w:r>
        <w:rPr>
          <w:rFonts w:hint="eastAsia"/>
        </w:rPr>
        <w:t>号——上市公司现金分红》（证监会公告</w:t>
      </w:r>
      <w:r>
        <w:rPr>
          <w:rFonts w:hint="eastAsia"/>
        </w:rPr>
        <w:t>[2013]43</w:t>
      </w:r>
      <w:r>
        <w:rPr>
          <w:rFonts w:hint="eastAsia"/>
        </w:rPr>
        <w:t>号）的要求，现行有效的《公司章程》对公司利润分配政策进行了明确的规定，并制定了《</w:t>
      </w:r>
      <w:r>
        <w:rPr>
          <w:color w:val="000000"/>
          <w:kern w:val="0"/>
          <w:lang w:bidi="ar"/>
        </w:rPr>
        <w:t>关于未来三年（</w:t>
      </w:r>
      <w:r>
        <w:rPr>
          <w:color w:val="000000"/>
          <w:kern w:val="0"/>
          <w:lang w:bidi="ar"/>
        </w:rPr>
        <w:t>2020-2022</w:t>
      </w:r>
      <w:r>
        <w:rPr>
          <w:color w:val="000000"/>
          <w:kern w:val="0"/>
          <w:lang w:bidi="ar"/>
        </w:rPr>
        <w:t>年）股东分红回报规划</w:t>
      </w:r>
      <w:r>
        <w:rPr>
          <w:rFonts w:hint="eastAsia"/>
        </w:rPr>
        <w:t>》。公司将严格执行相关规定，切实维护投资者合法权益，强化投资者回报机制，确保公司股东特别是中小股东的利益得到保护。</w:t>
      </w:r>
    </w:p>
    <w:p w14:paraId="25CF0C61" w14:textId="77777777" w:rsidR="008005C6" w:rsidRDefault="002A5F93">
      <w:pPr>
        <w:pStyle w:val="13"/>
        <w:ind w:firstLine="562"/>
      </w:pPr>
      <w:r>
        <w:t>六、公司控股股东、实际控制人及全体董事、高级管理人员对公司填补回报措施能够得到切实履行的承诺</w:t>
      </w:r>
    </w:p>
    <w:p w14:paraId="131AA29C" w14:textId="77777777" w:rsidR="008005C6" w:rsidRDefault="002A5F93">
      <w:pPr>
        <w:pStyle w:val="3"/>
        <w:spacing w:before="156" w:after="156"/>
        <w:ind w:firstLine="480"/>
      </w:pPr>
      <w:r>
        <w:t>根据《国务院办公厅关于进一步加强资本市场中小投资者合法权益保护工作的意见》（国办发</w:t>
      </w:r>
      <w:r>
        <w:t>[2013]110</w:t>
      </w:r>
      <w:r>
        <w:t>号）、《国务院关于进一步促进资本市场健康发展的若干意见》（国发</w:t>
      </w:r>
      <w:r>
        <w:t>[2014]17</w:t>
      </w:r>
      <w:r>
        <w:t>号）、中国证监会《关于首发及再融资、重大资产重组摊薄即期回报有关事项的指导意见》（证监会公告</w:t>
      </w:r>
      <w:r>
        <w:t>[2015]31</w:t>
      </w:r>
      <w:r>
        <w:t>号）等法规要求，公司控股股东、实际控制人及全体董事、高级管理人员对公司填补即期回报措施能够得到切实履行</w:t>
      </w:r>
      <w:proofErr w:type="gramStart"/>
      <w:r>
        <w:t>作出</w:t>
      </w:r>
      <w:proofErr w:type="gramEnd"/>
      <w:r>
        <w:t>相关承诺：</w:t>
      </w:r>
    </w:p>
    <w:p w14:paraId="7FDCE514" w14:textId="77777777" w:rsidR="008005C6" w:rsidRDefault="002A5F93">
      <w:pPr>
        <w:pStyle w:val="23"/>
        <w:spacing w:before="156" w:after="156"/>
        <w:ind w:firstLine="482"/>
        <w:rPr>
          <w:rFonts w:eastAsia="黑体"/>
        </w:rPr>
      </w:pPr>
      <w:r>
        <w:rPr>
          <w:rFonts w:eastAsia="黑体" w:hint="eastAsia"/>
        </w:rPr>
        <w:t>（一）董事、高级管理人员对公司填补回报措施能够得到切实履行的承诺</w:t>
      </w:r>
    </w:p>
    <w:p w14:paraId="584D2920" w14:textId="77777777" w:rsidR="008005C6" w:rsidRDefault="002A5F93">
      <w:pPr>
        <w:pStyle w:val="3"/>
        <w:spacing w:before="156" w:after="156"/>
        <w:ind w:firstLine="480"/>
      </w:pPr>
      <w:r>
        <w:t>本人作为安徽省交通建设股份有限公司董事</w:t>
      </w:r>
      <w:r>
        <w:t>/</w:t>
      </w:r>
      <w:r>
        <w:t>高级管理人员，根据中国证监会的相关规定，对公司填补回报措施能够得到切实履行</w:t>
      </w:r>
      <w:proofErr w:type="gramStart"/>
      <w:r>
        <w:t>作出</w:t>
      </w:r>
      <w:proofErr w:type="gramEnd"/>
      <w:r>
        <w:t>如下承诺：</w:t>
      </w:r>
    </w:p>
    <w:p w14:paraId="232F8A04" w14:textId="77777777" w:rsidR="008005C6" w:rsidRDefault="002A5F93">
      <w:pPr>
        <w:pStyle w:val="aff8"/>
        <w:adjustRightInd w:val="0"/>
        <w:snapToGrid w:val="0"/>
        <w:spacing w:beforeLines="0" w:afterLines="0"/>
        <w:ind w:firstLine="480"/>
      </w:pPr>
      <w:r>
        <w:t>1</w:t>
      </w:r>
      <w:r>
        <w:t>、承诺</w:t>
      </w:r>
      <w:proofErr w:type="gramStart"/>
      <w:r>
        <w:t>不</w:t>
      </w:r>
      <w:proofErr w:type="gramEnd"/>
      <w:r>
        <w:t>无偿或以不公平条件向其他单位或者个人输送利益，也不采用其他方式损害公司利益；</w:t>
      </w:r>
    </w:p>
    <w:p w14:paraId="71CE89AD" w14:textId="77777777" w:rsidR="008005C6" w:rsidRDefault="002A5F93">
      <w:pPr>
        <w:pStyle w:val="aff8"/>
        <w:adjustRightInd w:val="0"/>
        <w:snapToGrid w:val="0"/>
        <w:spacing w:beforeLines="0" w:afterLines="0"/>
        <w:ind w:firstLine="480"/>
      </w:pPr>
      <w:r>
        <w:t>2</w:t>
      </w:r>
      <w:r>
        <w:t>、承诺对本人的职务消费行为进行约束；</w:t>
      </w:r>
    </w:p>
    <w:p w14:paraId="1B84A3F7" w14:textId="77777777" w:rsidR="008005C6" w:rsidRDefault="002A5F93">
      <w:pPr>
        <w:pStyle w:val="aff8"/>
        <w:adjustRightInd w:val="0"/>
        <w:snapToGrid w:val="0"/>
        <w:spacing w:beforeLines="0" w:afterLines="0"/>
        <w:ind w:firstLine="480"/>
      </w:pPr>
      <w:r>
        <w:t>3</w:t>
      </w:r>
      <w:r>
        <w:t>、承诺不动用公司资产从事与本人履行职责无关的投资、消费活动；</w:t>
      </w:r>
    </w:p>
    <w:p w14:paraId="4A9306C8" w14:textId="2310DF87" w:rsidR="008005C6" w:rsidRDefault="002A5F93">
      <w:pPr>
        <w:pStyle w:val="aff8"/>
        <w:adjustRightInd w:val="0"/>
        <w:snapToGrid w:val="0"/>
        <w:spacing w:beforeLines="0" w:afterLines="0"/>
        <w:ind w:firstLine="480"/>
      </w:pPr>
      <w:r>
        <w:lastRenderedPageBreak/>
        <w:t>4</w:t>
      </w:r>
      <w:r>
        <w:t>、</w:t>
      </w:r>
      <w:r w:rsidR="00E068F7">
        <w:t>承诺由董事会或薪酬与考核委员会制定的薪酬制度与公司填补回报措施的执行情况相挂钩</w:t>
      </w:r>
      <w:r>
        <w:t>；</w:t>
      </w:r>
    </w:p>
    <w:p w14:paraId="05780E83" w14:textId="77777777" w:rsidR="008005C6" w:rsidRDefault="002A5F93">
      <w:pPr>
        <w:pStyle w:val="aff8"/>
        <w:adjustRightInd w:val="0"/>
        <w:snapToGrid w:val="0"/>
        <w:spacing w:beforeLines="0" w:afterLines="0"/>
        <w:ind w:firstLine="480"/>
      </w:pPr>
      <w:r>
        <w:t>5</w:t>
      </w:r>
      <w:r>
        <w:t>、如未来公司实施股权激励，</w:t>
      </w:r>
      <w:r>
        <w:rPr>
          <w:rFonts w:hint="eastAsia"/>
        </w:rPr>
        <w:t>本人</w:t>
      </w:r>
      <w:r>
        <w:t>承诺未来股权激励方案的行权条件将与公司填补回报措施的执行情况相挂钩</w:t>
      </w:r>
      <w:r>
        <w:rPr>
          <w:rFonts w:hint="eastAsia"/>
        </w:rPr>
        <w:t>；</w:t>
      </w:r>
    </w:p>
    <w:p w14:paraId="69D1619F" w14:textId="77777777" w:rsidR="008005C6" w:rsidRDefault="002A5F93">
      <w:pPr>
        <w:widowControl/>
        <w:spacing w:line="360" w:lineRule="auto"/>
        <w:ind w:firstLine="476"/>
        <w:rPr>
          <w:rFonts w:ascii="宋体" w:hAnsi="宋体"/>
          <w:kern w:val="0"/>
          <w:sz w:val="24"/>
          <w:szCs w:val="22"/>
        </w:rPr>
      </w:pPr>
      <w:r>
        <w:rPr>
          <w:sz w:val="24"/>
          <w:szCs w:val="24"/>
        </w:rPr>
        <w:t>6</w:t>
      </w:r>
      <w:r>
        <w:rPr>
          <w:rFonts w:hint="eastAsia"/>
          <w:sz w:val="24"/>
          <w:szCs w:val="24"/>
        </w:rPr>
        <w:t>、自</w:t>
      </w:r>
      <w:proofErr w:type="gramStart"/>
      <w:r>
        <w:rPr>
          <w:rFonts w:hint="eastAsia"/>
          <w:sz w:val="24"/>
          <w:szCs w:val="24"/>
        </w:rPr>
        <w:t>本承诺</w:t>
      </w:r>
      <w:proofErr w:type="gramEnd"/>
      <w:r>
        <w:rPr>
          <w:rFonts w:hint="eastAsia"/>
          <w:sz w:val="24"/>
          <w:szCs w:val="24"/>
        </w:rPr>
        <w:t>出具</w:t>
      </w:r>
      <w:r>
        <w:rPr>
          <w:rFonts w:ascii="宋体" w:hAnsi="宋体" w:hint="eastAsia"/>
          <w:kern w:val="0"/>
          <w:sz w:val="24"/>
          <w:szCs w:val="22"/>
        </w:rPr>
        <w:t>日至公司本次非公开发行股票实施完毕前，若中国证监会</w:t>
      </w:r>
      <w:proofErr w:type="gramStart"/>
      <w:r>
        <w:rPr>
          <w:rFonts w:ascii="宋体" w:hAnsi="宋体" w:hint="eastAsia"/>
          <w:kern w:val="0"/>
          <w:sz w:val="24"/>
          <w:szCs w:val="22"/>
        </w:rPr>
        <w:t>作出</w:t>
      </w:r>
      <w:proofErr w:type="gramEnd"/>
      <w:r>
        <w:rPr>
          <w:rFonts w:ascii="宋体" w:hAnsi="宋体" w:hint="eastAsia"/>
          <w:kern w:val="0"/>
          <w:sz w:val="24"/>
          <w:szCs w:val="22"/>
        </w:rPr>
        <w:t>关于填补回报措施及其承诺的其他新的监管规定的，且上述承诺不能满足中国证监会该等规定时，本人承诺届时将按照中国证监会的最新规定出具补充承诺。</w:t>
      </w:r>
    </w:p>
    <w:p w14:paraId="209B0D25" w14:textId="0735B51B" w:rsidR="008005C6" w:rsidRPr="00E068F7" w:rsidRDefault="00E068F7" w:rsidP="00E068F7">
      <w:pPr>
        <w:adjustRightInd w:val="0"/>
        <w:snapToGrid w:val="0"/>
        <w:spacing w:beforeLines="50" w:before="156" w:afterLines="50" w:after="156" w:line="360" w:lineRule="auto"/>
        <w:ind w:firstLineChars="200" w:firstLine="480"/>
        <w:rPr>
          <w:sz w:val="24"/>
          <w:szCs w:val="24"/>
        </w:rPr>
      </w:pPr>
      <w:bookmarkStart w:id="17" w:name="_Hlk46152436"/>
      <w:r>
        <w:rPr>
          <w:sz w:val="24"/>
          <w:szCs w:val="24"/>
        </w:rPr>
        <w:t>作为填补回报措施相关责任主体之一，本人若违反上述承诺或拒不履行上述承诺，本人同意按照中国证监会和上海证券交易所等证券监管机构按照其制定或发布的有关规定、规则，对本人</w:t>
      </w:r>
      <w:proofErr w:type="gramStart"/>
      <w:r>
        <w:rPr>
          <w:sz w:val="24"/>
          <w:szCs w:val="24"/>
        </w:rPr>
        <w:t>作出</w:t>
      </w:r>
      <w:proofErr w:type="gramEnd"/>
      <w:r>
        <w:rPr>
          <w:sz w:val="24"/>
          <w:szCs w:val="24"/>
        </w:rPr>
        <w:t>相关处罚或采取相关</w:t>
      </w:r>
      <w:r>
        <w:rPr>
          <w:rFonts w:hint="eastAsia"/>
          <w:sz w:val="24"/>
          <w:szCs w:val="24"/>
        </w:rPr>
        <w:t>管理</w:t>
      </w:r>
      <w:r>
        <w:rPr>
          <w:sz w:val="24"/>
          <w:szCs w:val="24"/>
        </w:rPr>
        <w:t>措施，并愿意承担相应的法律责任</w:t>
      </w:r>
      <w:bookmarkEnd w:id="17"/>
      <w:r w:rsidR="002A5F93">
        <w:t>。</w:t>
      </w:r>
    </w:p>
    <w:p w14:paraId="77540BFF" w14:textId="77777777" w:rsidR="008005C6" w:rsidRDefault="002A5F93">
      <w:pPr>
        <w:pStyle w:val="23"/>
        <w:spacing w:before="156" w:after="156"/>
        <w:ind w:firstLine="482"/>
        <w:rPr>
          <w:rFonts w:eastAsia="黑体"/>
        </w:rPr>
      </w:pPr>
      <w:r>
        <w:rPr>
          <w:rFonts w:eastAsia="黑体" w:hint="eastAsia"/>
        </w:rPr>
        <w:t>（二）控股股东、实际控制人对公司填补回报措施能够得到切实履行的承诺：</w:t>
      </w:r>
    </w:p>
    <w:p w14:paraId="6E5D2162" w14:textId="77777777" w:rsidR="008005C6" w:rsidRDefault="002A5F93">
      <w:pPr>
        <w:pStyle w:val="3"/>
        <w:spacing w:before="156" w:after="156"/>
        <w:ind w:firstLine="480"/>
      </w:pPr>
      <w:r>
        <w:t>本公司</w:t>
      </w:r>
      <w:r>
        <w:t>/</w:t>
      </w:r>
      <w:r>
        <w:t>本人作为安徽省交通建设股份有限公司控股股东</w:t>
      </w:r>
      <w:r>
        <w:t>/</w:t>
      </w:r>
      <w:r>
        <w:t>实际控制人，根据中国证监会的相关规定，对公司填补回报措施能够得到切实履行</w:t>
      </w:r>
      <w:proofErr w:type="gramStart"/>
      <w:r>
        <w:t>作出</w:t>
      </w:r>
      <w:proofErr w:type="gramEnd"/>
      <w:r>
        <w:t>如下承诺：</w:t>
      </w:r>
    </w:p>
    <w:p w14:paraId="05D68E3D" w14:textId="77777777" w:rsidR="008005C6" w:rsidRDefault="002A5F93">
      <w:pPr>
        <w:widowControl/>
        <w:spacing w:beforeLines="50" w:before="156" w:afterLines="50" w:after="156" w:line="360" w:lineRule="auto"/>
        <w:ind w:firstLine="475"/>
        <w:rPr>
          <w:rFonts w:ascii="宋体" w:hAnsi="宋体"/>
          <w:kern w:val="0"/>
          <w:sz w:val="24"/>
          <w:szCs w:val="22"/>
        </w:rPr>
      </w:pPr>
      <w:r>
        <w:rPr>
          <w:rFonts w:hint="eastAsia"/>
          <w:sz w:val="24"/>
          <w:szCs w:val="24"/>
        </w:rPr>
        <w:t>1</w:t>
      </w:r>
      <w:r>
        <w:rPr>
          <w:rFonts w:hint="eastAsia"/>
          <w:sz w:val="24"/>
          <w:szCs w:val="24"/>
        </w:rPr>
        <w:t>、</w:t>
      </w:r>
      <w:r>
        <w:rPr>
          <w:rFonts w:ascii="宋体" w:hAnsi="宋体" w:hint="eastAsia"/>
          <w:kern w:val="0"/>
          <w:sz w:val="24"/>
          <w:szCs w:val="22"/>
        </w:rPr>
        <w:t>依照相关法律、法规及公司章程的有关规定行使股东权利，本公司/本人承诺不越权干预公司经营管理活动，不侵占公司利益。</w:t>
      </w:r>
    </w:p>
    <w:p w14:paraId="131B615A" w14:textId="77777777" w:rsidR="008005C6" w:rsidRDefault="002A5F93">
      <w:pPr>
        <w:widowControl/>
        <w:spacing w:beforeLines="50" w:before="156" w:afterLines="50" w:after="156" w:line="360" w:lineRule="auto"/>
        <w:ind w:firstLine="475"/>
        <w:rPr>
          <w:rFonts w:ascii="宋体" w:hAnsi="宋体"/>
          <w:kern w:val="0"/>
          <w:sz w:val="24"/>
          <w:szCs w:val="22"/>
        </w:rPr>
      </w:pPr>
      <w:r>
        <w:rPr>
          <w:rFonts w:hint="eastAsia"/>
          <w:sz w:val="24"/>
          <w:szCs w:val="24"/>
        </w:rPr>
        <w:t>2</w:t>
      </w:r>
      <w:r>
        <w:rPr>
          <w:rFonts w:hint="eastAsia"/>
          <w:sz w:val="24"/>
          <w:szCs w:val="24"/>
        </w:rPr>
        <w:t>、</w:t>
      </w:r>
      <w:r>
        <w:rPr>
          <w:rFonts w:ascii="宋体" w:hAnsi="宋体" w:hint="eastAsia"/>
          <w:kern w:val="0"/>
          <w:sz w:val="24"/>
          <w:szCs w:val="22"/>
        </w:rPr>
        <w:t>本公司/本人承诺切实履行公司制定的有关填补回报的相关措施以及本公司/本人对此</w:t>
      </w:r>
      <w:proofErr w:type="gramStart"/>
      <w:r>
        <w:rPr>
          <w:rFonts w:ascii="宋体" w:hAnsi="宋体" w:hint="eastAsia"/>
          <w:kern w:val="0"/>
          <w:sz w:val="24"/>
          <w:szCs w:val="22"/>
        </w:rPr>
        <w:t>作出</w:t>
      </w:r>
      <w:proofErr w:type="gramEnd"/>
      <w:r>
        <w:rPr>
          <w:rFonts w:ascii="宋体" w:hAnsi="宋体" w:hint="eastAsia"/>
          <w:kern w:val="0"/>
          <w:sz w:val="24"/>
          <w:szCs w:val="22"/>
        </w:rPr>
        <w:t>的任何有关填补回报措施的承诺，若本公司/本人违反该等承诺并给公司或者投资者造成损失的，本公司/本人愿意依法承担对公司或者投资者的补偿责任。</w:t>
      </w:r>
    </w:p>
    <w:p w14:paraId="1C726D19" w14:textId="77777777" w:rsidR="008005C6" w:rsidRDefault="002A5F93">
      <w:pPr>
        <w:widowControl/>
        <w:spacing w:beforeLines="50" w:before="156" w:afterLines="50" w:after="156" w:line="360" w:lineRule="auto"/>
        <w:ind w:firstLine="475"/>
        <w:rPr>
          <w:rFonts w:ascii="宋体" w:hAnsi="宋体"/>
          <w:kern w:val="0"/>
          <w:sz w:val="24"/>
          <w:szCs w:val="22"/>
        </w:rPr>
      </w:pPr>
      <w:r>
        <w:rPr>
          <w:rFonts w:hint="eastAsia"/>
          <w:sz w:val="24"/>
          <w:szCs w:val="24"/>
        </w:rPr>
        <w:t>3</w:t>
      </w:r>
      <w:r>
        <w:rPr>
          <w:rFonts w:hint="eastAsia"/>
          <w:sz w:val="24"/>
          <w:szCs w:val="24"/>
        </w:rPr>
        <w:t>、</w:t>
      </w:r>
      <w:r>
        <w:rPr>
          <w:rFonts w:ascii="宋体" w:hAnsi="宋体" w:hint="eastAsia"/>
          <w:kern w:val="0"/>
          <w:sz w:val="24"/>
          <w:szCs w:val="22"/>
        </w:rPr>
        <w:t>自</w:t>
      </w:r>
      <w:proofErr w:type="gramStart"/>
      <w:r>
        <w:rPr>
          <w:rFonts w:ascii="宋体" w:hAnsi="宋体" w:hint="eastAsia"/>
          <w:kern w:val="0"/>
          <w:sz w:val="24"/>
          <w:szCs w:val="22"/>
        </w:rPr>
        <w:t>本承诺</w:t>
      </w:r>
      <w:proofErr w:type="gramEnd"/>
      <w:r>
        <w:rPr>
          <w:rFonts w:ascii="宋体" w:hAnsi="宋体" w:hint="eastAsia"/>
          <w:kern w:val="0"/>
          <w:sz w:val="24"/>
          <w:szCs w:val="22"/>
        </w:rPr>
        <w:t>出具日至公司本次非公开发行股票实施完毕前，若中国证监会</w:t>
      </w:r>
      <w:proofErr w:type="gramStart"/>
      <w:r>
        <w:rPr>
          <w:rFonts w:ascii="宋体" w:hAnsi="宋体" w:hint="eastAsia"/>
          <w:kern w:val="0"/>
          <w:sz w:val="24"/>
          <w:szCs w:val="22"/>
        </w:rPr>
        <w:t>作出</w:t>
      </w:r>
      <w:proofErr w:type="gramEnd"/>
      <w:r>
        <w:rPr>
          <w:rFonts w:ascii="宋体" w:hAnsi="宋体" w:hint="eastAsia"/>
          <w:kern w:val="0"/>
          <w:sz w:val="24"/>
          <w:szCs w:val="22"/>
        </w:rPr>
        <w:t>关于填补回报措施及其承诺的其他新的监管规定的，且上述承诺不能满足中国证监会该等规定时，本公司/本人承诺届时将按照中国证监会的最新规定出具补充承诺。</w:t>
      </w:r>
    </w:p>
    <w:p w14:paraId="6CD022C8" w14:textId="455EFE29" w:rsidR="008005C6" w:rsidRDefault="00331652">
      <w:pPr>
        <w:pStyle w:val="3"/>
        <w:spacing w:before="156" w:after="156"/>
        <w:ind w:firstLine="480"/>
      </w:pPr>
      <w:r>
        <w:rPr>
          <w:kern w:val="0"/>
        </w:rPr>
        <w:t>作为填补回报措施相关责任主体之一，本公司</w:t>
      </w:r>
      <w:r>
        <w:rPr>
          <w:kern w:val="0"/>
        </w:rPr>
        <w:t>/</w:t>
      </w:r>
      <w:r>
        <w:rPr>
          <w:kern w:val="0"/>
        </w:rPr>
        <w:t>本人若违反上述承诺或拒不履行上述承诺，本公司</w:t>
      </w:r>
      <w:r>
        <w:rPr>
          <w:kern w:val="0"/>
        </w:rPr>
        <w:t>/</w:t>
      </w:r>
      <w:r>
        <w:rPr>
          <w:kern w:val="0"/>
        </w:rPr>
        <w:t>本人同意按照中国证监会和上海证券交易所等证券监管机构按照其制定或发布的有关规定、规则，对本公司</w:t>
      </w:r>
      <w:r>
        <w:rPr>
          <w:kern w:val="0"/>
        </w:rPr>
        <w:t>/</w:t>
      </w:r>
      <w:r>
        <w:rPr>
          <w:kern w:val="0"/>
        </w:rPr>
        <w:t>本人</w:t>
      </w:r>
      <w:proofErr w:type="gramStart"/>
      <w:r>
        <w:rPr>
          <w:kern w:val="0"/>
        </w:rPr>
        <w:t>作出</w:t>
      </w:r>
      <w:proofErr w:type="gramEnd"/>
      <w:r>
        <w:rPr>
          <w:kern w:val="0"/>
        </w:rPr>
        <w:t>相关处罚或采取相关</w:t>
      </w:r>
      <w:r>
        <w:rPr>
          <w:rFonts w:hint="eastAsia"/>
          <w:kern w:val="0"/>
        </w:rPr>
        <w:t>管理</w:t>
      </w:r>
      <w:r>
        <w:rPr>
          <w:kern w:val="0"/>
        </w:rPr>
        <w:t>措施，并愿意承担相应的法律责任</w:t>
      </w:r>
      <w:r w:rsidR="002A5F93">
        <w:rPr>
          <w:rFonts w:hint="eastAsia"/>
        </w:rPr>
        <w:t>。</w:t>
      </w:r>
      <w:bookmarkStart w:id="18" w:name="_GoBack"/>
      <w:bookmarkEnd w:id="18"/>
    </w:p>
    <w:p w14:paraId="07D35689" w14:textId="77777777" w:rsidR="008005C6" w:rsidRDefault="002A5F93" w:rsidP="00331652">
      <w:pPr>
        <w:spacing w:beforeLines="100" w:before="312" w:afterLines="50" w:after="156"/>
        <w:contextualSpacing/>
        <w:jc w:val="right"/>
        <w:rPr>
          <w:rFonts w:ascii="宋体" w:hAnsi="宋体" w:cs="Arial"/>
          <w:sz w:val="24"/>
          <w:szCs w:val="24"/>
        </w:rPr>
      </w:pPr>
      <w:r>
        <w:rPr>
          <w:rFonts w:ascii="宋体" w:hAnsi="宋体" w:cs="Arial" w:hint="eastAsia"/>
          <w:sz w:val="24"/>
          <w:szCs w:val="24"/>
        </w:rPr>
        <w:t>安徽省交通建设股份有限公司董事会</w:t>
      </w:r>
    </w:p>
    <w:p w14:paraId="51AB6D42" w14:textId="45A793C5" w:rsidR="008005C6" w:rsidRDefault="002A5F93">
      <w:pPr>
        <w:pStyle w:val="Default"/>
        <w:spacing w:beforeLines="50" w:before="156" w:after="50"/>
        <w:ind w:right="480" w:firstLineChars="2650" w:firstLine="6360"/>
        <w:jc w:val="right"/>
        <w:rPr>
          <w:rFonts w:hAnsi="宋体"/>
          <w:b/>
        </w:rPr>
      </w:pPr>
      <w:r>
        <w:rPr>
          <w:rFonts w:ascii="Times New Roman" w:cs="Times New Roman"/>
        </w:rPr>
        <w:t>2020</w:t>
      </w:r>
      <w:r>
        <w:rPr>
          <w:rFonts w:ascii="Times New Roman" w:cs="Times New Roman"/>
        </w:rPr>
        <w:t>年</w:t>
      </w:r>
      <w:r>
        <w:rPr>
          <w:rFonts w:ascii="Times New Roman" w:cs="Times New Roman"/>
        </w:rPr>
        <w:t>7</w:t>
      </w:r>
      <w:r>
        <w:rPr>
          <w:rFonts w:ascii="Times New Roman" w:cs="Times New Roman"/>
        </w:rPr>
        <w:t>月</w:t>
      </w:r>
      <w:r>
        <w:rPr>
          <w:rFonts w:ascii="Times New Roman" w:cs="Times New Roman"/>
        </w:rPr>
        <w:t>2</w:t>
      </w:r>
      <w:r w:rsidR="003B3C66">
        <w:rPr>
          <w:rFonts w:ascii="Times New Roman" w:cs="Times New Roman" w:hint="eastAsia"/>
        </w:rPr>
        <w:t>1</w:t>
      </w:r>
      <w:r>
        <w:rPr>
          <w:rFonts w:ascii="Times New Roman" w:cs="Times New Roman"/>
        </w:rPr>
        <w:t>日</w:t>
      </w:r>
      <w:bookmarkEnd w:id="0"/>
    </w:p>
    <w:sectPr w:rsidR="008005C6">
      <w:footerReference w:type="even" r:id="rId8"/>
      <w:footerReference w:type="default" r:id="rId9"/>
      <w:headerReference w:type="first" r:id="rId10"/>
      <w:footerReference w:type="first" r:id="rId11"/>
      <w:pgSz w:w="11906" w:h="16838"/>
      <w:pgMar w:top="1440" w:right="1474" w:bottom="1440" w:left="1474"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AFD95" w14:textId="77777777" w:rsidR="00FB5579" w:rsidRDefault="00FB5579">
      <w:r>
        <w:separator/>
      </w:r>
    </w:p>
  </w:endnote>
  <w:endnote w:type="continuationSeparator" w:id="0">
    <w:p w14:paraId="1D4CD499" w14:textId="77777777" w:rsidR="00FB5579" w:rsidRDefault="00FB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43B2" w14:textId="77777777" w:rsidR="008005C6" w:rsidRDefault="002A5F93">
    <w:pPr>
      <w:pStyle w:val="af3"/>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14:paraId="4AEBC8D3" w14:textId="77777777" w:rsidR="008005C6" w:rsidRDefault="008005C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8A56" w14:textId="77777777" w:rsidR="008005C6" w:rsidRDefault="002A5F93">
    <w:pPr>
      <w:pStyle w:val="af3"/>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3B3C66">
      <w:rPr>
        <w:rStyle w:val="afc"/>
        <w:noProof/>
      </w:rPr>
      <w:t>8</w:t>
    </w:r>
    <w:r>
      <w:rPr>
        <w:rStyle w:val="afc"/>
      </w:rPr>
      <w:fldChar w:fldCharType="end"/>
    </w:r>
  </w:p>
  <w:p w14:paraId="20E1DF29" w14:textId="77777777" w:rsidR="008005C6" w:rsidRDefault="008005C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4906"/>
    </w:sdtPr>
    <w:sdtEndPr/>
    <w:sdtContent>
      <w:p w14:paraId="453DB936" w14:textId="77777777" w:rsidR="008005C6" w:rsidRDefault="002A5F93">
        <w:pPr>
          <w:pStyle w:val="af3"/>
          <w:jc w:val="center"/>
        </w:pPr>
        <w:r>
          <w:fldChar w:fldCharType="begin"/>
        </w:r>
        <w:r>
          <w:instrText xml:space="preserve"> PAGE   \* MERGEFORMAT </w:instrText>
        </w:r>
        <w:r>
          <w:fldChar w:fldCharType="separate"/>
        </w:r>
        <w:r w:rsidR="003B3C66" w:rsidRPr="003B3C66">
          <w:rPr>
            <w:noProof/>
            <w:lang w:val="zh-CN"/>
          </w:rPr>
          <w:t>1</w:t>
        </w:r>
        <w:r>
          <w:rPr>
            <w:lang w:val="zh-CN"/>
          </w:rPr>
          <w:fldChar w:fldCharType="end"/>
        </w:r>
      </w:p>
    </w:sdtContent>
  </w:sdt>
  <w:p w14:paraId="6BF72A5A" w14:textId="77777777" w:rsidR="008005C6" w:rsidRDefault="008005C6">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A6D86" w14:textId="77777777" w:rsidR="00FB5579" w:rsidRDefault="00FB5579">
      <w:r>
        <w:separator/>
      </w:r>
    </w:p>
  </w:footnote>
  <w:footnote w:type="continuationSeparator" w:id="0">
    <w:p w14:paraId="2E82D23B" w14:textId="77777777" w:rsidR="00FB5579" w:rsidRDefault="00FB5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09F41" w14:textId="77777777" w:rsidR="008005C6" w:rsidRDefault="002A5F93">
    <w:pPr>
      <w:pStyle w:val="af5"/>
      <w:pBdr>
        <w:bottom w:val="none" w:sz="0" w:space="0" w:color="auto"/>
      </w:pBdr>
      <w:tabs>
        <w:tab w:val="left" w:pos="3030"/>
      </w:tabs>
      <w:jc w:val="both"/>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730"/>
    <w:rsid w:val="0000075A"/>
    <w:rsid w:val="00001111"/>
    <w:rsid w:val="00001F40"/>
    <w:rsid w:val="000022B8"/>
    <w:rsid w:val="00002B38"/>
    <w:rsid w:val="00003237"/>
    <w:rsid w:val="0000399E"/>
    <w:rsid w:val="00004F7A"/>
    <w:rsid w:val="00005308"/>
    <w:rsid w:val="00010F6E"/>
    <w:rsid w:val="00011C07"/>
    <w:rsid w:val="000124FA"/>
    <w:rsid w:val="00014104"/>
    <w:rsid w:val="00015119"/>
    <w:rsid w:val="00015D79"/>
    <w:rsid w:val="00020E64"/>
    <w:rsid w:val="000221A0"/>
    <w:rsid w:val="000224BB"/>
    <w:rsid w:val="00022FD8"/>
    <w:rsid w:val="00023051"/>
    <w:rsid w:val="0002369C"/>
    <w:rsid w:val="00025255"/>
    <w:rsid w:val="000256C1"/>
    <w:rsid w:val="00026073"/>
    <w:rsid w:val="00033B3A"/>
    <w:rsid w:val="00034458"/>
    <w:rsid w:val="000347AB"/>
    <w:rsid w:val="00034B54"/>
    <w:rsid w:val="00035E15"/>
    <w:rsid w:val="0003607D"/>
    <w:rsid w:val="000405C0"/>
    <w:rsid w:val="000414AC"/>
    <w:rsid w:val="00041EBF"/>
    <w:rsid w:val="000430F4"/>
    <w:rsid w:val="0004312B"/>
    <w:rsid w:val="00043C32"/>
    <w:rsid w:val="00043ED8"/>
    <w:rsid w:val="00047842"/>
    <w:rsid w:val="00050684"/>
    <w:rsid w:val="000519D9"/>
    <w:rsid w:val="000522F5"/>
    <w:rsid w:val="00054985"/>
    <w:rsid w:val="00054E85"/>
    <w:rsid w:val="000562E8"/>
    <w:rsid w:val="00057132"/>
    <w:rsid w:val="00057B86"/>
    <w:rsid w:val="0006100E"/>
    <w:rsid w:val="0006204C"/>
    <w:rsid w:val="000623AC"/>
    <w:rsid w:val="00062CBB"/>
    <w:rsid w:val="000650C7"/>
    <w:rsid w:val="0006530C"/>
    <w:rsid w:val="00067772"/>
    <w:rsid w:val="000679B6"/>
    <w:rsid w:val="000726DF"/>
    <w:rsid w:val="00072DA1"/>
    <w:rsid w:val="00073032"/>
    <w:rsid w:val="00081200"/>
    <w:rsid w:val="0008220F"/>
    <w:rsid w:val="00082936"/>
    <w:rsid w:val="00083106"/>
    <w:rsid w:val="00083F1F"/>
    <w:rsid w:val="00084170"/>
    <w:rsid w:val="0008425D"/>
    <w:rsid w:val="0008439F"/>
    <w:rsid w:val="00086EC3"/>
    <w:rsid w:val="00087925"/>
    <w:rsid w:val="000930BC"/>
    <w:rsid w:val="000940FE"/>
    <w:rsid w:val="00096748"/>
    <w:rsid w:val="00096CA4"/>
    <w:rsid w:val="00096CF5"/>
    <w:rsid w:val="00097F96"/>
    <w:rsid w:val="00097F9C"/>
    <w:rsid w:val="000A3034"/>
    <w:rsid w:val="000A47A8"/>
    <w:rsid w:val="000A4EB8"/>
    <w:rsid w:val="000A58AD"/>
    <w:rsid w:val="000A5B0E"/>
    <w:rsid w:val="000A6523"/>
    <w:rsid w:val="000A6BA6"/>
    <w:rsid w:val="000A6EA5"/>
    <w:rsid w:val="000B0AC2"/>
    <w:rsid w:val="000B204D"/>
    <w:rsid w:val="000B42F4"/>
    <w:rsid w:val="000C08D0"/>
    <w:rsid w:val="000C6937"/>
    <w:rsid w:val="000C6A22"/>
    <w:rsid w:val="000C6E93"/>
    <w:rsid w:val="000D039E"/>
    <w:rsid w:val="000D1C95"/>
    <w:rsid w:val="000D2F20"/>
    <w:rsid w:val="000D3E38"/>
    <w:rsid w:val="000E0F8D"/>
    <w:rsid w:val="000E1A77"/>
    <w:rsid w:val="000E1D45"/>
    <w:rsid w:val="000E33B7"/>
    <w:rsid w:val="000E3668"/>
    <w:rsid w:val="000E4E5D"/>
    <w:rsid w:val="000E50AA"/>
    <w:rsid w:val="000F07BA"/>
    <w:rsid w:val="000F3182"/>
    <w:rsid w:val="000F5A85"/>
    <w:rsid w:val="000F6D6A"/>
    <w:rsid w:val="0010089D"/>
    <w:rsid w:val="0010456D"/>
    <w:rsid w:val="00105D10"/>
    <w:rsid w:val="001063F1"/>
    <w:rsid w:val="00107478"/>
    <w:rsid w:val="001120E6"/>
    <w:rsid w:val="0011315B"/>
    <w:rsid w:val="00113744"/>
    <w:rsid w:val="00114390"/>
    <w:rsid w:val="001159CB"/>
    <w:rsid w:val="00116913"/>
    <w:rsid w:val="00117602"/>
    <w:rsid w:val="00123908"/>
    <w:rsid w:val="0012500C"/>
    <w:rsid w:val="00125282"/>
    <w:rsid w:val="0012577D"/>
    <w:rsid w:val="001270A9"/>
    <w:rsid w:val="0012770E"/>
    <w:rsid w:val="00127B6D"/>
    <w:rsid w:val="00130492"/>
    <w:rsid w:val="00130629"/>
    <w:rsid w:val="00130B30"/>
    <w:rsid w:val="001317C8"/>
    <w:rsid w:val="00136642"/>
    <w:rsid w:val="001405DF"/>
    <w:rsid w:val="00140B41"/>
    <w:rsid w:val="00145C26"/>
    <w:rsid w:val="001464E5"/>
    <w:rsid w:val="00146CA1"/>
    <w:rsid w:val="00146DC5"/>
    <w:rsid w:val="00147BD2"/>
    <w:rsid w:val="0015138B"/>
    <w:rsid w:val="00151530"/>
    <w:rsid w:val="00151783"/>
    <w:rsid w:val="00153AEF"/>
    <w:rsid w:val="00153BF7"/>
    <w:rsid w:val="00155FAB"/>
    <w:rsid w:val="00155FD1"/>
    <w:rsid w:val="001566B0"/>
    <w:rsid w:val="00156BBD"/>
    <w:rsid w:val="00157224"/>
    <w:rsid w:val="001574ED"/>
    <w:rsid w:val="00157947"/>
    <w:rsid w:val="00160842"/>
    <w:rsid w:val="00160B57"/>
    <w:rsid w:val="0016309F"/>
    <w:rsid w:val="00163C42"/>
    <w:rsid w:val="00167254"/>
    <w:rsid w:val="001672A3"/>
    <w:rsid w:val="001677E9"/>
    <w:rsid w:val="00167C4C"/>
    <w:rsid w:val="00170818"/>
    <w:rsid w:val="00170A53"/>
    <w:rsid w:val="001721E8"/>
    <w:rsid w:val="001725EE"/>
    <w:rsid w:val="001725F1"/>
    <w:rsid w:val="001728B3"/>
    <w:rsid w:val="00173C22"/>
    <w:rsid w:val="0017546D"/>
    <w:rsid w:val="001759F2"/>
    <w:rsid w:val="00176098"/>
    <w:rsid w:val="00176141"/>
    <w:rsid w:val="001779E1"/>
    <w:rsid w:val="00177A2E"/>
    <w:rsid w:val="00180E15"/>
    <w:rsid w:val="00180FD0"/>
    <w:rsid w:val="00181F5E"/>
    <w:rsid w:val="00183722"/>
    <w:rsid w:val="00184391"/>
    <w:rsid w:val="001860E0"/>
    <w:rsid w:val="001870A0"/>
    <w:rsid w:val="001876F8"/>
    <w:rsid w:val="001926C4"/>
    <w:rsid w:val="00192B3E"/>
    <w:rsid w:val="001949B2"/>
    <w:rsid w:val="00195821"/>
    <w:rsid w:val="00195BC5"/>
    <w:rsid w:val="00195D3B"/>
    <w:rsid w:val="00196AEC"/>
    <w:rsid w:val="001A0A59"/>
    <w:rsid w:val="001A68E3"/>
    <w:rsid w:val="001A6ACC"/>
    <w:rsid w:val="001B381A"/>
    <w:rsid w:val="001B4881"/>
    <w:rsid w:val="001B5DA4"/>
    <w:rsid w:val="001B6C06"/>
    <w:rsid w:val="001C24D2"/>
    <w:rsid w:val="001C2EB3"/>
    <w:rsid w:val="001C423D"/>
    <w:rsid w:val="001C454B"/>
    <w:rsid w:val="001C489B"/>
    <w:rsid w:val="001C4A54"/>
    <w:rsid w:val="001C4B60"/>
    <w:rsid w:val="001C4B7C"/>
    <w:rsid w:val="001C553D"/>
    <w:rsid w:val="001D38BA"/>
    <w:rsid w:val="001D3C1F"/>
    <w:rsid w:val="001D3FC6"/>
    <w:rsid w:val="001D5278"/>
    <w:rsid w:val="001D6F4D"/>
    <w:rsid w:val="001D75F1"/>
    <w:rsid w:val="001E017F"/>
    <w:rsid w:val="001E060F"/>
    <w:rsid w:val="001E1319"/>
    <w:rsid w:val="001E1DF6"/>
    <w:rsid w:val="001E21FC"/>
    <w:rsid w:val="001E2A7B"/>
    <w:rsid w:val="001E3F74"/>
    <w:rsid w:val="001E4839"/>
    <w:rsid w:val="001E5FDF"/>
    <w:rsid w:val="001E7070"/>
    <w:rsid w:val="001F106A"/>
    <w:rsid w:val="001F1A5A"/>
    <w:rsid w:val="001F1D7E"/>
    <w:rsid w:val="001F4AEC"/>
    <w:rsid w:val="001F4D18"/>
    <w:rsid w:val="001F5AD3"/>
    <w:rsid w:val="001F70FC"/>
    <w:rsid w:val="001F74E5"/>
    <w:rsid w:val="0020049C"/>
    <w:rsid w:val="002015F4"/>
    <w:rsid w:val="00203413"/>
    <w:rsid w:val="00206031"/>
    <w:rsid w:val="00206577"/>
    <w:rsid w:val="0020766F"/>
    <w:rsid w:val="002114F6"/>
    <w:rsid w:val="00211540"/>
    <w:rsid w:val="002125DA"/>
    <w:rsid w:val="002131C9"/>
    <w:rsid w:val="002156D5"/>
    <w:rsid w:val="00215E0E"/>
    <w:rsid w:val="00216738"/>
    <w:rsid w:val="00216944"/>
    <w:rsid w:val="00220903"/>
    <w:rsid w:val="00221124"/>
    <w:rsid w:val="002211F9"/>
    <w:rsid w:val="00221EBB"/>
    <w:rsid w:val="00221F16"/>
    <w:rsid w:val="00225DC5"/>
    <w:rsid w:val="00230CA6"/>
    <w:rsid w:val="00231ED2"/>
    <w:rsid w:val="00232E54"/>
    <w:rsid w:val="00236697"/>
    <w:rsid w:val="0023697F"/>
    <w:rsid w:val="002369D6"/>
    <w:rsid w:val="00240E28"/>
    <w:rsid w:val="0024121B"/>
    <w:rsid w:val="00242F2D"/>
    <w:rsid w:val="002463E3"/>
    <w:rsid w:val="00252307"/>
    <w:rsid w:val="0025430A"/>
    <w:rsid w:val="002558F1"/>
    <w:rsid w:val="00260709"/>
    <w:rsid w:val="002615B2"/>
    <w:rsid w:val="00262F37"/>
    <w:rsid w:val="0026320D"/>
    <w:rsid w:val="00263FDA"/>
    <w:rsid w:val="002649E3"/>
    <w:rsid w:val="00266AA4"/>
    <w:rsid w:val="0027099B"/>
    <w:rsid w:val="00271460"/>
    <w:rsid w:val="00274FF6"/>
    <w:rsid w:val="00275D31"/>
    <w:rsid w:val="0027655B"/>
    <w:rsid w:val="00277580"/>
    <w:rsid w:val="002807F7"/>
    <w:rsid w:val="002811AF"/>
    <w:rsid w:val="00281853"/>
    <w:rsid w:val="00282508"/>
    <w:rsid w:val="00282C52"/>
    <w:rsid w:val="00283802"/>
    <w:rsid w:val="00283F4D"/>
    <w:rsid w:val="002858C3"/>
    <w:rsid w:val="00290065"/>
    <w:rsid w:val="0029171C"/>
    <w:rsid w:val="00292908"/>
    <w:rsid w:val="00293801"/>
    <w:rsid w:val="0029518F"/>
    <w:rsid w:val="002956FA"/>
    <w:rsid w:val="00295BF1"/>
    <w:rsid w:val="0029644F"/>
    <w:rsid w:val="0029675D"/>
    <w:rsid w:val="00297009"/>
    <w:rsid w:val="002A1B6D"/>
    <w:rsid w:val="002A2238"/>
    <w:rsid w:val="002A2CC6"/>
    <w:rsid w:val="002A5A9A"/>
    <w:rsid w:val="002A5F93"/>
    <w:rsid w:val="002A69EF"/>
    <w:rsid w:val="002B10B5"/>
    <w:rsid w:val="002B195A"/>
    <w:rsid w:val="002B1C9A"/>
    <w:rsid w:val="002B2772"/>
    <w:rsid w:val="002B5417"/>
    <w:rsid w:val="002B5C20"/>
    <w:rsid w:val="002B62F4"/>
    <w:rsid w:val="002C0705"/>
    <w:rsid w:val="002C2EC7"/>
    <w:rsid w:val="002C3DCA"/>
    <w:rsid w:val="002D0B9D"/>
    <w:rsid w:val="002D290E"/>
    <w:rsid w:val="002D57D4"/>
    <w:rsid w:val="002D6B38"/>
    <w:rsid w:val="002E04B3"/>
    <w:rsid w:val="002E1AC6"/>
    <w:rsid w:val="002E1D29"/>
    <w:rsid w:val="002E31A7"/>
    <w:rsid w:val="002E3B28"/>
    <w:rsid w:val="002E6CD1"/>
    <w:rsid w:val="002F03D3"/>
    <w:rsid w:val="002F25A5"/>
    <w:rsid w:val="002F3883"/>
    <w:rsid w:val="002F445E"/>
    <w:rsid w:val="002F5812"/>
    <w:rsid w:val="002F781B"/>
    <w:rsid w:val="003018D6"/>
    <w:rsid w:val="003067CC"/>
    <w:rsid w:val="00307257"/>
    <w:rsid w:val="003136FA"/>
    <w:rsid w:val="00313D91"/>
    <w:rsid w:val="003143F7"/>
    <w:rsid w:val="00314ED8"/>
    <w:rsid w:val="00315364"/>
    <w:rsid w:val="00315CC3"/>
    <w:rsid w:val="00320C79"/>
    <w:rsid w:val="00320E65"/>
    <w:rsid w:val="0032118D"/>
    <w:rsid w:val="003239EF"/>
    <w:rsid w:val="00326753"/>
    <w:rsid w:val="00327B53"/>
    <w:rsid w:val="00327D34"/>
    <w:rsid w:val="00331652"/>
    <w:rsid w:val="00333ABE"/>
    <w:rsid w:val="00333E82"/>
    <w:rsid w:val="00334107"/>
    <w:rsid w:val="00336689"/>
    <w:rsid w:val="00336895"/>
    <w:rsid w:val="00337CD3"/>
    <w:rsid w:val="00340C62"/>
    <w:rsid w:val="003411DF"/>
    <w:rsid w:val="00343506"/>
    <w:rsid w:val="00345081"/>
    <w:rsid w:val="00346EFC"/>
    <w:rsid w:val="0035083D"/>
    <w:rsid w:val="00350B0A"/>
    <w:rsid w:val="00352C2F"/>
    <w:rsid w:val="00352DA1"/>
    <w:rsid w:val="0035422F"/>
    <w:rsid w:val="003544E3"/>
    <w:rsid w:val="00354DF8"/>
    <w:rsid w:val="003552AF"/>
    <w:rsid w:val="00355C81"/>
    <w:rsid w:val="00355C89"/>
    <w:rsid w:val="00356513"/>
    <w:rsid w:val="003605DC"/>
    <w:rsid w:val="00360C06"/>
    <w:rsid w:val="0036132B"/>
    <w:rsid w:val="0036182E"/>
    <w:rsid w:val="00362456"/>
    <w:rsid w:val="00364B6E"/>
    <w:rsid w:val="00364BDC"/>
    <w:rsid w:val="00364E40"/>
    <w:rsid w:val="00365DB4"/>
    <w:rsid w:val="003666D8"/>
    <w:rsid w:val="003669EF"/>
    <w:rsid w:val="003678BD"/>
    <w:rsid w:val="00370994"/>
    <w:rsid w:val="003714C3"/>
    <w:rsid w:val="003720A5"/>
    <w:rsid w:val="0037611F"/>
    <w:rsid w:val="0037694F"/>
    <w:rsid w:val="00376B60"/>
    <w:rsid w:val="003809F0"/>
    <w:rsid w:val="00380FB1"/>
    <w:rsid w:val="00381BE7"/>
    <w:rsid w:val="00382A09"/>
    <w:rsid w:val="003837C1"/>
    <w:rsid w:val="00383878"/>
    <w:rsid w:val="003842D8"/>
    <w:rsid w:val="003849CF"/>
    <w:rsid w:val="00385929"/>
    <w:rsid w:val="003867E5"/>
    <w:rsid w:val="00387527"/>
    <w:rsid w:val="00387930"/>
    <w:rsid w:val="0039231C"/>
    <w:rsid w:val="00394401"/>
    <w:rsid w:val="00396190"/>
    <w:rsid w:val="00397DD9"/>
    <w:rsid w:val="003A1E19"/>
    <w:rsid w:val="003A2986"/>
    <w:rsid w:val="003A2C3A"/>
    <w:rsid w:val="003A555C"/>
    <w:rsid w:val="003A5B78"/>
    <w:rsid w:val="003A7F43"/>
    <w:rsid w:val="003A7FFE"/>
    <w:rsid w:val="003B0902"/>
    <w:rsid w:val="003B2660"/>
    <w:rsid w:val="003B30D8"/>
    <w:rsid w:val="003B3754"/>
    <w:rsid w:val="003B3C66"/>
    <w:rsid w:val="003B3C73"/>
    <w:rsid w:val="003B596F"/>
    <w:rsid w:val="003B61E7"/>
    <w:rsid w:val="003B664E"/>
    <w:rsid w:val="003B6B33"/>
    <w:rsid w:val="003B743B"/>
    <w:rsid w:val="003C1160"/>
    <w:rsid w:val="003C293B"/>
    <w:rsid w:val="003C4F4E"/>
    <w:rsid w:val="003C6DB8"/>
    <w:rsid w:val="003C79A5"/>
    <w:rsid w:val="003D2D31"/>
    <w:rsid w:val="003D2D49"/>
    <w:rsid w:val="003D5463"/>
    <w:rsid w:val="003D5B52"/>
    <w:rsid w:val="003D6097"/>
    <w:rsid w:val="003D63CF"/>
    <w:rsid w:val="003D7C2D"/>
    <w:rsid w:val="003E0B2E"/>
    <w:rsid w:val="003E18EE"/>
    <w:rsid w:val="003E3E05"/>
    <w:rsid w:val="003E4041"/>
    <w:rsid w:val="003E583D"/>
    <w:rsid w:val="003E6F9E"/>
    <w:rsid w:val="003F051D"/>
    <w:rsid w:val="003F1E3A"/>
    <w:rsid w:val="003F24F6"/>
    <w:rsid w:val="003F43FB"/>
    <w:rsid w:val="003F568D"/>
    <w:rsid w:val="003F5B77"/>
    <w:rsid w:val="003F5C91"/>
    <w:rsid w:val="003F5DCC"/>
    <w:rsid w:val="003F6E33"/>
    <w:rsid w:val="00401D55"/>
    <w:rsid w:val="00405B4F"/>
    <w:rsid w:val="004105BD"/>
    <w:rsid w:val="00412323"/>
    <w:rsid w:val="0041284C"/>
    <w:rsid w:val="004136E2"/>
    <w:rsid w:val="00413954"/>
    <w:rsid w:val="00413A10"/>
    <w:rsid w:val="00414799"/>
    <w:rsid w:val="004153BE"/>
    <w:rsid w:val="0041686A"/>
    <w:rsid w:val="0041700F"/>
    <w:rsid w:val="00421A30"/>
    <w:rsid w:val="00422E9E"/>
    <w:rsid w:val="0042421A"/>
    <w:rsid w:val="004264EA"/>
    <w:rsid w:val="00430DA0"/>
    <w:rsid w:val="004331B8"/>
    <w:rsid w:val="00435947"/>
    <w:rsid w:val="00436336"/>
    <w:rsid w:val="00436527"/>
    <w:rsid w:val="00436EAE"/>
    <w:rsid w:val="00437FEF"/>
    <w:rsid w:val="0044209C"/>
    <w:rsid w:val="00443A9D"/>
    <w:rsid w:val="00445581"/>
    <w:rsid w:val="00445E66"/>
    <w:rsid w:val="00447191"/>
    <w:rsid w:val="00450494"/>
    <w:rsid w:val="0045253C"/>
    <w:rsid w:val="004541E6"/>
    <w:rsid w:val="0045451E"/>
    <w:rsid w:val="00454B8C"/>
    <w:rsid w:val="00455969"/>
    <w:rsid w:val="0045742D"/>
    <w:rsid w:val="00460249"/>
    <w:rsid w:val="0046068D"/>
    <w:rsid w:val="00461555"/>
    <w:rsid w:val="004618A0"/>
    <w:rsid w:val="00471D1D"/>
    <w:rsid w:val="004724DA"/>
    <w:rsid w:val="00472710"/>
    <w:rsid w:val="00473473"/>
    <w:rsid w:val="00476F15"/>
    <w:rsid w:val="00476FD5"/>
    <w:rsid w:val="0048068C"/>
    <w:rsid w:val="00480B5B"/>
    <w:rsid w:val="00480DB1"/>
    <w:rsid w:val="00483251"/>
    <w:rsid w:val="004835AC"/>
    <w:rsid w:val="0048443C"/>
    <w:rsid w:val="00484F95"/>
    <w:rsid w:val="0048659A"/>
    <w:rsid w:val="00487A88"/>
    <w:rsid w:val="00491E3C"/>
    <w:rsid w:val="004920CB"/>
    <w:rsid w:val="004930B8"/>
    <w:rsid w:val="00493AEE"/>
    <w:rsid w:val="004941B3"/>
    <w:rsid w:val="004948CC"/>
    <w:rsid w:val="00494C4A"/>
    <w:rsid w:val="00495E53"/>
    <w:rsid w:val="00497938"/>
    <w:rsid w:val="004A15FD"/>
    <w:rsid w:val="004A3659"/>
    <w:rsid w:val="004A4FCA"/>
    <w:rsid w:val="004A5BC9"/>
    <w:rsid w:val="004A7A5D"/>
    <w:rsid w:val="004B02B0"/>
    <w:rsid w:val="004B7F8D"/>
    <w:rsid w:val="004C0657"/>
    <w:rsid w:val="004C2836"/>
    <w:rsid w:val="004C3EC8"/>
    <w:rsid w:val="004C483A"/>
    <w:rsid w:val="004C713D"/>
    <w:rsid w:val="004D3981"/>
    <w:rsid w:val="004D3FA8"/>
    <w:rsid w:val="004D41AF"/>
    <w:rsid w:val="004D5967"/>
    <w:rsid w:val="004E0FF0"/>
    <w:rsid w:val="004E44B2"/>
    <w:rsid w:val="004E4B57"/>
    <w:rsid w:val="004E4CD1"/>
    <w:rsid w:val="004E568E"/>
    <w:rsid w:val="004E6C02"/>
    <w:rsid w:val="004F0420"/>
    <w:rsid w:val="004F262F"/>
    <w:rsid w:val="004F2EBC"/>
    <w:rsid w:val="004F301F"/>
    <w:rsid w:val="005014F5"/>
    <w:rsid w:val="00503B86"/>
    <w:rsid w:val="00503D1C"/>
    <w:rsid w:val="00506E4C"/>
    <w:rsid w:val="00507B1E"/>
    <w:rsid w:val="005105CA"/>
    <w:rsid w:val="00510ACD"/>
    <w:rsid w:val="00510B6E"/>
    <w:rsid w:val="00511828"/>
    <w:rsid w:val="00512511"/>
    <w:rsid w:val="00514CE3"/>
    <w:rsid w:val="005150B7"/>
    <w:rsid w:val="00515107"/>
    <w:rsid w:val="00516E9D"/>
    <w:rsid w:val="00522E9D"/>
    <w:rsid w:val="0052510B"/>
    <w:rsid w:val="00526A47"/>
    <w:rsid w:val="005273D0"/>
    <w:rsid w:val="00527C4C"/>
    <w:rsid w:val="00530068"/>
    <w:rsid w:val="00531108"/>
    <w:rsid w:val="005312DE"/>
    <w:rsid w:val="00532FF4"/>
    <w:rsid w:val="005354D9"/>
    <w:rsid w:val="0053560E"/>
    <w:rsid w:val="00536068"/>
    <w:rsid w:val="00536A18"/>
    <w:rsid w:val="00540073"/>
    <w:rsid w:val="0054018F"/>
    <w:rsid w:val="00540D4A"/>
    <w:rsid w:val="0054349B"/>
    <w:rsid w:val="0054795D"/>
    <w:rsid w:val="005479CF"/>
    <w:rsid w:val="00547D5A"/>
    <w:rsid w:val="00551A68"/>
    <w:rsid w:val="00553E41"/>
    <w:rsid w:val="00557CEA"/>
    <w:rsid w:val="005608BF"/>
    <w:rsid w:val="00561766"/>
    <w:rsid w:val="00561B4C"/>
    <w:rsid w:val="00561BDD"/>
    <w:rsid w:val="005621D6"/>
    <w:rsid w:val="00563027"/>
    <w:rsid w:val="00566A6A"/>
    <w:rsid w:val="00567381"/>
    <w:rsid w:val="00570E9B"/>
    <w:rsid w:val="00570F6E"/>
    <w:rsid w:val="00572CFE"/>
    <w:rsid w:val="00574577"/>
    <w:rsid w:val="00575593"/>
    <w:rsid w:val="00584601"/>
    <w:rsid w:val="00584DEF"/>
    <w:rsid w:val="00585F6A"/>
    <w:rsid w:val="0058695E"/>
    <w:rsid w:val="00586F07"/>
    <w:rsid w:val="00586F13"/>
    <w:rsid w:val="0059097E"/>
    <w:rsid w:val="005926D4"/>
    <w:rsid w:val="00592C1E"/>
    <w:rsid w:val="005945B9"/>
    <w:rsid w:val="00595234"/>
    <w:rsid w:val="0059781E"/>
    <w:rsid w:val="00597A02"/>
    <w:rsid w:val="00597CC8"/>
    <w:rsid w:val="005A0202"/>
    <w:rsid w:val="005A099F"/>
    <w:rsid w:val="005A12DA"/>
    <w:rsid w:val="005A186E"/>
    <w:rsid w:val="005A6FC2"/>
    <w:rsid w:val="005A7426"/>
    <w:rsid w:val="005A74B1"/>
    <w:rsid w:val="005A77EA"/>
    <w:rsid w:val="005B1307"/>
    <w:rsid w:val="005B2CC8"/>
    <w:rsid w:val="005B2E58"/>
    <w:rsid w:val="005B3004"/>
    <w:rsid w:val="005B4CFA"/>
    <w:rsid w:val="005B5D07"/>
    <w:rsid w:val="005B6B6E"/>
    <w:rsid w:val="005C11B2"/>
    <w:rsid w:val="005C3079"/>
    <w:rsid w:val="005C3BE6"/>
    <w:rsid w:val="005D02FE"/>
    <w:rsid w:val="005D1D92"/>
    <w:rsid w:val="005D2077"/>
    <w:rsid w:val="005D3009"/>
    <w:rsid w:val="005D54FD"/>
    <w:rsid w:val="005D5859"/>
    <w:rsid w:val="005D774F"/>
    <w:rsid w:val="005E1B05"/>
    <w:rsid w:val="005E28C0"/>
    <w:rsid w:val="005E39BB"/>
    <w:rsid w:val="005E4CB3"/>
    <w:rsid w:val="005E7823"/>
    <w:rsid w:val="005E7DF8"/>
    <w:rsid w:val="005F0E21"/>
    <w:rsid w:val="005F25AF"/>
    <w:rsid w:val="005F3D6A"/>
    <w:rsid w:val="005F7DED"/>
    <w:rsid w:val="006029A3"/>
    <w:rsid w:val="00602F1D"/>
    <w:rsid w:val="00605F08"/>
    <w:rsid w:val="0061111D"/>
    <w:rsid w:val="006120AC"/>
    <w:rsid w:val="006127B3"/>
    <w:rsid w:val="00617ABD"/>
    <w:rsid w:val="006203DA"/>
    <w:rsid w:val="00620472"/>
    <w:rsid w:val="006204ED"/>
    <w:rsid w:val="006228F3"/>
    <w:rsid w:val="006234C0"/>
    <w:rsid w:val="0062381F"/>
    <w:rsid w:val="00626608"/>
    <w:rsid w:val="0063020B"/>
    <w:rsid w:val="006323C8"/>
    <w:rsid w:val="006336DA"/>
    <w:rsid w:val="0063628C"/>
    <w:rsid w:val="00636560"/>
    <w:rsid w:val="00636A07"/>
    <w:rsid w:val="0064067D"/>
    <w:rsid w:val="0064218F"/>
    <w:rsid w:val="0064439F"/>
    <w:rsid w:val="00644E77"/>
    <w:rsid w:val="00646BF9"/>
    <w:rsid w:val="00647062"/>
    <w:rsid w:val="00647EDA"/>
    <w:rsid w:val="00650383"/>
    <w:rsid w:val="00650B0A"/>
    <w:rsid w:val="00651CC6"/>
    <w:rsid w:val="00653323"/>
    <w:rsid w:val="00655045"/>
    <w:rsid w:val="006559F7"/>
    <w:rsid w:val="006573DD"/>
    <w:rsid w:val="00657526"/>
    <w:rsid w:val="00660F5A"/>
    <w:rsid w:val="00663048"/>
    <w:rsid w:val="0066419E"/>
    <w:rsid w:val="0066572D"/>
    <w:rsid w:val="00666B68"/>
    <w:rsid w:val="00671947"/>
    <w:rsid w:val="00671A48"/>
    <w:rsid w:val="00676A63"/>
    <w:rsid w:val="00677D0B"/>
    <w:rsid w:val="00680BAE"/>
    <w:rsid w:val="00681119"/>
    <w:rsid w:val="006829FD"/>
    <w:rsid w:val="00682D94"/>
    <w:rsid w:val="00686139"/>
    <w:rsid w:val="00687A43"/>
    <w:rsid w:val="00690A63"/>
    <w:rsid w:val="00694569"/>
    <w:rsid w:val="00694FDE"/>
    <w:rsid w:val="0069505A"/>
    <w:rsid w:val="00696C56"/>
    <w:rsid w:val="006970D7"/>
    <w:rsid w:val="006A0A1E"/>
    <w:rsid w:val="006A1674"/>
    <w:rsid w:val="006A2137"/>
    <w:rsid w:val="006A3A19"/>
    <w:rsid w:val="006A5462"/>
    <w:rsid w:val="006A645B"/>
    <w:rsid w:val="006A654D"/>
    <w:rsid w:val="006A7F28"/>
    <w:rsid w:val="006B252E"/>
    <w:rsid w:val="006B2FBB"/>
    <w:rsid w:val="006B422E"/>
    <w:rsid w:val="006B4F59"/>
    <w:rsid w:val="006B5463"/>
    <w:rsid w:val="006B6B2E"/>
    <w:rsid w:val="006B7024"/>
    <w:rsid w:val="006C0F06"/>
    <w:rsid w:val="006C13AB"/>
    <w:rsid w:val="006C1671"/>
    <w:rsid w:val="006C188F"/>
    <w:rsid w:val="006C31E1"/>
    <w:rsid w:val="006C40B3"/>
    <w:rsid w:val="006C43F3"/>
    <w:rsid w:val="006C6C79"/>
    <w:rsid w:val="006C7603"/>
    <w:rsid w:val="006C7A58"/>
    <w:rsid w:val="006C7F1D"/>
    <w:rsid w:val="006C7F5F"/>
    <w:rsid w:val="006D01D6"/>
    <w:rsid w:val="006D05FE"/>
    <w:rsid w:val="006D4232"/>
    <w:rsid w:val="006D6329"/>
    <w:rsid w:val="006D7D24"/>
    <w:rsid w:val="006E0125"/>
    <w:rsid w:val="006E0B3F"/>
    <w:rsid w:val="006E10C0"/>
    <w:rsid w:val="006E163F"/>
    <w:rsid w:val="006E273D"/>
    <w:rsid w:val="006E2883"/>
    <w:rsid w:val="006E38A7"/>
    <w:rsid w:val="006E632D"/>
    <w:rsid w:val="006F0A51"/>
    <w:rsid w:val="006F0B4B"/>
    <w:rsid w:val="006F178A"/>
    <w:rsid w:val="006F2BAE"/>
    <w:rsid w:val="006F2E2A"/>
    <w:rsid w:val="006F395B"/>
    <w:rsid w:val="00701446"/>
    <w:rsid w:val="00701FC7"/>
    <w:rsid w:val="007022FC"/>
    <w:rsid w:val="007031A7"/>
    <w:rsid w:val="00706F62"/>
    <w:rsid w:val="00707449"/>
    <w:rsid w:val="00707460"/>
    <w:rsid w:val="007110F4"/>
    <w:rsid w:val="00713041"/>
    <w:rsid w:val="00713055"/>
    <w:rsid w:val="00713C5D"/>
    <w:rsid w:val="0071469F"/>
    <w:rsid w:val="007177B1"/>
    <w:rsid w:val="007215B8"/>
    <w:rsid w:val="00721FAE"/>
    <w:rsid w:val="00722384"/>
    <w:rsid w:val="00722442"/>
    <w:rsid w:val="007228E0"/>
    <w:rsid w:val="00722FEA"/>
    <w:rsid w:val="007248B1"/>
    <w:rsid w:val="00726A96"/>
    <w:rsid w:val="00731865"/>
    <w:rsid w:val="00734EC2"/>
    <w:rsid w:val="00741CF3"/>
    <w:rsid w:val="00742E0E"/>
    <w:rsid w:val="00744A8D"/>
    <w:rsid w:val="00744EB3"/>
    <w:rsid w:val="00745040"/>
    <w:rsid w:val="0074743D"/>
    <w:rsid w:val="0075568C"/>
    <w:rsid w:val="007574A4"/>
    <w:rsid w:val="00757C89"/>
    <w:rsid w:val="007616E0"/>
    <w:rsid w:val="00761FBA"/>
    <w:rsid w:val="00763921"/>
    <w:rsid w:val="00763CBB"/>
    <w:rsid w:val="007662C2"/>
    <w:rsid w:val="007664B6"/>
    <w:rsid w:val="007705F1"/>
    <w:rsid w:val="00771983"/>
    <w:rsid w:val="00771AB0"/>
    <w:rsid w:val="00771B82"/>
    <w:rsid w:val="0077355E"/>
    <w:rsid w:val="00775660"/>
    <w:rsid w:val="00776D08"/>
    <w:rsid w:val="00776E4A"/>
    <w:rsid w:val="00777918"/>
    <w:rsid w:val="00782393"/>
    <w:rsid w:val="00783FD2"/>
    <w:rsid w:val="00784AF3"/>
    <w:rsid w:val="00790294"/>
    <w:rsid w:val="00791799"/>
    <w:rsid w:val="00792B22"/>
    <w:rsid w:val="0079325A"/>
    <w:rsid w:val="00793A18"/>
    <w:rsid w:val="00793A1F"/>
    <w:rsid w:val="0079684F"/>
    <w:rsid w:val="00797091"/>
    <w:rsid w:val="007974A5"/>
    <w:rsid w:val="0079797F"/>
    <w:rsid w:val="007A0154"/>
    <w:rsid w:val="007A0617"/>
    <w:rsid w:val="007A0F3E"/>
    <w:rsid w:val="007A21BE"/>
    <w:rsid w:val="007A505B"/>
    <w:rsid w:val="007B0DE2"/>
    <w:rsid w:val="007B0E89"/>
    <w:rsid w:val="007B1DBE"/>
    <w:rsid w:val="007B27CA"/>
    <w:rsid w:val="007B29FF"/>
    <w:rsid w:val="007B32FE"/>
    <w:rsid w:val="007B4932"/>
    <w:rsid w:val="007B5323"/>
    <w:rsid w:val="007B5CAA"/>
    <w:rsid w:val="007B5FF6"/>
    <w:rsid w:val="007B6870"/>
    <w:rsid w:val="007B7756"/>
    <w:rsid w:val="007C12C0"/>
    <w:rsid w:val="007C1B05"/>
    <w:rsid w:val="007C2BB7"/>
    <w:rsid w:val="007C3635"/>
    <w:rsid w:val="007C3FF7"/>
    <w:rsid w:val="007C64A3"/>
    <w:rsid w:val="007C7FA6"/>
    <w:rsid w:val="007D1C3A"/>
    <w:rsid w:val="007D3214"/>
    <w:rsid w:val="007D3967"/>
    <w:rsid w:val="007D705A"/>
    <w:rsid w:val="007E02F4"/>
    <w:rsid w:val="007E3BEA"/>
    <w:rsid w:val="007E479B"/>
    <w:rsid w:val="007E48F0"/>
    <w:rsid w:val="007E6C98"/>
    <w:rsid w:val="007E6CBF"/>
    <w:rsid w:val="007E7DAD"/>
    <w:rsid w:val="007F001D"/>
    <w:rsid w:val="007F0892"/>
    <w:rsid w:val="007F1130"/>
    <w:rsid w:val="007F1246"/>
    <w:rsid w:val="007F296D"/>
    <w:rsid w:val="007F337D"/>
    <w:rsid w:val="008005C6"/>
    <w:rsid w:val="0080070A"/>
    <w:rsid w:val="00800E1D"/>
    <w:rsid w:val="00801F3B"/>
    <w:rsid w:val="008023B4"/>
    <w:rsid w:val="00802559"/>
    <w:rsid w:val="008032FE"/>
    <w:rsid w:val="008043FF"/>
    <w:rsid w:val="00805810"/>
    <w:rsid w:val="00806B74"/>
    <w:rsid w:val="00810410"/>
    <w:rsid w:val="00811542"/>
    <w:rsid w:val="00811727"/>
    <w:rsid w:val="0081248A"/>
    <w:rsid w:val="008130E2"/>
    <w:rsid w:val="00813501"/>
    <w:rsid w:val="0081358D"/>
    <w:rsid w:val="008147CB"/>
    <w:rsid w:val="00814C5F"/>
    <w:rsid w:val="00815A61"/>
    <w:rsid w:val="00816943"/>
    <w:rsid w:val="0081719E"/>
    <w:rsid w:val="008172DC"/>
    <w:rsid w:val="00817B62"/>
    <w:rsid w:val="008215B9"/>
    <w:rsid w:val="00822543"/>
    <w:rsid w:val="00822D1B"/>
    <w:rsid w:val="0082305E"/>
    <w:rsid w:val="008245BE"/>
    <w:rsid w:val="00824D57"/>
    <w:rsid w:val="00825D3C"/>
    <w:rsid w:val="008264E6"/>
    <w:rsid w:val="008274BD"/>
    <w:rsid w:val="00827856"/>
    <w:rsid w:val="00830A4F"/>
    <w:rsid w:val="0083337B"/>
    <w:rsid w:val="00835748"/>
    <w:rsid w:val="00836E61"/>
    <w:rsid w:val="0083755A"/>
    <w:rsid w:val="00837B27"/>
    <w:rsid w:val="00840363"/>
    <w:rsid w:val="00841CE0"/>
    <w:rsid w:val="00841D7B"/>
    <w:rsid w:val="00842072"/>
    <w:rsid w:val="008426FD"/>
    <w:rsid w:val="00845B8E"/>
    <w:rsid w:val="00845C22"/>
    <w:rsid w:val="0084641A"/>
    <w:rsid w:val="00846F58"/>
    <w:rsid w:val="00850728"/>
    <w:rsid w:val="008513A0"/>
    <w:rsid w:val="008525FF"/>
    <w:rsid w:val="00852786"/>
    <w:rsid w:val="008544BB"/>
    <w:rsid w:val="00854BDE"/>
    <w:rsid w:val="008553B6"/>
    <w:rsid w:val="00855902"/>
    <w:rsid w:val="0085636F"/>
    <w:rsid w:val="00856E30"/>
    <w:rsid w:val="00857ED7"/>
    <w:rsid w:val="00860F68"/>
    <w:rsid w:val="00861AC8"/>
    <w:rsid w:val="00861BDE"/>
    <w:rsid w:val="00861F09"/>
    <w:rsid w:val="008620F6"/>
    <w:rsid w:val="0086338D"/>
    <w:rsid w:val="00865404"/>
    <w:rsid w:val="008655D8"/>
    <w:rsid w:val="008704BB"/>
    <w:rsid w:val="00873AA6"/>
    <w:rsid w:val="00875C54"/>
    <w:rsid w:val="0087693B"/>
    <w:rsid w:val="008819E6"/>
    <w:rsid w:val="00881DDD"/>
    <w:rsid w:val="00882CB2"/>
    <w:rsid w:val="00883E00"/>
    <w:rsid w:val="00884BC1"/>
    <w:rsid w:val="00884F1E"/>
    <w:rsid w:val="00886C6C"/>
    <w:rsid w:val="00886E5D"/>
    <w:rsid w:val="00887375"/>
    <w:rsid w:val="0088778E"/>
    <w:rsid w:val="00890213"/>
    <w:rsid w:val="008907FF"/>
    <w:rsid w:val="00890C4C"/>
    <w:rsid w:val="008918EB"/>
    <w:rsid w:val="00891947"/>
    <w:rsid w:val="00891F34"/>
    <w:rsid w:val="0089302A"/>
    <w:rsid w:val="00893376"/>
    <w:rsid w:val="00893AB8"/>
    <w:rsid w:val="008941EB"/>
    <w:rsid w:val="00895F57"/>
    <w:rsid w:val="008970F1"/>
    <w:rsid w:val="008A16C5"/>
    <w:rsid w:val="008A3C56"/>
    <w:rsid w:val="008A47D5"/>
    <w:rsid w:val="008A5F04"/>
    <w:rsid w:val="008A65FA"/>
    <w:rsid w:val="008A714E"/>
    <w:rsid w:val="008B08FD"/>
    <w:rsid w:val="008B26FA"/>
    <w:rsid w:val="008B2B06"/>
    <w:rsid w:val="008B4833"/>
    <w:rsid w:val="008B5306"/>
    <w:rsid w:val="008B5366"/>
    <w:rsid w:val="008B638F"/>
    <w:rsid w:val="008B64E4"/>
    <w:rsid w:val="008B7098"/>
    <w:rsid w:val="008B746F"/>
    <w:rsid w:val="008B7985"/>
    <w:rsid w:val="008C01AA"/>
    <w:rsid w:val="008C11D7"/>
    <w:rsid w:val="008C221C"/>
    <w:rsid w:val="008C264D"/>
    <w:rsid w:val="008C288B"/>
    <w:rsid w:val="008C4669"/>
    <w:rsid w:val="008C72B5"/>
    <w:rsid w:val="008C74CD"/>
    <w:rsid w:val="008C7E32"/>
    <w:rsid w:val="008D085D"/>
    <w:rsid w:val="008D1794"/>
    <w:rsid w:val="008D1BEC"/>
    <w:rsid w:val="008D50BD"/>
    <w:rsid w:val="008D5573"/>
    <w:rsid w:val="008D59AA"/>
    <w:rsid w:val="008D6094"/>
    <w:rsid w:val="008D7B67"/>
    <w:rsid w:val="008E362B"/>
    <w:rsid w:val="008E3C00"/>
    <w:rsid w:val="008E76DE"/>
    <w:rsid w:val="008F023F"/>
    <w:rsid w:val="008F2781"/>
    <w:rsid w:val="008F5C7E"/>
    <w:rsid w:val="008F7156"/>
    <w:rsid w:val="008F71AC"/>
    <w:rsid w:val="009004EA"/>
    <w:rsid w:val="00902D6D"/>
    <w:rsid w:val="00903428"/>
    <w:rsid w:val="00904ACD"/>
    <w:rsid w:val="00905C7D"/>
    <w:rsid w:val="00906217"/>
    <w:rsid w:val="00910690"/>
    <w:rsid w:val="0091316A"/>
    <w:rsid w:val="009131C9"/>
    <w:rsid w:val="009136EA"/>
    <w:rsid w:val="00914530"/>
    <w:rsid w:val="00916F1C"/>
    <w:rsid w:val="00917293"/>
    <w:rsid w:val="00917A14"/>
    <w:rsid w:val="00920012"/>
    <w:rsid w:val="00920880"/>
    <w:rsid w:val="009208D0"/>
    <w:rsid w:val="0092113A"/>
    <w:rsid w:val="009217E5"/>
    <w:rsid w:val="00921D44"/>
    <w:rsid w:val="009234FC"/>
    <w:rsid w:val="00924079"/>
    <w:rsid w:val="00924C80"/>
    <w:rsid w:val="00924DB5"/>
    <w:rsid w:val="009260B9"/>
    <w:rsid w:val="00927B68"/>
    <w:rsid w:val="009347A9"/>
    <w:rsid w:val="00937727"/>
    <w:rsid w:val="00941BF9"/>
    <w:rsid w:val="009433E9"/>
    <w:rsid w:val="00943DBF"/>
    <w:rsid w:val="00943F19"/>
    <w:rsid w:val="0094495F"/>
    <w:rsid w:val="00945AE9"/>
    <w:rsid w:val="00946744"/>
    <w:rsid w:val="00946E64"/>
    <w:rsid w:val="00947094"/>
    <w:rsid w:val="009479D0"/>
    <w:rsid w:val="009501CC"/>
    <w:rsid w:val="009505F3"/>
    <w:rsid w:val="009512A0"/>
    <w:rsid w:val="00956290"/>
    <w:rsid w:val="009567AC"/>
    <w:rsid w:val="00956B22"/>
    <w:rsid w:val="00961624"/>
    <w:rsid w:val="009622E7"/>
    <w:rsid w:val="00962FB9"/>
    <w:rsid w:val="0096334C"/>
    <w:rsid w:val="00963E90"/>
    <w:rsid w:val="00966F51"/>
    <w:rsid w:val="00967D88"/>
    <w:rsid w:val="00976B87"/>
    <w:rsid w:val="00977904"/>
    <w:rsid w:val="00981236"/>
    <w:rsid w:val="009820CA"/>
    <w:rsid w:val="0098317A"/>
    <w:rsid w:val="0098320C"/>
    <w:rsid w:val="0098382D"/>
    <w:rsid w:val="00984A07"/>
    <w:rsid w:val="00985507"/>
    <w:rsid w:val="00985CA8"/>
    <w:rsid w:val="00986ABB"/>
    <w:rsid w:val="00990B72"/>
    <w:rsid w:val="009914B1"/>
    <w:rsid w:val="0099179D"/>
    <w:rsid w:val="00993966"/>
    <w:rsid w:val="00996429"/>
    <w:rsid w:val="0099755D"/>
    <w:rsid w:val="009A1F87"/>
    <w:rsid w:val="009A62F8"/>
    <w:rsid w:val="009A6B7D"/>
    <w:rsid w:val="009A7638"/>
    <w:rsid w:val="009B04C9"/>
    <w:rsid w:val="009B1504"/>
    <w:rsid w:val="009B18AE"/>
    <w:rsid w:val="009B19AE"/>
    <w:rsid w:val="009B27D7"/>
    <w:rsid w:val="009B29F5"/>
    <w:rsid w:val="009B5095"/>
    <w:rsid w:val="009B50D0"/>
    <w:rsid w:val="009B70BD"/>
    <w:rsid w:val="009C0007"/>
    <w:rsid w:val="009C0D0E"/>
    <w:rsid w:val="009C6CDA"/>
    <w:rsid w:val="009C765D"/>
    <w:rsid w:val="009D042C"/>
    <w:rsid w:val="009D1A5A"/>
    <w:rsid w:val="009D1A89"/>
    <w:rsid w:val="009D39CE"/>
    <w:rsid w:val="009D5D62"/>
    <w:rsid w:val="009D6B64"/>
    <w:rsid w:val="009D6D42"/>
    <w:rsid w:val="009E2246"/>
    <w:rsid w:val="009E4E0B"/>
    <w:rsid w:val="009E5ECC"/>
    <w:rsid w:val="009E64C3"/>
    <w:rsid w:val="009F2E61"/>
    <w:rsid w:val="009F461C"/>
    <w:rsid w:val="009F4730"/>
    <w:rsid w:val="009F5F1D"/>
    <w:rsid w:val="009F6FE6"/>
    <w:rsid w:val="00A02636"/>
    <w:rsid w:val="00A02B4A"/>
    <w:rsid w:val="00A05AD6"/>
    <w:rsid w:val="00A07AB7"/>
    <w:rsid w:val="00A11365"/>
    <w:rsid w:val="00A11512"/>
    <w:rsid w:val="00A11693"/>
    <w:rsid w:val="00A12EE8"/>
    <w:rsid w:val="00A14F0B"/>
    <w:rsid w:val="00A15148"/>
    <w:rsid w:val="00A15AAD"/>
    <w:rsid w:val="00A25827"/>
    <w:rsid w:val="00A26CD7"/>
    <w:rsid w:val="00A30C4E"/>
    <w:rsid w:val="00A31B2D"/>
    <w:rsid w:val="00A35CE4"/>
    <w:rsid w:val="00A4115D"/>
    <w:rsid w:val="00A411D6"/>
    <w:rsid w:val="00A4297C"/>
    <w:rsid w:val="00A42F0F"/>
    <w:rsid w:val="00A4337B"/>
    <w:rsid w:val="00A44E52"/>
    <w:rsid w:val="00A456F8"/>
    <w:rsid w:val="00A468D3"/>
    <w:rsid w:val="00A46D60"/>
    <w:rsid w:val="00A46D9C"/>
    <w:rsid w:val="00A46F60"/>
    <w:rsid w:val="00A47F17"/>
    <w:rsid w:val="00A5086E"/>
    <w:rsid w:val="00A531E8"/>
    <w:rsid w:val="00A553D6"/>
    <w:rsid w:val="00A55562"/>
    <w:rsid w:val="00A55A7F"/>
    <w:rsid w:val="00A5721B"/>
    <w:rsid w:val="00A61D4A"/>
    <w:rsid w:val="00A61F6D"/>
    <w:rsid w:val="00A62FE4"/>
    <w:rsid w:val="00A63692"/>
    <w:rsid w:val="00A67509"/>
    <w:rsid w:val="00A677DB"/>
    <w:rsid w:val="00A67956"/>
    <w:rsid w:val="00A73383"/>
    <w:rsid w:val="00A7434A"/>
    <w:rsid w:val="00A760D9"/>
    <w:rsid w:val="00A7655A"/>
    <w:rsid w:val="00A768A0"/>
    <w:rsid w:val="00A77494"/>
    <w:rsid w:val="00A81165"/>
    <w:rsid w:val="00A82D4B"/>
    <w:rsid w:val="00A8449C"/>
    <w:rsid w:val="00A858AA"/>
    <w:rsid w:val="00A85A02"/>
    <w:rsid w:val="00A91582"/>
    <w:rsid w:val="00A9183C"/>
    <w:rsid w:val="00A937E6"/>
    <w:rsid w:val="00A9380D"/>
    <w:rsid w:val="00A94990"/>
    <w:rsid w:val="00A96650"/>
    <w:rsid w:val="00A977FB"/>
    <w:rsid w:val="00AA0C0E"/>
    <w:rsid w:val="00AA17B4"/>
    <w:rsid w:val="00AA218F"/>
    <w:rsid w:val="00AA308D"/>
    <w:rsid w:val="00AA404E"/>
    <w:rsid w:val="00AA486E"/>
    <w:rsid w:val="00AA4A80"/>
    <w:rsid w:val="00AA6BC2"/>
    <w:rsid w:val="00AB02AD"/>
    <w:rsid w:val="00AB0771"/>
    <w:rsid w:val="00AB0C4B"/>
    <w:rsid w:val="00AB0E76"/>
    <w:rsid w:val="00AB13CB"/>
    <w:rsid w:val="00AB4968"/>
    <w:rsid w:val="00AB6413"/>
    <w:rsid w:val="00AC3C52"/>
    <w:rsid w:val="00AC4D81"/>
    <w:rsid w:val="00AC55AB"/>
    <w:rsid w:val="00AC66F1"/>
    <w:rsid w:val="00AD0D2A"/>
    <w:rsid w:val="00AD230D"/>
    <w:rsid w:val="00AE033D"/>
    <w:rsid w:val="00AE0AA6"/>
    <w:rsid w:val="00AE13B8"/>
    <w:rsid w:val="00AE1F9A"/>
    <w:rsid w:val="00AE3AA0"/>
    <w:rsid w:val="00AE4785"/>
    <w:rsid w:val="00AE481E"/>
    <w:rsid w:val="00AE4C49"/>
    <w:rsid w:val="00AF0B78"/>
    <w:rsid w:val="00AF1439"/>
    <w:rsid w:val="00AF2B0B"/>
    <w:rsid w:val="00AF3830"/>
    <w:rsid w:val="00AF3BE6"/>
    <w:rsid w:val="00AF6BA1"/>
    <w:rsid w:val="00AF6ECD"/>
    <w:rsid w:val="00B031A3"/>
    <w:rsid w:val="00B035F9"/>
    <w:rsid w:val="00B0372A"/>
    <w:rsid w:val="00B03FC8"/>
    <w:rsid w:val="00B04926"/>
    <w:rsid w:val="00B055CA"/>
    <w:rsid w:val="00B06467"/>
    <w:rsid w:val="00B06AA2"/>
    <w:rsid w:val="00B06CF6"/>
    <w:rsid w:val="00B06D03"/>
    <w:rsid w:val="00B1492C"/>
    <w:rsid w:val="00B1541C"/>
    <w:rsid w:val="00B171F3"/>
    <w:rsid w:val="00B203A0"/>
    <w:rsid w:val="00B20F7A"/>
    <w:rsid w:val="00B223BC"/>
    <w:rsid w:val="00B2287E"/>
    <w:rsid w:val="00B232DB"/>
    <w:rsid w:val="00B3206A"/>
    <w:rsid w:val="00B334E3"/>
    <w:rsid w:val="00B33667"/>
    <w:rsid w:val="00B3559C"/>
    <w:rsid w:val="00B35BE0"/>
    <w:rsid w:val="00B41335"/>
    <w:rsid w:val="00B43060"/>
    <w:rsid w:val="00B433F6"/>
    <w:rsid w:val="00B441C0"/>
    <w:rsid w:val="00B44D06"/>
    <w:rsid w:val="00B461DD"/>
    <w:rsid w:val="00B46949"/>
    <w:rsid w:val="00B46BDC"/>
    <w:rsid w:val="00B50766"/>
    <w:rsid w:val="00B50A3D"/>
    <w:rsid w:val="00B60434"/>
    <w:rsid w:val="00B6159F"/>
    <w:rsid w:val="00B62543"/>
    <w:rsid w:val="00B627BB"/>
    <w:rsid w:val="00B6370D"/>
    <w:rsid w:val="00B64BA2"/>
    <w:rsid w:val="00B65A83"/>
    <w:rsid w:val="00B66274"/>
    <w:rsid w:val="00B67CAC"/>
    <w:rsid w:val="00B7215A"/>
    <w:rsid w:val="00B73958"/>
    <w:rsid w:val="00B73CE2"/>
    <w:rsid w:val="00B75AC7"/>
    <w:rsid w:val="00B77673"/>
    <w:rsid w:val="00B80A19"/>
    <w:rsid w:val="00B818B9"/>
    <w:rsid w:val="00B81E83"/>
    <w:rsid w:val="00B83262"/>
    <w:rsid w:val="00B83DC0"/>
    <w:rsid w:val="00B85036"/>
    <w:rsid w:val="00B863C1"/>
    <w:rsid w:val="00B86D71"/>
    <w:rsid w:val="00B91EB2"/>
    <w:rsid w:val="00B92119"/>
    <w:rsid w:val="00B93220"/>
    <w:rsid w:val="00B93F73"/>
    <w:rsid w:val="00B96AEC"/>
    <w:rsid w:val="00B97357"/>
    <w:rsid w:val="00B9789D"/>
    <w:rsid w:val="00BA0550"/>
    <w:rsid w:val="00BA1E81"/>
    <w:rsid w:val="00BA41B9"/>
    <w:rsid w:val="00BA6B30"/>
    <w:rsid w:val="00BB0D2B"/>
    <w:rsid w:val="00BB10E0"/>
    <w:rsid w:val="00BB2561"/>
    <w:rsid w:val="00BB3FBD"/>
    <w:rsid w:val="00BB784E"/>
    <w:rsid w:val="00BB7CF5"/>
    <w:rsid w:val="00BB7E4A"/>
    <w:rsid w:val="00BC2E65"/>
    <w:rsid w:val="00BC441C"/>
    <w:rsid w:val="00BC614A"/>
    <w:rsid w:val="00BC6DC5"/>
    <w:rsid w:val="00BC718B"/>
    <w:rsid w:val="00BD0822"/>
    <w:rsid w:val="00BD1F96"/>
    <w:rsid w:val="00BD25B0"/>
    <w:rsid w:val="00BD41DD"/>
    <w:rsid w:val="00BD489D"/>
    <w:rsid w:val="00BD50BD"/>
    <w:rsid w:val="00BD7AC6"/>
    <w:rsid w:val="00BE0938"/>
    <w:rsid w:val="00BE0E4A"/>
    <w:rsid w:val="00BE2225"/>
    <w:rsid w:val="00BE22B5"/>
    <w:rsid w:val="00BE26B6"/>
    <w:rsid w:val="00BE6405"/>
    <w:rsid w:val="00BE6EDB"/>
    <w:rsid w:val="00BF2A8A"/>
    <w:rsid w:val="00BF2E67"/>
    <w:rsid w:val="00BF30F2"/>
    <w:rsid w:val="00BF79EC"/>
    <w:rsid w:val="00C002D7"/>
    <w:rsid w:val="00C0042B"/>
    <w:rsid w:val="00C01FFA"/>
    <w:rsid w:val="00C0584C"/>
    <w:rsid w:val="00C06B07"/>
    <w:rsid w:val="00C07371"/>
    <w:rsid w:val="00C111FF"/>
    <w:rsid w:val="00C1594E"/>
    <w:rsid w:val="00C15968"/>
    <w:rsid w:val="00C20C0E"/>
    <w:rsid w:val="00C220AF"/>
    <w:rsid w:val="00C22CB6"/>
    <w:rsid w:val="00C249B7"/>
    <w:rsid w:val="00C24FAB"/>
    <w:rsid w:val="00C271B5"/>
    <w:rsid w:val="00C27EED"/>
    <w:rsid w:val="00C30A77"/>
    <w:rsid w:val="00C31C53"/>
    <w:rsid w:val="00C34A97"/>
    <w:rsid w:val="00C34AB7"/>
    <w:rsid w:val="00C34E36"/>
    <w:rsid w:val="00C355D6"/>
    <w:rsid w:val="00C357F4"/>
    <w:rsid w:val="00C40EC9"/>
    <w:rsid w:val="00C416E7"/>
    <w:rsid w:val="00C42336"/>
    <w:rsid w:val="00C4274B"/>
    <w:rsid w:val="00C44FEF"/>
    <w:rsid w:val="00C46618"/>
    <w:rsid w:val="00C51346"/>
    <w:rsid w:val="00C52CA3"/>
    <w:rsid w:val="00C52CD3"/>
    <w:rsid w:val="00C605AC"/>
    <w:rsid w:val="00C60A54"/>
    <w:rsid w:val="00C611D8"/>
    <w:rsid w:val="00C63351"/>
    <w:rsid w:val="00C63368"/>
    <w:rsid w:val="00C646F4"/>
    <w:rsid w:val="00C6555C"/>
    <w:rsid w:val="00C658B0"/>
    <w:rsid w:val="00C6714B"/>
    <w:rsid w:val="00C7022C"/>
    <w:rsid w:val="00C71691"/>
    <w:rsid w:val="00C71B15"/>
    <w:rsid w:val="00C72618"/>
    <w:rsid w:val="00C74BD4"/>
    <w:rsid w:val="00C75CE6"/>
    <w:rsid w:val="00C76352"/>
    <w:rsid w:val="00C764E6"/>
    <w:rsid w:val="00C773CC"/>
    <w:rsid w:val="00C77A78"/>
    <w:rsid w:val="00C82B89"/>
    <w:rsid w:val="00C83507"/>
    <w:rsid w:val="00C84819"/>
    <w:rsid w:val="00C85393"/>
    <w:rsid w:val="00C856BF"/>
    <w:rsid w:val="00C864A9"/>
    <w:rsid w:val="00C901EF"/>
    <w:rsid w:val="00C9330D"/>
    <w:rsid w:val="00C934E4"/>
    <w:rsid w:val="00C95DDA"/>
    <w:rsid w:val="00C96079"/>
    <w:rsid w:val="00C97E80"/>
    <w:rsid w:val="00CA0136"/>
    <w:rsid w:val="00CA02BA"/>
    <w:rsid w:val="00CA0ABA"/>
    <w:rsid w:val="00CA121C"/>
    <w:rsid w:val="00CA165E"/>
    <w:rsid w:val="00CA19FB"/>
    <w:rsid w:val="00CA3BC2"/>
    <w:rsid w:val="00CA3D0C"/>
    <w:rsid w:val="00CA60B2"/>
    <w:rsid w:val="00CA6771"/>
    <w:rsid w:val="00CA703D"/>
    <w:rsid w:val="00CA7697"/>
    <w:rsid w:val="00CB0885"/>
    <w:rsid w:val="00CB6CC7"/>
    <w:rsid w:val="00CC067A"/>
    <w:rsid w:val="00CC45BA"/>
    <w:rsid w:val="00CC6026"/>
    <w:rsid w:val="00CD329C"/>
    <w:rsid w:val="00CE0674"/>
    <w:rsid w:val="00CE2864"/>
    <w:rsid w:val="00CE4B23"/>
    <w:rsid w:val="00CE5410"/>
    <w:rsid w:val="00CE59A4"/>
    <w:rsid w:val="00CE5F31"/>
    <w:rsid w:val="00CE682D"/>
    <w:rsid w:val="00CF0588"/>
    <w:rsid w:val="00CF09A8"/>
    <w:rsid w:val="00CF0B7C"/>
    <w:rsid w:val="00CF1677"/>
    <w:rsid w:val="00CF29C2"/>
    <w:rsid w:val="00CF2E4D"/>
    <w:rsid w:val="00CF659A"/>
    <w:rsid w:val="00D00267"/>
    <w:rsid w:val="00D033E0"/>
    <w:rsid w:val="00D06895"/>
    <w:rsid w:val="00D06E44"/>
    <w:rsid w:val="00D07F2D"/>
    <w:rsid w:val="00D12011"/>
    <w:rsid w:val="00D1223A"/>
    <w:rsid w:val="00D12B54"/>
    <w:rsid w:val="00D135D9"/>
    <w:rsid w:val="00D136E5"/>
    <w:rsid w:val="00D1457C"/>
    <w:rsid w:val="00D1505D"/>
    <w:rsid w:val="00D16278"/>
    <w:rsid w:val="00D17E94"/>
    <w:rsid w:val="00D216A6"/>
    <w:rsid w:val="00D21D7A"/>
    <w:rsid w:val="00D222C5"/>
    <w:rsid w:val="00D22A0A"/>
    <w:rsid w:val="00D267DA"/>
    <w:rsid w:val="00D2741C"/>
    <w:rsid w:val="00D27F8D"/>
    <w:rsid w:val="00D30601"/>
    <w:rsid w:val="00D3334D"/>
    <w:rsid w:val="00D3490B"/>
    <w:rsid w:val="00D35A16"/>
    <w:rsid w:val="00D36C08"/>
    <w:rsid w:val="00D413F6"/>
    <w:rsid w:val="00D41738"/>
    <w:rsid w:val="00D43610"/>
    <w:rsid w:val="00D454E1"/>
    <w:rsid w:val="00D46F25"/>
    <w:rsid w:val="00D47653"/>
    <w:rsid w:val="00D506BD"/>
    <w:rsid w:val="00D5520B"/>
    <w:rsid w:val="00D56415"/>
    <w:rsid w:val="00D5673C"/>
    <w:rsid w:val="00D6179E"/>
    <w:rsid w:val="00D61BDD"/>
    <w:rsid w:val="00D6217C"/>
    <w:rsid w:val="00D63204"/>
    <w:rsid w:val="00D636C2"/>
    <w:rsid w:val="00D644F2"/>
    <w:rsid w:val="00D65C39"/>
    <w:rsid w:val="00D66A13"/>
    <w:rsid w:val="00D66C96"/>
    <w:rsid w:val="00D677D1"/>
    <w:rsid w:val="00D70380"/>
    <w:rsid w:val="00D70EDF"/>
    <w:rsid w:val="00D71263"/>
    <w:rsid w:val="00D72B03"/>
    <w:rsid w:val="00D73D86"/>
    <w:rsid w:val="00D76B94"/>
    <w:rsid w:val="00D81382"/>
    <w:rsid w:val="00D81D77"/>
    <w:rsid w:val="00D84E92"/>
    <w:rsid w:val="00D851E0"/>
    <w:rsid w:val="00D86495"/>
    <w:rsid w:val="00D90819"/>
    <w:rsid w:val="00D93BA3"/>
    <w:rsid w:val="00D94860"/>
    <w:rsid w:val="00D94DD6"/>
    <w:rsid w:val="00D95905"/>
    <w:rsid w:val="00D95BF4"/>
    <w:rsid w:val="00D96D90"/>
    <w:rsid w:val="00D97170"/>
    <w:rsid w:val="00DA0DAB"/>
    <w:rsid w:val="00DA3E65"/>
    <w:rsid w:val="00DA3F0E"/>
    <w:rsid w:val="00DA4E7A"/>
    <w:rsid w:val="00DA6C14"/>
    <w:rsid w:val="00DA6E68"/>
    <w:rsid w:val="00DB20A4"/>
    <w:rsid w:val="00DB2379"/>
    <w:rsid w:val="00DB2529"/>
    <w:rsid w:val="00DB2B45"/>
    <w:rsid w:val="00DB3804"/>
    <w:rsid w:val="00DB3BD2"/>
    <w:rsid w:val="00DB6286"/>
    <w:rsid w:val="00DC1A1C"/>
    <w:rsid w:val="00DC1D45"/>
    <w:rsid w:val="00DC420D"/>
    <w:rsid w:val="00DC55B5"/>
    <w:rsid w:val="00DC5F1F"/>
    <w:rsid w:val="00DC6215"/>
    <w:rsid w:val="00DC6310"/>
    <w:rsid w:val="00DC647B"/>
    <w:rsid w:val="00DD12F6"/>
    <w:rsid w:val="00DD183B"/>
    <w:rsid w:val="00DD28BB"/>
    <w:rsid w:val="00DD3A33"/>
    <w:rsid w:val="00DE0538"/>
    <w:rsid w:val="00DE06FC"/>
    <w:rsid w:val="00DE1A00"/>
    <w:rsid w:val="00DE2AED"/>
    <w:rsid w:val="00DE4340"/>
    <w:rsid w:val="00DE4537"/>
    <w:rsid w:val="00DE4DE1"/>
    <w:rsid w:val="00DE7049"/>
    <w:rsid w:val="00DF028F"/>
    <w:rsid w:val="00DF0B19"/>
    <w:rsid w:val="00DF1766"/>
    <w:rsid w:val="00DF2CE1"/>
    <w:rsid w:val="00DF3365"/>
    <w:rsid w:val="00DF3449"/>
    <w:rsid w:val="00DF46E6"/>
    <w:rsid w:val="00DF5378"/>
    <w:rsid w:val="00DF5608"/>
    <w:rsid w:val="00DF6773"/>
    <w:rsid w:val="00DF6F3B"/>
    <w:rsid w:val="00E0241E"/>
    <w:rsid w:val="00E05E73"/>
    <w:rsid w:val="00E068F7"/>
    <w:rsid w:val="00E101B0"/>
    <w:rsid w:val="00E11025"/>
    <w:rsid w:val="00E1416B"/>
    <w:rsid w:val="00E14AEE"/>
    <w:rsid w:val="00E15C3B"/>
    <w:rsid w:val="00E16835"/>
    <w:rsid w:val="00E21890"/>
    <w:rsid w:val="00E3092D"/>
    <w:rsid w:val="00E32BE7"/>
    <w:rsid w:val="00E3376F"/>
    <w:rsid w:val="00E35B94"/>
    <w:rsid w:val="00E43C00"/>
    <w:rsid w:val="00E443D0"/>
    <w:rsid w:val="00E46D3A"/>
    <w:rsid w:val="00E47EDF"/>
    <w:rsid w:val="00E52A55"/>
    <w:rsid w:val="00E55094"/>
    <w:rsid w:val="00E56A2D"/>
    <w:rsid w:val="00E56E25"/>
    <w:rsid w:val="00E60CB6"/>
    <w:rsid w:val="00E614CE"/>
    <w:rsid w:val="00E62278"/>
    <w:rsid w:val="00E62A29"/>
    <w:rsid w:val="00E62E86"/>
    <w:rsid w:val="00E64439"/>
    <w:rsid w:val="00E64512"/>
    <w:rsid w:val="00E66325"/>
    <w:rsid w:val="00E70A90"/>
    <w:rsid w:val="00E7598D"/>
    <w:rsid w:val="00E75BA8"/>
    <w:rsid w:val="00E76CFA"/>
    <w:rsid w:val="00E8054D"/>
    <w:rsid w:val="00E805B1"/>
    <w:rsid w:val="00E8096B"/>
    <w:rsid w:val="00E8135B"/>
    <w:rsid w:val="00E815B3"/>
    <w:rsid w:val="00E81770"/>
    <w:rsid w:val="00E8248E"/>
    <w:rsid w:val="00E83ED6"/>
    <w:rsid w:val="00E84CB5"/>
    <w:rsid w:val="00E84F11"/>
    <w:rsid w:val="00E8657B"/>
    <w:rsid w:val="00E87905"/>
    <w:rsid w:val="00E91F72"/>
    <w:rsid w:val="00E92AFD"/>
    <w:rsid w:val="00EA0529"/>
    <w:rsid w:val="00EA05C3"/>
    <w:rsid w:val="00EA7A40"/>
    <w:rsid w:val="00EB49FA"/>
    <w:rsid w:val="00EB6A16"/>
    <w:rsid w:val="00EB6D22"/>
    <w:rsid w:val="00EC0347"/>
    <w:rsid w:val="00EC18B8"/>
    <w:rsid w:val="00EC2B6C"/>
    <w:rsid w:val="00EC4570"/>
    <w:rsid w:val="00ED0B46"/>
    <w:rsid w:val="00ED21FA"/>
    <w:rsid w:val="00ED3FE2"/>
    <w:rsid w:val="00ED4073"/>
    <w:rsid w:val="00ED4138"/>
    <w:rsid w:val="00ED5D7F"/>
    <w:rsid w:val="00EE02C2"/>
    <w:rsid w:val="00EE15FD"/>
    <w:rsid w:val="00EE1CAA"/>
    <w:rsid w:val="00EE5772"/>
    <w:rsid w:val="00EE5B85"/>
    <w:rsid w:val="00EE5C31"/>
    <w:rsid w:val="00EE6A8B"/>
    <w:rsid w:val="00EF2062"/>
    <w:rsid w:val="00EF3FEB"/>
    <w:rsid w:val="00EF4F13"/>
    <w:rsid w:val="00EF517C"/>
    <w:rsid w:val="00EF5B7B"/>
    <w:rsid w:val="00EF752E"/>
    <w:rsid w:val="00EF77F1"/>
    <w:rsid w:val="00F015B1"/>
    <w:rsid w:val="00F0252E"/>
    <w:rsid w:val="00F035A8"/>
    <w:rsid w:val="00F039BA"/>
    <w:rsid w:val="00F0444D"/>
    <w:rsid w:val="00F05268"/>
    <w:rsid w:val="00F05314"/>
    <w:rsid w:val="00F063EA"/>
    <w:rsid w:val="00F065D0"/>
    <w:rsid w:val="00F102CD"/>
    <w:rsid w:val="00F10F25"/>
    <w:rsid w:val="00F14A4C"/>
    <w:rsid w:val="00F157F1"/>
    <w:rsid w:val="00F15EF8"/>
    <w:rsid w:val="00F15F8B"/>
    <w:rsid w:val="00F169E2"/>
    <w:rsid w:val="00F17B4F"/>
    <w:rsid w:val="00F22730"/>
    <w:rsid w:val="00F2313E"/>
    <w:rsid w:val="00F23C23"/>
    <w:rsid w:val="00F23C85"/>
    <w:rsid w:val="00F23F9A"/>
    <w:rsid w:val="00F26ADE"/>
    <w:rsid w:val="00F30CF1"/>
    <w:rsid w:val="00F311D4"/>
    <w:rsid w:val="00F3166A"/>
    <w:rsid w:val="00F3294E"/>
    <w:rsid w:val="00F33FDE"/>
    <w:rsid w:val="00F347EF"/>
    <w:rsid w:val="00F37C97"/>
    <w:rsid w:val="00F4063E"/>
    <w:rsid w:val="00F40E1D"/>
    <w:rsid w:val="00F41B15"/>
    <w:rsid w:val="00F43905"/>
    <w:rsid w:val="00F45616"/>
    <w:rsid w:val="00F46336"/>
    <w:rsid w:val="00F50931"/>
    <w:rsid w:val="00F5355A"/>
    <w:rsid w:val="00F56091"/>
    <w:rsid w:val="00F56734"/>
    <w:rsid w:val="00F57205"/>
    <w:rsid w:val="00F613A8"/>
    <w:rsid w:val="00F6184A"/>
    <w:rsid w:val="00F632C9"/>
    <w:rsid w:val="00F6525D"/>
    <w:rsid w:val="00F65927"/>
    <w:rsid w:val="00F66A3B"/>
    <w:rsid w:val="00F67F40"/>
    <w:rsid w:val="00F752E9"/>
    <w:rsid w:val="00F75B94"/>
    <w:rsid w:val="00F80554"/>
    <w:rsid w:val="00F831BE"/>
    <w:rsid w:val="00F8445F"/>
    <w:rsid w:val="00F8477B"/>
    <w:rsid w:val="00F85452"/>
    <w:rsid w:val="00F86C1D"/>
    <w:rsid w:val="00F87B32"/>
    <w:rsid w:val="00F903DE"/>
    <w:rsid w:val="00F91A65"/>
    <w:rsid w:val="00F931A1"/>
    <w:rsid w:val="00F95028"/>
    <w:rsid w:val="00F964DB"/>
    <w:rsid w:val="00FA17A1"/>
    <w:rsid w:val="00FA3037"/>
    <w:rsid w:val="00FA4398"/>
    <w:rsid w:val="00FA47C3"/>
    <w:rsid w:val="00FA708D"/>
    <w:rsid w:val="00FA7FC1"/>
    <w:rsid w:val="00FB1E2F"/>
    <w:rsid w:val="00FB3610"/>
    <w:rsid w:val="00FB39F1"/>
    <w:rsid w:val="00FB3A33"/>
    <w:rsid w:val="00FB5579"/>
    <w:rsid w:val="00FB6726"/>
    <w:rsid w:val="00FB7F2B"/>
    <w:rsid w:val="00FC15E6"/>
    <w:rsid w:val="00FC63A5"/>
    <w:rsid w:val="00FC6A86"/>
    <w:rsid w:val="00FC73D0"/>
    <w:rsid w:val="00FD376A"/>
    <w:rsid w:val="00FD3BAA"/>
    <w:rsid w:val="00FD4B9C"/>
    <w:rsid w:val="00FD7EC6"/>
    <w:rsid w:val="00FE0321"/>
    <w:rsid w:val="00FE0D0E"/>
    <w:rsid w:val="00FE1226"/>
    <w:rsid w:val="00FE2DC6"/>
    <w:rsid w:val="00FE4677"/>
    <w:rsid w:val="00FE4F37"/>
    <w:rsid w:val="00FE5446"/>
    <w:rsid w:val="00FE7356"/>
    <w:rsid w:val="00FE7A71"/>
    <w:rsid w:val="00FF223A"/>
    <w:rsid w:val="00FF3571"/>
    <w:rsid w:val="00FF3FDB"/>
    <w:rsid w:val="00FF4BC4"/>
    <w:rsid w:val="00FF4C18"/>
    <w:rsid w:val="00FF6759"/>
    <w:rsid w:val="00FF6C99"/>
    <w:rsid w:val="00FF6E03"/>
    <w:rsid w:val="00FF7E41"/>
    <w:rsid w:val="027F4B5B"/>
    <w:rsid w:val="056C43F7"/>
    <w:rsid w:val="196A231A"/>
    <w:rsid w:val="1E4A229C"/>
    <w:rsid w:val="251263F3"/>
    <w:rsid w:val="26D967DB"/>
    <w:rsid w:val="2E4133CB"/>
    <w:rsid w:val="2F2A2E40"/>
    <w:rsid w:val="319E3C5F"/>
    <w:rsid w:val="36561A70"/>
    <w:rsid w:val="37740EEF"/>
    <w:rsid w:val="3EE247B9"/>
    <w:rsid w:val="3F734B46"/>
    <w:rsid w:val="40583CD3"/>
    <w:rsid w:val="41730BD5"/>
    <w:rsid w:val="42C050A6"/>
    <w:rsid w:val="46B66F1F"/>
    <w:rsid w:val="499806EC"/>
    <w:rsid w:val="4DAE24A9"/>
    <w:rsid w:val="51EA5C9D"/>
    <w:rsid w:val="57183E7D"/>
    <w:rsid w:val="5C8B213C"/>
    <w:rsid w:val="5CA5172E"/>
    <w:rsid w:val="5CAF31F6"/>
    <w:rsid w:val="625E3C61"/>
    <w:rsid w:val="644351D1"/>
    <w:rsid w:val="64766652"/>
    <w:rsid w:val="64D10ABD"/>
    <w:rsid w:val="68AD26BB"/>
    <w:rsid w:val="69AF1F49"/>
    <w:rsid w:val="6D3503DC"/>
    <w:rsid w:val="74216067"/>
    <w:rsid w:val="77270298"/>
    <w:rsid w:val="787E5CAB"/>
    <w:rsid w:val="79310F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82E75F7"/>
  <w15:docId w15:val="{D4C41142-04CB-487D-84F0-91F9509F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Message Header" w:semiHidden="1" w:unhideWhenUsed="1"/>
    <w:lsdException w:name="Subtitle" w:qFormat="1"/>
    <w:lsdException w:name="Salutation" w:semiHidden="1" w:uiPriority="99" w:unhideWhenUsed="1" w:qFormat="1"/>
    <w:lsdException w:name="Date" w:semiHidden="1"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pPr>
      <w:widowControl/>
      <w:jc w:val="left"/>
    </w:pPr>
    <w:rPr>
      <w:rFonts w:ascii="宋体"/>
      <w:kern w:val="0"/>
      <w:sz w:val="18"/>
      <w:szCs w:val="18"/>
    </w:rPr>
  </w:style>
  <w:style w:type="paragraph" w:styleId="a5">
    <w:name w:val="annotation text"/>
    <w:basedOn w:val="a"/>
    <w:link w:val="a6"/>
    <w:qFormat/>
    <w:pPr>
      <w:jc w:val="left"/>
    </w:pPr>
  </w:style>
  <w:style w:type="paragraph" w:styleId="a7">
    <w:name w:val="Salutation"/>
    <w:basedOn w:val="a"/>
    <w:next w:val="a"/>
    <w:link w:val="a8"/>
    <w:uiPriority w:val="99"/>
    <w:qFormat/>
    <w:rPr>
      <w:szCs w:val="21"/>
    </w:rPr>
  </w:style>
  <w:style w:type="paragraph" w:styleId="a9">
    <w:name w:val="Body Text"/>
    <w:basedOn w:val="a"/>
    <w:link w:val="aa"/>
    <w:qFormat/>
    <w:pPr>
      <w:spacing w:after="120"/>
    </w:pPr>
    <w:rPr>
      <w:szCs w:val="24"/>
    </w:rPr>
  </w:style>
  <w:style w:type="paragraph" w:styleId="ab">
    <w:name w:val="Body Text Indent"/>
    <w:basedOn w:val="a"/>
    <w:link w:val="ac"/>
    <w:qFormat/>
    <w:pPr>
      <w:spacing w:line="360" w:lineRule="auto"/>
      <w:ind w:firstLineChars="192" w:firstLine="538"/>
    </w:pPr>
    <w:rPr>
      <w:rFonts w:eastAsia="楷体_GB2312"/>
      <w:sz w:val="28"/>
    </w:rPr>
  </w:style>
  <w:style w:type="paragraph" w:styleId="ad">
    <w:name w:val="Plain Text"/>
    <w:basedOn w:val="a"/>
    <w:link w:val="ae"/>
    <w:unhideWhenUsed/>
    <w:rPr>
      <w:rFonts w:ascii="宋体" w:hAnsi="Courier New" w:cs="Courier New"/>
      <w:szCs w:val="21"/>
    </w:rPr>
  </w:style>
  <w:style w:type="paragraph" w:styleId="af">
    <w:name w:val="Date"/>
    <w:basedOn w:val="a"/>
    <w:next w:val="a"/>
    <w:link w:val="af0"/>
    <w:uiPriority w:val="99"/>
    <w:qFormat/>
    <w:pPr>
      <w:ind w:leftChars="2500" w:left="100"/>
    </w:pPr>
    <w:rPr>
      <w:szCs w:val="24"/>
    </w:rPr>
  </w:style>
  <w:style w:type="paragraph" w:styleId="21">
    <w:name w:val="Body Text Indent 2"/>
    <w:basedOn w:val="a"/>
    <w:link w:val="22"/>
    <w:uiPriority w:val="99"/>
    <w:qFormat/>
    <w:pPr>
      <w:spacing w:after="120" w:line="480" w:lineRule="auto"/>
      <w:ind w:leftChars="200" w:left="420"/>
    </w:pPr>
  </w:style>
  <w:style w:type="paragraph" w:styleId="af1">
    <w:name w:val="Balloon Text"/>
    <w:basedOn w:val="a"/>
    <w:link w:val="af2"/>
    <w:qFormat/>
    <w:rPr>
      <w:sz w:val="18"/>
      <w:szCs w:val="18"/>
    </w:rPr>
  </w:style>
  <w:style w:type="paragraph" w:styleId="af3">
    <w:name w:val="footer"/>
    <w:basedOn w:val="a"/>
    <w:link w:val="af4"/>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style>
  <w:style w:type="paragraph" w:styleId="af7">
    <w:name w:val="footnote text"/>
    <w:basedOn w:val="a"/>
    <w:link w:val="af8"/>
    <w:qFormat/>
    <w:pPr>
      <w:snapToGrid w:val="0"/>
      <w:jc w:val="left"/>
    </w:pPr>
    <w:rPr>
      <w:sz w:val="18"/>
      <w:szCs w:val="18"/>
      <w:lang w:val="zh-CN"/>
    </w:rPr>
  </w:style>
  <w:style w:type="paragraph" w:styleId="af9">
    <w:name w:val="annotation subject"/>
    <w:basedOn w:val="a5"/>
    <w:next w:val="a5"/>
    <w:link w:val="afa"/>
    <w:qFormat/>
    <w:rPr>
      <w:b/>
      <w:bCs/>
    </w:rPr>
  </w:style>
  <w:style w:type="table" w:styleId="af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0"/>
    <w:qFormat/>
  </w:style>
  <w:style w:type="character" w:styleId="afd">
    <w:name w:val="Emphasis"/>
    <w:uiPriority w:val="20"/>
    <w:qFormat/>
  </w:style>
  <w:style w:type="character" w:styleId="afe">
    <w:name w:val="Hyperlink"/>
    <w:qFormat/>
    <w:rPr>
      <w:color w:val="0000FF"/>
      <w:u w:val="single"/>
    </w:rPr>
  </w:style>
  <w:style w:type="character" w:styleId="aff">
    <w:name w:val="annotation reference"/>
    <w:qFormat/>
    <w:rPr>
      <w:sz w:val="21"/>
      <w:szCs w:val="21"/>
    </w:rPr>
  </w:style>
  <w:style w:type="character" w:styleId="aff0">
    <w:name w:val="footnote reference"/>
    <w:qFormat/>
    <w:rPr>
      <w:vertAlign w:val="superscript"/>
    </w:rPr>
  </w:style>
  <w:style w:type="character" w:customStyle="1" w:styleId="10">
    <w:name w:val="标题 1 字符"/>
    <w:link w:val="1"/>
    <w:qFormat/>
    <w:rPr>
      <w:b/>
      <w:bCs/>
      <w:kern w:val="44"/>
      <w:sz w:val="44"/>
      <w:szCs w:val="44"/>
    </w:rPr>
  </w:style>
  <w:style w:type="character" w:customStyle="1" w:styleId="20">
    <w:name w:val="标题 2 字符"/>
    <w:basedOn w:val="a0"/>
    <w:link w:val="2"/>
    <w:uiPriority w:val="9"/>
    <w:qFormat/>
    <w:rPr>
      <w:rFonts w:ascii="Cambria" w:hAnsi="Cambria"/>
      <w:b/>
      <w:bCs/>
      <w:kern w:val="2"/>
      <w:sz w:val="32"/>
      <w:szCs w:val="32"/>
    </w:rPr>
  </w:style>
  <w:style w:type="character" w:customStyle="1" w:styleId="ac">
    <w:name w:val="正文文本缩进 字符"/>
    <w:link w:val="ab"/>
    <w:qFormat/>
    <w:rPr>
      <w:rFonts w:eastAsia="楷体_GB2312"/>
      <w:kern w:val="2"/>
      <w:sz w:val="28"/>
    </w:rPr>
  </w:style>
  <w:style w:type="character" w:customStyle="1" w:styleId="aa">
    <w:name w:val="正文文本 字符"/>
    <w:link w:val="a9"/>
    <w:qFormat/>
    <w:rPr>
      <w:rFonts w:eastAsia="宋体"/>
      <w:kern w:val="2"/>
      <w:sz w:val="21"/>
      <w:szCs w:val="24"/>
      <w:lang w:val="en-US" w:eastAsia="zh-CN" w:bidi="ar-SA"/>
    </w:rPr>
  </w:style>
  <w:style w:type="paragraph" w:customStyle="1" w:styleId="aff1">
    <w:name w:val="样式"/>
    <w:qFormat/>
    <w:pPr>
      <w:widowControl w:val="0"/>
      <w:autoSpaceDE w:val="0"/>
      <w:autoSpaceDN w:val="0"/>
      <w:adjustRightInd w:val="0"/>
    </w:pPr>
    <w:rPr>
      <w:rFonts w:ascii="Times New Roman" w:hAnsi="Times New Roman"/>
      <w:sz w:val="24"/>
      <w:szCs w:val="24"/>
    </w:rPr>
  </w:style>
  <w:style w:type="character" w:customStyle="1" w:styleId="22">
    <w:name w:val="正文文本缩进 2 字符"/>
    <w:link w:val="21"/>
    <w:uiPriority w:val="99"/>
    <w:qFormat/>
    <w:rPr>
      <w:kern w:val="2"/>
      <w:sz w:val="21"/>
    </w:rPr>
  </w:style>
  <w:style w:type="character" w:customStyle="1" w:styleId="af6">
    <w:name w:val="页眉 字符"/>
    <w:link w:val="af5"/>
    <w:uiPriority w:val="99"/>
    <w:qFormat/>
    <w:rPr>
      <w:kern w:val="2"/>
      <w:sz w:val="18"/>
      <w:szCs w:val="18"/>
    </w:rPr>
  </w:style>
  <w:style w:type="character" w:customStyle="1" w:styleId="af4">
    <w:name w:val="页脚 字符"/>
    <w:basedOn w:val="a0"/>
    <w:link w:val="af3"/>
    <w:qFormat/>
    <w:rPr>
      <w:kern w:val="2"/>
      <w:sz w:val="18"/>
      <w:szCs w:val="18"/>
    </w:rPr>
  </w:style>
  <w:style w:type="paragraph" w:customStyle="1" w:styleId="Char">
    <w:name w:val="Char"/>
    <w:basedOn w:val="a"/>
    <w:qFormat/>
    <w:pPr>
      <w:widowControl/>
      <w:spacing w:after="160" w:line="240" w:lineRule="exact"/>
      <w:jc w:val="left"/>
    </w:pPr>
  </w:style>
  <w:style w:type="character" w:customStyle="1" w:styleId="a6">
    <w:name w:val="批注文字 字符"/>
    <w:link w:val="a5"/>
    <w:qFormat/>
    <w:rPr>
      <w:kern w:val="2"/>
      <w:sz w:val="21"/>
    </w:rPr>
  </w:style>
  <w:style w:type="character" w:customStyle="1" w:styleId="afa">
    <w:name w:val="批注主题 字符"/>
    <w:link w:val="af9"/>
    <w:qFormat/>
    <w:rPr>
      <w:b/>
      <w:bCs/>
      <w:kern w:val="2"/>
      <w:sz w:val="21"/>
    </w:rPr>
  </w:style>
  <w:style w:type="character" w:customStyle="1" w:styleId="af2">
    <w:name w:val="批注框文本 字符"/>
    <w:link w:val="af1"/>
    <w:qFormat/>
    <w:rPr>
      <w:kern w:val="2"/>
      <w:sz w:val="18"/>
      <w:szCs w:val="18"/>
    </w:rPr>
  </w:style>
  <w:style w:type="paragraph" w:styleId="aff2">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character" w:customStyle="1" w:styleId="a8">
    <w:name w:val="称呼 字符"/>
    <w:basedOn w:val="a0"/>
    <w:link w:val="a7"/>
    <w:uiPriority w:val="99"/>
    <w:qFormat/>
    <w:rPr>
      <w:kern w:val="2"/>
      <w:sz w:val="21"/>
      <w:szCs w:val="21"/>
    </w:rPr>
  </w:style>
  <w:style w:type="character" w:customStyle="1" w:styleId="a4">
    <w:name w:val="文档结构图 字符"/>
    <w:link w:val="a3"/>
    <w:uiPriority w:val="99"/>
    <w:qFormat/>
    <w:rPr>
      <w:rFonts w:ascii="宋体"/>
      <w:sz w:val="18"/>
      <w:szCs w:val="18"/>
    </w:rPr>
  </w:style>
  <w:style w:type="character" w:customStyle="1" w:styleId="Char1">
    <w:name w:val="文档结构图 Char1"/>
    <w:basedOn w:val="a0"/>
    <w:semiHidden/>
    <w:qFormat/>
    <w:rPr>
      <w:rFonts w:ascii="Microsoft YaHei UI" w:eastAsia="Microsoft YaHei UI"/>
      <w:kern w:val="2"/>
      <w:sz w:val="18"/>
      <w:szCs w:val="18"/>
    </w:rPr>
  </w:style>
  <w:style w:type="paragraph" w:styleId="aff3">
    <w:name w:val="No Spacing"/>
    <w:uiPriority w:val="1"/>
    <w:qFormat/>
    <w:pPr>
      <w:widowControl w:val="0"/>
      <w:jc w:val="both"/>
    </w:pPr>
    <w:rPr>
      <w:rFonts w:ascii="Times New Roman" w:hAnsi="Times New Roman"/>
      <w:kern w:val="2"/>
      <w:sz w:val="21"/>
      <w:szCs w:val="22"/>
    </w:rPr>
  </w:style>
  <w:style w:type="character" w:customStyle="1" w:styleId="af8">
    <w:name w:val="脚注文本 字符"/>
    <w:basedOn w:val="a0"/>
    <w:link w:val="af7"/>
    <w:qFormat/>
    <w:rPr>
      <w:kern w:val="2"/>
      <w:sz w:val="18"/>
      <w:szCs w:val="18"/>
      <w:lang w:val="zh-CN" w:eastAsia="zh-CN"/>
    </w:rPr>
  </w:style>
  <w:style w:type="character" w:customStyle="1" w:styleId="Char0">
    <w:name w:val="附注三级 Char"/>
    <w:link w:val="aff4"/>
    <w:qFormat/>
    <w:locked/>
    <w:rPr>
      <w:rFonts w:ascii="宋体" w:hAnsi="宋体" w:cs="宋体"/>
      <w:b/>
      <w:bCs/>
      <w:kern w:val="2"/>
      <w:sz w:val="21"/>
      <w:szCs w:val="21"/>
    </w:rPr>
  </w:style>
  <w:style w:type="paragraph" w:customStyle="1" w:styleId="aff4">
    <w:name w:val="附注三级"/>
    <w:basedOn w:val="a"/>
    <w:link w:val="Char0"/>
    <w:qFormat/>
    <w:pPr>
      <w:tabs>
        <w:tab w:val="left" w:pos="1273"/>
      </w:tabs>
      <w:adjustRightInd w:val="0"/>
      <w:snapToGrid w:val="0"/>
      <w:spacing w:line="400" w:lineRule="atLeast"/>
      <w:ind w:leftChars="342" w:left="1256" w:hangingChars="255" w:hanging="538"/>
    </w:pPr>
    <w:rPr>
      <w:rFonts w:ascii="宋体" w:hAnsi="宋体" w:cs="宋体"/>
      <w:b/>
      <w:bCs/>
      <w:szCs w:val="21"/>
    </w:rPr>
  </w:style>
  <w:style w:type="character" w:customStyle="1" w:styleId="Char2">
    <w:name w:val="附注二级正文 Char"/>
    <w:link w:val="aff5"/>
    <w:uiPriority w:val="99"/>
    <w:qFormat/>
    <w:locked/>
    <w:rPr>
      <w:rFonts w:ascii="宋体" w:hAnsi="宋体" w:cs="宋体"/>
      <w:kern w:val="2"/>
      <w:sz w:val="21"/>
      <w:szCs w:val="21"/>
    </w:rPr>
  </w:style>
  <w:style w:type="paragraph" w:customStyle="1" w:styleId="aff5">
    <w:name w:val="附注二级正文"/>
    <w:basedOn w:val="a"/>
    <w:link w:val="Char2"/>
    <w:uiPriority w:val="99"/>
    <w:qFormat/>
    <w:pPr>
      <w:adjustRightInd w:val="0"/>
      <w:snapToGrid w:val="0"/>
      <w:spacing w:line="400" w:lineRule="atLeast"/>
      <w:ind w:leftChars="342" w:left="718"/>
    </w:pPr>
    <w:rPr>
      <w:rFonts w:ascii="宋体" w:hAnsi="宋体" w:cs="宋体"/>
      <w:szCs w:val="21"/>
    </w:rPr>
  </w:style>
  <w:style w:type="paragraph" w:customStyle="1" w:styleId="11">
    <w:name w:val="列出段落1"/>
    <w:basedOn w:val="a"/>
    <w:uiPriority w:val="99"/>
    <w:qFormat/>
    <w:pPr>
      <w:ind w:firstLineChars="200" w:firstLine="420"/>
    </w:pPr>
  </w:style>
  <w:style w:type="paragraph" w:customStyle="1" w:styleId="aff6">
    <w:name w:val="附注二级"/>
    <w:basedOn w:val="a"/>
    <w:link w:val="Char3"/>
    <w:qFormat/>
    <w:pPr>
      <w:tabs>
        <w:tab w:val="left" w:pos="714"/>
      </w:tabs>
      <w:adjustRightInd w:val="0"/>
      <w:snapToGrid w:val="0"/>
      <w:spacing w:line="400" w:lineRule="atLeast"/>
      <w:outlineLvl w:val="0"/>
    </w:pPr>
    <w:rPr>
      <w:rFonts w:ascii="宋体" w:hAnsi="宋体"/>
      <w:b/>
      <w:lang w:val="zh-CN"/>
    </w:rPr>
  </w:style>
  <w:style w:type="character" w:customStyle="1" w:styleId="Char3">
    <w:name w:val="附注二级 Char"/>
    <w:link w:val="aff6"/>
    <w:qFormat/>
    <w:locked/>
    <w:rPr>
      <w:rFonts w:ascii="宋体" w:hAnsi="宋体"/>
      <w:b/>
      <w:kern w:val="2"/>
      <w:sz w:val="21"/>
      <w:lang w:val="zh-CN" w:eastAsia="zh-CN"/>
    </w:rPr>
  </w:style>
  <w:style w:type="character" w:customStyle="1" w:styleId="af0">
    <w:name w:val="日期 字符"/>
    <w:basedOn w:val="a0"/>
    <w:link w:val="af"/>
    <w:uiPriority w:val="99"/>
    <w:qFormat/>
    <w:rPr>
      <w:kern w:val="2"/>
      <w:sz w:val="21"/>
      <w:szCs w:val="24"/>
    </w:rPr>
  </w:style>
  <w:style w:type="paragraph" w:customStyle="1" w:styleId="aff7">
    <w:name w:val="附注一级"/>
    <w:basedOn w:val="a"/>
    <w:link w:val="Char4"/>
    <w:qFormat/>
    <w:pPr>
      <w:tabs>
        <w:tab w:val="left" w:pos="714"/>
      </w:tabs>
      <w:adjustRightInd w:val="0"/>
      <w:snapToGrid w:val="0"/>
      <w:spacing w:line="400" w:lineRule="atLeast"/>
      <w:outlineLvl w:val="0"/>
    </w:pPr>
    <w:rPr>
      <w:rFonts w:ascii="宋体" w:hAnsi="宋体"/>
      <w:b/>
      <w:szCs w:val="21"/>
      <w:lang w:val="zh-CN"/>
    </w:rPr>
  </w:style>
  <w:style w:type="character" w:customStyle="1" w:styleId="Char4">
    <w:name w:val="附注一级 Char"/>
    <w:link w:val="aff7"/>
    <w:qFormat/>
    <w:rPr>
      <w:rFonts w:ascii="宋体" w:hAnsi="宋体"/>
      <w:b/>
      <w:kern w:val="2"/>
      <w:sz w:val="21"/>
      <w:szCs w:val="21"/>
      <w:lang w:val="zh-CN" w:eastAsia="zh-CN"/>
    </w:rPr>
  </w:style>
  <w:style w:type="paragraph" w:customStyle="1" w:styleId="110">
    <w:name w:val="列出段落11"/>
    <w:basedOn w:val="a"/>
    <w:qFormat/>
    <w:pPr>
      <w:ind w:firstLineChars="200" w:firstLine="420"/>
    </w:pPr>
    <w:rPr>
      <w:rFonts w:ascii="Calibri" w:hAnsi="Calibri"/>
      <w:szCs w:val="21"/>
    </w:rPr>
  </w:style>
  <w:style w:type="character" w:customStyle="1" w:styleId="ae">
    <w:name w:val="纯文本 字符"/>
    <w:basedOn w:val="a0"/>
    <w:link w:val="ad"/>
    <w:qFormat/>
    <w:rPr>
      <w:rFonts w:ascii="宋体" w:hAnsi="Courier New" w:cs="Courier New"/>
      <w:kern w:val="2"/>
      <w:sz w:val="21"/>
      <w:szCs w:val="21"/>
    </w:rPr>
  </w:style>
  <w:style w:type="character" w:customStyle="1" w:styleId="Char5">
    <w:name w:val="文字 Char"/>
    <w:link w:val="aff8"/>
    <w:qFormat/>
    <w:rPr>
      <w:kern w:val="2"/>
      <w:sz w:val="24"/>
      <w:szCs w:val="24"/>
    </w:rPr>
  </w:style>
  <w:style w:type="paragraph" w:customStyle="1" w:styleId="aff8">
    <w:name w:val="文字"/>
    <w:basedOn w:val="a"/>
    <w:link w:val="Char5"/>
    <w:qFormat/>
    <w:pPr>
      <w:spacing w:beforeLines="50" w:afterLines="50" w:line="360" w:lineRule="auto"/>
      <w:ind w:firstLineChars="200" w:firstLine="200"/>
    </w:pPr>
    <w:rPr>
      <w:sz w:val="24"/>
      <w:szCs w:val="24"/>
    </w:rPr>
  </w:style>
  <w:style w:type="character" w:customStyle="1" w:styleId="font41">
    <w:name w:val="font41"/>
    <w:qFormat/>
    <w:rPr>
      <w:rFonts w:ascii="宋体" w:eastAsia="宋体" w:hAnsi="宋体" w:cs="宋体" w:hint="eastAsia"/>
      <w:color w:val="000000"/>
      <w:sz w:val="20"/>
      <w:szCs w:val="20"/>
      <w:u w:val="none"/>
    </w:rPr>
  </w:style>
  <w:style w:type="character" w:customStyle="1" w:styleId="font31">
    <w:name w:val="font31"/>
    <w:qFormat/>
    <w:rPr>
      <w:rFonts w:ascii="宋体" w:eastAsia="宋体" w:hAnsi="宋体" w:cs="宋体" w:hint="eastAsia"/>
      <w:color w:val="FF0000"/>
      <w:sz w:val="20"/>
      <w:szCs w:val="20"/>
      <w:u w:val="none"/>
    </w:rPr>
  </w:style>
  <w:style w:type="character" w:customStyle="1" w:styleId="font11">
    <w:name w:val="font11"/>
    <w:qFormat/>
    <w:rPr>
      <w:rFonts w:ascii="Calibri" w:hAnsi="Calibri" w:cs="Calibri"/>
      <w:color w:val="000000"/>
      <w:sz w:val="20"/>
      <w:szCs w:val="20"/>
      <w:u w:val="none"/>
    </w:rPr>
  </w:style>
  <w:style w:type="character" w:customStyle="1" w:styleId="font21">
    <w:name w:val="font21"/>
    <w:qFormat/>
    <w:rPr>
      <w:rFonts w:ascii="Times New Roman" w:hAnsi="Times New Roman" w:cs="Times New Roman" w:hint="default"/>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12">
    <w:name w:val="书籍标题1"/>
    <w:basedOn w:val="a0"/>
    <w:uiPriority w:val="33"/>
    <w:qFormat/>
    <w:rPr>
      <w:b/>
      <w:bCs/>
      <w:i/>
      <w:iCs/>
      <w:spacing w:val="5"/>
    </w:rPr>
  </w:style>
  <w:style w:type="paragraph" w:customStyle="1" w:styleId="aff9">
    <w:name w:val="二级标题"/>
    <w:basedOn w:val="aff8"/>
    <w:link w:val="affa"/>
    <w:qFormat/>
    <w:pPr>
      <w:adjustRightInd w:val="0"/>
      <w:snapToGrid w:val="0"/>
      <w:spacing w:before="50" w:after="50"/>
      <w:outlineLvl w:val="0"/>
    </w:pPr>
    <w:rPr>
      <w:rFonts w:eastAsia="黑体"/>
      <w:b/>
      <w:sz w:val="30"/>
    </w:rPr>
  </w:style>
  <w:style w:type="paragraph" w:customStyle="1" w:styleId="13">
    <w:name w:val="样式1"/>
    <w:basedOn w:val="aff9"/>
    <w:link w:val="14"/>
    <w:qFormat/>
    <w:pPr>
      <w:spacing w:before="156" w:after="156"/>
      <w:ind w:firstLine="602"/>
    </w:pPr>
    <w:rPr>
      <w:sz w:val="28"/>
    </w:rPr>
  </w:style>
  <w:style w:type="character" w:customStyle="1" w:styleId="affa">
    <w:name w:val="二级标题 字符"/>
    <w:basedOn w:val="Char5"/>
    <w:link w:val="aff9"/>
    <w:qFormat/>
    <w:rPr>
      <w:rFonts w:ascii="Times New Roman" w:eastAsia="黑体" w:hAnsi="Times New Roman" w:cs="Times New Roman"/>
      <w:b/>
      <w:kern w:val="2"/>
      <w:sz w:val="30"/>
      <w:szCs w:val="24"/>
    </w:rPr>
  </w:style>
  <w:style w:type="paragraph" w:customStyle="1" w:styleId="23">
    <w:name w:val="样式2"/>
    <w:basedOn w:val="2"/>
    <w:link w:val="24"/>
    <w:qFormat/>
    <w:pPr>
      <w:topLinePunct/>
      <w:adjustRightInd w:val="0"/>
      <w:snapToGrid w:val="0"/>
      <w:spacing w:beforeLines="50" w:before="50" w:afterLines="50" w:after="50" w:line="360" w:lineRule="auto"/>
      <w:ind w:firstLineChars="200" w:firstLine="200"/>
      <w:outlineLvl w:val="9"/>
    </w:pPr>
    <w:rPr>
      <w:sz w:val="24"/>
    </w:rPr>
  </w:style>
  <w:style w:type="character" w:customStyle="1" w:styleId="14">
    <w:name w:val="样式1 字符"/>
    <w:basedOn w:val="affa"/>
    <w:link w:val="13"/>
    <w:qFormat/>
    <w:rPr>
      <w:rFonts w:ascii="Times New Roman" w:eastAsia="黑体" w:hAnsi="Times New Roman" w:cs="Times New Roman"/>
      <w:b/>
      <w:kern w:val="2"/>
      <w:sz w:val="28"/>
      <w:szCs w:val="24"/>
    </w:rPr>
  </w:style>
  <w:style w:type="paragraph" w:customStyle="1" w:styleId="3">
    <w:name w:val="样式3"/>
    <w:basedOn w:val="aff8"/>
    <w:link w:val="30"/>
    <w:qFormat/>
    <w:pPr>
      <w:adjustRightInd w:val="0"/>
      <w:snapToGrid w:val="0"/>
      <w:spacing w:before="50" w:after="50"/>
    </w:pPr>
  </w:style>
  <w:style w:type="character" w:customStyle="1" w:styleId="24">
    <w:name w:val="样式2 字符"/>
    <w:basedOn w:val="20"/>
    <w:link w:val="23"/>
    <w:qFormat/>
    <w:rPr>
      <w:rFonts w:ascii="Cambria" w:eastAsia="宋体" w:hAnsi="Cambria" w:cs="Times New Roman"/>
      <w:b/>
      <w:bCs/>
      <w:kern w:val="2"/>
      <w:sz w:val="24"/>
      <w:szCs w:val="32"/>
    </w:rPr>
  </w:style>
  <w:style w:type="character" w:customStyle="1" w:styleId="30">
    <w:name w:val="样式3 字符"/>
    <w:basedOn w:val="Char5"/>
    <w:link w:val="3"/>
    <w:qFormat/>
    <w:rPr>
      <w:rFonts w:ascii="Times New Roman" w:eastAsia="宋体" w:hAnsi="Times New Roman" w:cs="Times New Roman"/>
      <w:kern w:val="2"/>
      <w:sz w:val="24"/>
      <w:szCs w:val="24"/>
    </w:rPr>
  </w:style>
  <w:style w:type="paragraph" w:customStyle="1" w:styleId="15">
    <w:name w:val="修订1"/>
    <w:hidden/>
    <w:uiPriority w:val="99"/>
    <w:semiHidden/>
    <w:qFormat/>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F9C2A-1362-4797-9071-6A938FE0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1020</Words>
  <Characters>5819</Characters>
  <Application>Microsoft Office Word</Application>
  <DocSecurity>0</DocSecurity>
  <Lines>48</Lines>
  <Paragraphs>13</Paragraphs>
  <ScaleCrop>false</ScaleCrop>
  <Company>微软中国</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马凯</dc:creator>
  <cp:lastModifiedBy>林玲</cp:lastModifiedBy>
  <cp:revision>5</cp:revision>
  <cp:lastPrinted>2018-10-26T02:37:00Z</cp:lastPrinted>
  <dcterms:created xsi:type="dcterms:W3CDTF">2020-07-20T03:10:00Z</dcterms:created>
  <dcterms:modified xsi:type="dcterms:W3CDTF">2020-07-20T09:19:00Z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