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E4" w:rsidRDefault="000A60E4" w:rsidP="000A60E4">
      <w:pPr>
        <w:adjustRightInd w:val="0"/>
        <w:snapToGrid w:val="0"/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0A60E4">
        <w:rPr>
          <w:rFonts w:ascii="黑体" w:eastAsia="黑体" w:hAnsi="黑体" w:hint="eastAsia"/>
          <w:sz w:val="32"/>
          <w:szCs w:val="32"/>
        </w:rPr>
        <w:t>国元证券股份有限公司</w:t>
      </w:r>
    </w:p>
    <w:p w:rsidR="000A60E4" w:rsidRPr="000A60E4" w:rsidRDefault="000A60E4" w:rsidP="000A60E4">
      <w:pPr>
        <w:adjustRightInd w:val="0"/>
        <w:snapToGrid w:val="0"/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0A60E4">
        <w:rPr>
          <w:rFonts w:ascii="黑体" w:eastAsia="黑体" w:hAnsi="黑体" w:hint="eastAsia"/>
          <w:sz w:val="32"/>
          <w:szCs w:val="32"/>
        </w:rPr>
        <w:t>关于</w:t>
      </w:r>
      <w:r>
        <w:rPr>
          <w:rFonts w:ascii="黑体" w:eastAsia="黑体" w:hAnsi="黑体" w:hint="eastAsia"/>
          <w:sz w:val="32"/>
          <w:szCs w:val="32"/>
        </w:rPr>
        <w:t>安徽省交通建设</w:t>
      </w:r>
      <w:r w:rsidRPr="000A60E4">
        <w:rPr>
          <w:rFonts w:ascii="黑体" w:eastAsia="黑体" w:hAnsi="黑体" w:hint="eastAsia"/>
          <w:sz w:val="32"/>
          <w:szCs w:val="32"/>
        </w:rPr>
        <w:t>股份有限公司</w:t>
      </w:r>
    </w:p>
    <w:p w:rsidR="000A60E4" w:rsidRPr="000A60E4" w:rsidRDefault="000A148A" w:rsidP="000A60E4">
      <w:pPr>
        <w:adjustRightInd w:val="0"/>
        <w:snapToGrid w:val="0"/>
        <w:spacing w:line="36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变更募集资金投资项目</w:t>
      </w:r>
      <w:r w:rsidR="00B27A44">
        <w:rPr>
          <w:rFonts w:ascii="黑体" w:eastAsia="黑体" w:hAnsi="黑体" w:hint="eastAsia"/>
          <w:sz w:val="32"/>
          <w:szCs w:val="32"/>
        </w:rPr>
        <w:t>“</w:t>
      </w:r>
      <w:r>
        <w:rPr>
          <w:rFonts w:ascii="黑体" w:eastAsia="黑体" w:hAnsi="黑体" w:hint="eastAsia"/>
          <w:sz w:val="32"/>
          <w:szCs w:val="32"/>
        </w:rPr>
        <w:t>购置施工机械设备项目</w:t>
      </w:r>
      <w:r w:rsidR="00B27A44">
        <w:rPr>
          <w:rFonts w:ascii="黑体" w:eastAsia="黑体" w:hAnsi="黑体" w:hint="eastAsia"/>
          <w:sz w:val="32"/>
          <w:szCs w:val="32"/>
        </w:rPr>
        <w:t>”</w:t>
      </w:r>
      <w:r>
        <w:rPr>
          <w:rFonts w:ascii="黑体" w:eastAsia="黑体" w:hAnsi="黑体" w:hint="eastAsia"/>
          <w:sz w:val="32"/>
          <w:szCs w:val="32"/>
        </w:rPr>
        <w:t>部分购置设备</w:t>
      </w:r>
      <w:r w:rsidR="000A60E4" w:rsidRPr="000A60E4">
        <w:rPr>
          <w:rFonts w:ascii="黑体" w:eastAsia="黑体" w:hAnsi="黑体" w:hint="eastAsia"/>
          <w:sz w:val="32"/>
          <w:szCs w:val="32"/>
        </w:rPr>
        <w:t>的核查意见</w:t>
      </w:r>
    </w:p>
    <w:p w:rsidR="000A60E4" w:rsidRPr="000B6AAC" w:rsidRDefault="000A60E4" w:rsidP="000A60E4">
      <w:pPr>
        <w:adjustRightInd w:val="0"/>
        <w:snapToGrid w:val="0"/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0A60E4" w:rsidRPr="002E3211" w:rsidRDefault="000A60E4" w:rsidP="000A60E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0B6AAC">
        <w:rPr>
          <w:rFonts w:asciiTheme="minorEastAsia" w:eastAsiaTheme="minorEastAsia" w:hAnsiTheme="minorEastAsia" w:hint="eastAsia"/>
          <w:sz w:val="24"/>
          <w:szCs w:val="24"/>
        </w:rPr>
        <w:t>国元证券股份有限公司（以下简称“国元证券”、“保荐机构”）作为安徽省交通建设股份有限公司（以下简称“交建股份”或“公司”）首次公开发行股票并上市的保荐机构，根据《证券发行上市保荐业务管理办法》、《上市公司监管指引第2号——上市公司募集资金管理和使用的监管要求》、《上海证券交易所股票上市规则》、《上海证券交易所上市公司募集</w:t>
      </w:r>
      <w:r w:rsidRPr="002E3211">
        <w:rPr>
          <w:rFonts w:asciiTheme="minorEastAsia" w:eastAsiaTheme="minorEastAsia" w:hAnsiTheme="minorEastAsia" w:hint="eastAsia"/>
          <w:sz w:val="24"/>
          <w:szCs w:val="24"/>
        </w:rPr>
        <w:t>资金管理办法（2013年修订）》等有关规定，就交建股份第</w:t>
      </w:r>
      <w:r w:rsidR="000A148A" w:rsidRPr="002E3211">
        <w:rPr>
          <w:rFonts w:asciiTheme="minorEastAsia" w:eastAsiaTheme="minorEastAsia" w:hAnsiTheme="minorEastAsia" w:hint="eastAsia"/>
          <w:sz w:val="24"/>
          <w:szCs w:val="24"/>
        </w:rPr>
        <w:t>二届董事会第</w:t>
      </w:r>
      <w:r w:rsidRPr="002E3211">
        <w:rPr>
          <w:rFonts w:asciiTheme="minorEastAsia" w:eastAsiaTheme="minorEastAsia" w:hAnsiTheme="minorEastAsia" w:hint="eastAsia"/>
          <w:sz w:val="24"/>
          <w:szCs w:val="24"/>
        </w:rPr>
        <w:t>三次会议审议的关于</w:t>
      </w:r>
      <w:r w:rsidR="00C37EA0" w:rsidRPr="002E3211">
        <w:rPr>
          <w:rFonts w:asciiTheme="minorEastAsia" w:eastAsiaTheme="minorEastAsia" w:hAnsiTheme="minorEastAsia" w:hint="eastAsia"/>
          <w:sz w:val="24"/>
          <w:szCs w:val="24"/>
        </w:rPr>
        <w:t>变更募集资金投资项目</w:t>
      </w:r>
      <w:r w:rsidR="0058584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C37EA0" w:rsidRPr="002E3211">
        <w:rPr>
          <w:rFonts w:asciiTheme="minorEastAsia" w:eastAsiaTheme="minorEastAsia" w:hAnsiTheme="minorEastAsia" w:hint="eastAsia"/>
          <w:sz w:val="24"/>
          <w:szCs w:val="24"/>
        </w:rPr>
        <w:t>购置施工机械设备项目</w:t>
      </w:r>
      <w:r w:rsidR="00585849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C37EA0" w:rsidRPr="002E3211">
        <w:rPr>
          <w:rFonts w:asciiTheme="minorEastAsia" w:eastAsiaTheme="minorEastAsia" w:hAnsiTheme="minorEastAsia" w:hint="eastAsia"/>
          <w:sz w:val="24"/>
          <w:szCs w:val="24"/>
        </w:rPr>
        <w:t>部分购置设备</w:t>
      </w:r>
      <w:r w:rsidRPr="002E3211">
        <w:rPr>
          <w:rFonts w:asciiTheme="minorEastAsia" w:eastAsiaTheme="minorEastAsia" w:hAnsiTheme="minorEastAsia" w:hint="eastAsia"/>
          <w:sz w:val="24"/>
          <w:szCs w:val="24"/>
        </w:rPr>
        <w:t>事项进行了核查，具体如下：</w:t>
      </w:r>
    </w:p>
    <w:p w:rsidR="000A60E4" w:rsidRPr="000B6AAC" w:rsidRDefault="000A60E4" w:rsidP="00585849">
      <w:pPr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2E3211">
        <w:rPr>
          <w:rFonts w:asciiTheme="minorEastAsia" w:eastAsiaTheme="minorEastAsia" w:hAnsiTheme="minorEastAsia" w:hint="eastAsia"/>
          <w:b/>
          <w:sz w:val="24"/>
          <w:szCs w:val="24"/>
        </w:rPr>
        <w:t>一、募集资金基本情况</w:t>
      </w:r>
    </w:p>
    <w:p w:rsidR="000A60E4" w:rsidRPr="000B6AAC" w:rsidRDefault="000A60E4" w:rsidP="000A60E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交建股份经中国证券监督管理委员会《关于</w:t>
      </w:r>
      <w:r w:rsid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核准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安徽省交通建设股份有限公司首次公开发行股票的批复》（证监许可[2019]1555 号）核准，首次公开发行人民币普通股（A 股）4,990万股，每股发行价格为人民币 5.14 元，募集资金总额人民币 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>25,648.60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万元，扣除发行费用后募集资金净额为人民币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>20,437.37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万元，上述资金于 2019年10月15日到位，已经容诚会计师事务所（特殊普通合伙）审验，并出具了会验字[2019]7676号《验资报告》。</w:t>
      </w:r>
      <w:r w:rsidRPr="000B6AAC">
        <w:rPr>
          <w:rFonts w:asciiTheme="minorEastAsia" w:eastAsiaTheme="minorEastAsia" w:hAnsiTheme="minorEastAsia" w:cs="MS Mincho" w:hint="eastAsia"/>
          <w:kern w:val="0"/>
          <w:sz w:val="24"/>
          <w:szCs w:val="24"/>
        </w:rPr>
        <w:t> </w:t>
      </w:r>
      <w:r w:rsidRPr="000B6AAC">
        <w:rPr>
          <w:rFonts w:asciiTheme="minorEastAsia" w:eastAsiaTheme="minorEastAsia" w:hAnsiTheme="minorEastAsia" w:cs="MS Mincho" w:hint="eastAsia"/>
          <w:kern w:val="0"/>
          <w:sz w:val="24"/>
          <w:szCs w:val="24"/>
        </w:rPr>
        <w:t> </w:t>
      </w:r>
    </w:p>
    <w:p w:rsidR="000A60E4" w:rsidRPr="000B6AAC" w:rsidRDefault="000A60E4" w:rsidP="000A60E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/>
          <w:sz w:val="28"/>
        </w:rPr>
      </w:pP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为规范公司募集资金管理，保护投资者权益，公司与保荐机构、募集资金专户开户银行分别签署了《募集资金三方监管协议》，开设了募集资金专项账户，对募集资金实施专户存储管理。</w:t>
      </w:r>
    </w:p>
    <w:p w:rsidR="000A60E4" w:rsidRPr="000B6AAC" w:rsidRDefault="000A60E4" w:rsidP="00585849">
      <w:pPr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二、募集资金投资项目的概况</w:t>
      </w:r>
      <w:r w:rsidRPr="000B6AAC">
        <w:rPr>
          <w:rFonts w:asciiTheme="minorEastAsia" w:eastAsiaTheme="minorEastAsia" w:hAnsiTheme="minorEastAsia" w:cs="MS Mincho" w:hint="eastAsia"/>
          <w:b/>
          <w:bCs/>
          <w:kern w:val="0"/>
          <w:sz w:val="24"/>
          <w:szCs w:val="24"/>
        </w:rPr>
        <w:t> </w:t>
      </w:r>
      <w:r w:rsidRPr="000B6AAC">
        <w:rPr>
          <w:rFonts w:asciiTheme="minorEastAsia" w:eastAsiaTheme="minorEastAsia" w:hAnsiTheme="minorEastAsia" w:cs="MS Mincho" w:hint="eastAsia"/>
          <w:b/>
          <w:bCs/>
          <w:kern w:val="0"/>
          <w:sz w:val="24"/>
          <w:szCs w:val="24"/>
        </w:rPr>
        <w:t> </w:t>
      </w:r>
    </w:p>
    <w:p w:rsidR="000A60E4" w:rsidRPr="000B6AAC" w:rsidRDefault="000A60E4" w:rsidP="000A60E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根据公司《首次公开发行股票招股说明书》披露的募集资金项目及募集资金使用计划，本次发行募集资金将投资于以下项目：</w:t>
      </w:r>
      <w:r w:rsidRPr="000B6AAC">
        <w:rPr>
          <w:rFonts w:asciiTheme="minorEastAsia" w:eastAsiaTheme="minorEastAsia" w:hAnsiTheme="minorEastAsia" w:cs="MS Mincho" w:hint="eastAsia"/>
          <w:kern w:val="0"/>
          <w:sz w:val="24"/>
          <w:szCs w:val="24"/>
        </w:rPr>
        <w:t> </w:t>
      </w:r>
      <w:r w:rsidRPr="000B6AAC">
        <w:rPr>
          <w:rFonts w:asciiTheme="minorEastAsia" w:eastAsiaTheme="minorEastAsia" w:hAnsiTheme="minorEastAsia" w:cs="MS Mincho" w:hint="eastAsia"/>
          <w:kern w:val="0"/>
          <w:sz w:val="24"/>
          <w:szCs w:val="24"/>
        </w:rPr>
        <w:t> 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959"/>
        <w:gridCol w:w="2411"/>
        <w:gridCol w:w="2366"/>
      </w:tblGrid>
      <w:tr w:rsidR="000B6AAC" w:rsidRPr="000B6AAC" w:rsidTr="0090157D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0A60E4" w:rsidRPr="000B6AAC" w:rsidRDefault="000A60E4" w:rsidP="000A60E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0A60E4" w:rsidRPr="000B6AAC" w:rsidRDefault="000A60E4" w:rsidP="0090157D">
            <w:pPr>
              <w:widowControl/>
              <w:adjustRightInd w:val="0"/>
              <w:snapToGrid w:val="0"/>
              <w:ind w:firstLineChars="200" w:firstLine="422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募集资金使用项目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0A60E4" w:rsidRPr="000B6AAC" w:rsidRDefault="000A60E4" w:rsidP="0090157D">
            <w:pPr>
              <w:widowControl/>
              <w:adjustRightInd w:val="0"/>
              <w:snapToGrid w:val="0"/>
              <w:ind w:firstLineChars="98" w:firstLine="207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项目投资总额（万元）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90157D" w:rsidRPr="000B6AAC" w:rsidRDefault="000A60E4" w:rsidP="0090157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拟用募集资金投资额</w:t>
            </w:r>
          </w:p>
          <w:p w:rsidR="000A60E4" w:rsidRPr="000B6AAC" w:rsidRDefault="000A60E4" w:rsidP="0090157D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（万元）</w:t>
            </w:r>
          </w:p>
        </w:tc>
      </w:tr>
      <w:tr w:rsidR="000B6AAC" w:rsidRPr="000B6AAC" w:rsidTr="000B6AAC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0A60E4" w:rsidRPr="000B6AAC" w:rsidRDefault="000A60E4" w:rsidP="000A60E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kern w:val="0"/>
                <w:szCs w:val="21"/>
              </w:rPr>
              <w:lastRenderedPageBreak/>
              <w:t>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0A60E4" w:rsidRPr="000B6AAC" w:rsidRDefault="000A60E4" w:rsidP="0090157D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购置施工机械设备项目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0A60E4" w:rsidRPr="000B6AAC" w:rsidRDefault="000A60E4" w:rsidP="000B6AA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kern w:val="0"/>
                <w:szCs w:val="21"/>
              </w:rPr>
              <w:t>5,435.00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0A60E4" w:rsidRPr="000B6AAC" w:rsidRDefault="000A60E4" w:rsidP="000B6AA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kern w:val="0"/>
                <w:szCs w:val="21"/>
              </w:rPr>
              <w:t>5,435.00</w:t>
            </w:r>
          </w:p>
        </w:tc>
      </w:tr>
      <w:tr w:rsidR="000B6AAC" w:rsidRPr="000B6AAC" w:rsidTr="000B6AAC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0A60E4" w:rsidRPr="000B6AAC" w:rsidRDefault="000A60E4" w:rsidP="000A60E4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0A60E4" w:rsidRPr="000B6AAC" w:rsidRDefault="000A60E4" w:rsidP="0090157D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补充公路、市政基础设施施工业务运营资金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0A60E4" w:rsidRPr="000B6AAC" w:rsidRDefault="000A60E4" w:rsidP="000B6AA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kern w:val="0"/>
                <w:szCs w:val="21"/>
              </w:rPr>
              <w:t>35,000.00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0A60E4" w:rsidRPr="000B6AAC" w:rsidRDefault="000A60E4" w:rsidP="000B6AAC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kern w:val="0"/>
                <w:szCs w:val="21"/>
              </w:rPr>
              <w:t>15,002.37</w:t>
            </w:r>
          </w:p>
        </w:tc>
      </w:tr>
      <w:tr w:rsidR="000A60E4" w:rsidRPr="000B6AAC" w:rsidTr="00C37EA0">
        <w:trPr>
          <w:trHeight w:val="397"/>
          <w:jc w:val="center"/>
        </w:trPr>
        <w:tc>
          <w:tcPr>
            <w:tcW w:w="2135" w:type="pct"/>
            <w:gridSpan w:val="2"/>
            <w:shd w:val="clear" w:color="auto" w:fill="auto"/>
            <w:vAlign w:val="center"/>
            <w:hideMark/>
          </w:tcPr>
          <w:p w:rsidR="000A60E4" w:rsidRPr="000B6AAC" w:rsidRDefault="000A60E4" w:rsidP="0090157D">
            <w:pPr>
              <w:widowControl/>
              <w:adjustRightInd w:val="0"/>
              <w:snapToGrid w:val="0"/>
              <w:ind w:firstLineChars="700" w:firstLine="1476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合计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0A60E4" w:rsidRPr="000B6AAC" w:rsidRDefault="000A60E4" w:rsidP="000B6AAC">
            <w:pPr>
              <w:widowControl/>
              <w:adjustRightInd w:val="0"/>
              <w:snapToGrid w:val="0"/>
              <w:ind w:firstLineChars="200" w:firstLine="422"/>
              <w:jc w:val="right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40,435.00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0A60E4" w:rsidRPr="000B6AAC" w:rsidRDefault="000A60E4" w:rsidP="000B6AAC">
            <w:pPr>
              <w:widowControl/>
              <w:adjustRightInd w:val="0"/>
              <w:snapToGrid w:val="0"/>
              <w:ind w:firstLineChars="200" w:firstLine="422"/>
              <w:jc w:val="right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20,437.37</w:t>
            </w:r>
          </w:p>
        </w:tc>
      </w:tr>
    </w:tbl>
    <w:p w:rsidR="00C37EA0" w:rsidRDefault="00C37EA0" w:rsidP="00585849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截止本核查意见出具日，募投项目实际投入情况如下：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959"/>
        <w:gridCol w:w="2411"/>
        <w:gridCol w:w="2366"/>
      </w:tblGrid>
      <w:tr w:rsidR="00C37EA0" w:rsidRPr="000B6AAC" w:rsidTr="00C37EA0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C37EA0" w:rsidRPr="000B6AAC" w:rsidRDefault="00C37EA0" w:rsidP="003F70E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C37EA0" w:rsidRPr="000B6AAC" w:rsidRDefault="00C37EA0" w:rsidP="003F70E3">
            <w:pPr>
              <w:widowControl/>
              <w:adjustRightInd w:val="0"/>
              <w:snapToGrid w:val="0"/>
              <w:ind w:firstLineChars="200" w:firstLine="422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募集资金使用项目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C37EA0" w:rsidRPr="000B6AAC" w:rsidRDefault="00C37EA0" w:rsidP="00C37EA0">
            <w:pPr>
              <w:widowControl/>
              <w:adjustRightInd w:val="0"/>
              <w:snapToGrid w:val="0"/>
              <w:ind w:firstLineChars="98" w:firstLine="207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募集</w:t>
            </w:r>
            <w:r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资金拟投入金额</w:t>
            </w: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（万元）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C37EA0" w:rsidRPr="004F43B7" w:rsidRDefault="00C37EA0" w:rsidP="003F70E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4F43B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募集</w:t>
            </w:r>
            <w:r w:rsidRPr="004F43B7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资金</w:t>
            </w:r>
            <w:r w:rsidRPr="004F43B7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实际</w:t>
            </w:r>
            <w:r w:rsidRPr="004F43B7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投入金额</w:t>
            </w:r>
          </w:p>
          <w:p w:rsidR="00C37EA0" w:rsidRPr="004F43B7" w:rsidRDefault="00C37EA0" w:rsidP="003F70E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4F43B7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（万元）</w:t>
            </w:r>
          </w:p>
        </w:tc>
      </w:tr>
      <w:tr w:rsidR="00C37EA0" w:rsidRPr="000B6AAC" w:rsidTr="00C37EA0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C37EA0" w:rsidRPr="000B6AAC" w:rsidRDefault="00C37EA0" w:rsidP="003F70E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C37EA0" w:rsidRPr="000B6AAC" w:rsidRDefault="00C37EA0" w:rsidP="003F70E3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购置施工机械设备项目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C37EA0" w:rsidRPr="000B6AAC" w:rsidRDefault="00C37EA0" w:rsidP="003F70E3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kern w:val="0"/>
                <w:szCs w:val="21"/>
              </w:rPr>
              <w:t>5,435.00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C37EA0" w:rsidRPr="004F43B7" w:rsidRDefault="004F43B7" w:rsidP="003F70E3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318</w:t>
            </w:r>
            <w:r w:rsidR="00897876" w:rsidRPr="004F43B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.00</w:t>
            </w:r>
          </w:p>
        </w:tc>
      </w:tr>
      <w:tr w:rsidR="00C37EA0" w:rsidRPr="000B6AAC" w:rsidTr="00C37EA0">
        <w:trPr>
          <w:trHeight w:val="397"/>
          <w:jc w:val="center"/>
        </w:trPr>
        <w:tc>
          <w:tcPr>
            <w:tcW w:w="360" w:type="pct"/>
            <w:shd w:val="clear" w:color="auto" w:fill="auto"/>
            <w:vAlign w:val="center"/>
            <w:hideMark/>
          </w:tcPr>
          <w:p w:rsidR="00C37EA0" w:rsidRPr="000B6AAC" w:rsidRDefault="00C37EA0" w:rsidP="003F70E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1775" w:type="pct"/>
            <w:shd w:val="clear" w:color="auto" w:fill="auto"/>
            <w:vAlign w:val="center"/>
            <w:hideMark/>
          </w:tcPr>
          <w:p w:rsidR="00C37EA0" w:rsidRPr="000B6AAC" w:rsidRDefault="00C37EA0" w:rsidP="003F70E3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补充公路、市政基础设施施工业务运营资金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C37EA0" w:rsidRPr="000B6AAC" w:rsidRDefault="00C37EA0" w:rsidP="003F70E3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kern w:val="0"/>
                <w:szCs w:val="21"/>
              </w:rPr>
              <w:t>15,002.37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C37EA0" w:rsidRPr="004F43B7" w:rsidRDefault="004F43B7" w:rsidP="003F70E3">
            <w:pPr>
              <w:widowControl/>
              <w:adjustRightInd w:val="0"/>
              <w:snapToGrid w:val="0"/>
              <w:ind w:firstLineChars="200" w:firstLine="420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</w:t>
            </w:r>
            <w:r w:rsidRPr="000B6AAC">
              <w:rPr>
                <w:rFonts w:asciiTheme="minorEastAsia" w:eastAsiaTheme="minorEastAsia" w:hAnsiTheme="minorEastAsia" w:cs="宋体"/>
                <w:kern w:val="0"/>
                <w:szCs w:val="21"/>
              </w:rPr>
              <w:t>,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854.15</w:t>
            </w:r>
          </w:p>
        </w:tc>
      </w:tr>
      <w:tr w:rsidR="00C37EA0" w:rsidRPr="000B6AAC" w:rsidTr="00C37EA0">
        <w:trPr>
          <w:trHeight w:val="397"/>
          <w:jc w:val="center"/>
        </w:trPr>
        <w:tc>
          <w:tcPr>
            <w:tcW w:w="2135" w:type="pct"/>
            <w:gridSpan w:val="2"/>
            <w:shd w:val="clear" w:color="auto" w:fill="auto"/>
            <w:vAlign w:val="center"/>
            <w:hideMark/>
          </w:tcPr>
          <w:p w:rsidR="00C37EA0" w:rsidRPr="000B6AAC" w:rsidRDefault="00C37EA0" w:rsidP="003F70E3">
            <w:pPr>
              <w:widowControl/>
              <w:adjustRightInd w:val="0"/>
              <w:snapToGrid w:val="0"/>
              <w:ind w:firstLineChars="700" w:firstLine="1476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合计</w:t>
            </w:r>
          </w:p>
        </w:tc>
        <w:tc>
          <w:tcPr>
            <w:tcW w:w="1446" w:type="pct"/>
            <w:shd w:val="clear" w:color="auto" w:fill="auto"/>
            <w:vAlign w:val="center"/>
            <w:hideMark/>
          </w:tcPr>
          <w:p w:rsidR="00C37EA0" w:rsidRPr="000B6AAC" w:rsidRDefault="00C37EA0" w:rsidP="003F70E3">
            <w:pPr>
              <w:widowControl/>
              <w:adjustRightInd w:val="0"/>
              <w:snapToGrid w:val="0"/>
              <w:ind w:firstLineChars="200" w:firstLine="422"/>
              <w:jc w:val="right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 w:rsidRPr="000B6AAC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20,437.37</w:t>
            </w:r>
          </w:p>
        </w:tc>
        <w:tc>
          <w:tcPr>
            <w:tcW w:w="1419" w:type="pct"/>
            <w:shd w:val="clear" w:color="auto" w:fill="auto"/>
            <w:vAlign w:val="center"/>
            <w:hideMark/>
          </w:tcPr>
          <w:p w:rsidR="00C37EA0" w:rsidRPr="004F43B7" w:rsidRDefault="004F43B7" w:rsidP="003F70E3">
            <w:pPr>
              <w:widowControl/>
              <w:adjustRightInd w:val="0"/>
              <w:snapToGrid w:val="0"/>
              <w:ind w:firstLineChars="200" w:firstLine="422"/>
              <w:jc w:val="right"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15</w:t>
            </w:r>
            <w:r w:rsidRPr="004F43B7"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  <w:t>,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172.15</w:t>
            </w:r>
          </w:p>
        </w:tc>
      </w:tr>
    </w:tbl>
    <w:p w:rsidR="000A60E4" w:rsidRPr="002E3211" w:rsidRDefault="00C37EA0" w:rsidP="00585849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B6AAC">
        <w:rPr>
          <w:rFonts w:asciiTheme="minorEastAsia" w:eastAsiaTheme="minorEastAsia" w:hAnsiTheme="minorEastAsia" w:hint="eastAsia"/>
          <w:sz w:val="24"/>
          <w:szCs w:val="24"/>
        </w:rPr>
        <w:t>交建股份第</w:t>
      </w: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2E3211">
        <w:rPr>
          <w:rFonts w:asciiTheme="minorEastAsia" w:eastAsiaTheme="minorEastAsia" w:hAnsiTheme="minorEastAsia" w:hint="eastAsia"/>
          <w:sz w:val="24"/>
          <w:szCs w:val="24"/>
        </w:rPr>
        <w:t>届董事会第三次会议审议通过《关于变更募集资金投资项目</w:t>
      </w:r>
      <w:r w:rsidR="0058584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Pr="002E3211">
        <w:rPr>
          <w:rFonts w:asciiTheme="minorEastAsia" w:eastAsiaTheme="minorEastAsia" w:hAnsiTheme="minorEastAsia" w:hint="eastAsia"/>
          <w:sz w:val="24"/>
          <w:szCs w:val="24"/>
        </w:rPr>
        <w:t>购置施工机械设备项目</w:t>
      </w:r>
      <w:r w:rsidR="00585849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Pr="002E3211">
        <w:rPr>
          <w:rFonts w:asciiTheme="minorEastAsia" w:eastAsiaTheme="minorEastAsia" w:hAnsiTheme="minorEastAsia" w:hint="eastAsia"/>
          <w:sz w:val="24"/>
          <w:szCs w:val="24"/>
        </w:rPr>
        <w:t>部分购置设备的议案》，同意交建股份变更募投项目中部分购置设备事宜</w:t>
      </w:r>
      <w:r w:rsidR="004F43B7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0157D" w:rsidRPr="000B6AAC" w:rsidRDefault="0090157D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outlineLvl w:val="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2E3211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三、</w:t>
      </w:r>
      <w:r w:rsidR="00154458" w:rsidRPr="002E3211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公司拟</w:t>
      </w:r>
      <w:r w:rsidR="008A69EE" w:rsidRPr="002E3211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变更募集资金投资项目</w:t>
      </w:r>
      <w:r w:rsidR="008A69EE" w:rsidRPr="002E3211">
        <w:rPr>
          <w:rFonts w:asciiTheme="minorEastAsia" w:eastAsiaTheme="minorEastAsia" w:hAnsiTheme="minorEastAsia" w:cs="MS Mincho" w:hint="eastAsia"/>
          <w:b/>
          <w:bCs/>
          <w:kern w:val="0"/>
          <w:sz w:val="24"/>
          <w:szCs w:val="24"/>
        </w:rPr>
        <w:t>中部分购置设备</w:t>
      </w:r>
      <w:r w:rsidR="008A69EE">
        <w:rPr>
          <w:rFonts w:asciiTheme="minorEastAsia" w:eastAsiaTheme="minorEastAsia" w:hAnsiTheme="minorEastAsia" w:cs="MS Mincho" w:hint="eastAsia"/>
          <w:b/>
          <w:bCs/>
          <w:kern w:val="0"/>
          <w:sz w:val="24"/>
          <w:szCs w:val="24"/>
        </w:rPr>
        <w:t>的</w:t>
      </w:r>
      <w:r w:rsidR="00154458">
        <w:rPr>
          <w:rFonts w:asciiTheme="minorEastAsia" w:eastAsiaTheme="minorEastAsia" w:hAnsiTheme="minorEastAsia" w:cs="MS Mincho" w:hint="eastAsia"/>
          <w:b/>
          <w:bCs/>
          <w:kern w:val="0"/>
          <w:sz w:val="24"/>
          <w:szCs w:val="24"/>
        </w:rPr>
        <w:t>基本情况</w:t>
      </w:r>
      <w:r w:rsidRPr="000B6AAC">
        <w:rPr>
          <w:rFonts w:asciiTheme="minorEastAsia" w:eastAsiaTheme="minorEastAsia" w:hAnsiTheme="minorEastAsia" w:cs="MS Mincho" w:hint="eastAsia"/>
          <w:b/>
          <w:bCs/>
          <w:kern w:val="0"/>
          <w:sz w:val="24"/>
          <w:szCs w:val="24"/>
        </w:rPr>
        <w:t> </w:t>
      </w:r>
    </w:p>
    <w:p w:rsidR="0090157D" w:rsidRPr="000B6AAC" w:rsidRDefault="0090157D" w:rsidP="00585849">
      <w:pPr>
        <w:widowControl/>
        <w:adjustRightInd w:val="0"/>
        <w:snapToGrid w:val="0"/>
        <w:spacing w:afterLines="50" w:after="156"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0B6AAC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（一）</w:t>
      </w:r>
      <w:r w:rsidR="00154458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公司本次拟变更募集资金投资项目部分购置设备情况</w:t>
      </w:r>
    </w:p>
    <w:p w:rsidR="00897876" w:rsidRDefault="00154458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  <w:sectPr w:rsidR="00897876" w:rsidSect="002A60A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593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公司本次拟变更上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述“购置施工机械设备项目”的部分购置设备，</w:t>
      </w:r>
      <w:r w:rsidR="001723D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本次变更不涉及募投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项目投资金额、实施主体</w:t>
      </w:r>
      <w:r w:rsidR="00EA6D5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="001723D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用途</w:t>
      </w:r>
      <w:r w:rsidR="00EA6D5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等</w:t>
      </w:r>
      <w:r w:rsidR="001723D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变更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  <w:r w:rsidR="0089787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涉及</w:t>
      </w:r>
      <w:r w:rsidR="001723D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具体</w:t>
      </w:r>
      <w:r w:rsidR="0089787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变更情况如下：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1"/>
        <w:gridCol w:w="1514"/>
        <w:gridCol w:w="2231"/>
        <w:gridCol w:w="1205"/>
        <w:gridCol w:w="689"/>
        <w:gridCol w:w="1131"/>
        <w:gridCol w:w="1395"/>
        <w:gridCol w:w="2342"/>
        <w:gridCol w:w="1154"/>
        <w:gridCol w:w="643"/>
        <w:gridCol w:w="1369"/>
      </w:tblGrid>
      <w:tr w:rsidR="00897876" w:rsidRPr="00897876" w:rsidTr="00897876">
        <w:trPr>
          <w:trHeight w:val="397"/>
        </w:trPr>
        <w:tc>
          <w:tcPr>
            <w:tcW w:w="177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2388" w:type="pct"/>
            <w:gridSpan w:val="5"/>
            <w:shd w:val="clear" w:color="auto" w:fill="auto"/>
            <w:noWrap/>
            <w:vAlign w:val="center"/>
            <w:hideMark/>
          </w:tcPr>
          <w:p w:rsidR="00897876" w:rsidRPr="00897876" w:rsidRDefault="001723D1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  <w:t>募投项目原购置设备</w:t>
            </w:r>
            <w:r w:rsidR="00897876" w:rsidRPr="0089787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清单</w:t>
            </w:r>
          </w:p>
        </w:tc>
        <w:tc>
          <w:tcPr>
            <w:tcW w:w="2435" w:type="pct"/>
            <w:gridSpan w:val="5"/>
            <w:shd w:val="clear" w:color="auto" w:fill="auto"/>
            <w:noWrap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变更后</w:t>
            </w:r>
            <w:r w:rsidR="001723D1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购置设备清单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设备分类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单价</w:t>
            </w: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总价</w:t>
            </w: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设备分类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单价</w:t>
            </w: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总价</w:t>
            </w:r>
            <w:r w:rsidRPr="0089787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br/>
              <w:t>（万元）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路面设备（4675万）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沥青拌合设备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1350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2700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路面设备（2643万）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沥青混凝土拌合设备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1350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1350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4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水稳拌合站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492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4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沥青摊铺机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1040</w:t>
            </w:r>
          </w:p>
        </w:tc>
        <w:tc>
          <w:tcPr>
            <w:tcW w:w="492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沥青摊铺机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260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520 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4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水稳摊铺机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492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水稳摊铺机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135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270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4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双钢轮振动压路机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492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双钢轮振动压路机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280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4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胶轮压路机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492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胶轮压路机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135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4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单钢轮振动压路机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492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单钢轮振动压路机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70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:rsidR="001723D1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通用设备</w:t>
            </w:r>
          </w:p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（440万）</w:t>
            </w:r>
          </w:p>
        </w:tc>
        <w:tc>
          <w:tcPr>
            <w:tcW w:w="787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水泥混凝土拌合设备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360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通用设备（578万）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水泥混凝土拌合设备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159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318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34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399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水泥混凝土拌合设备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159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159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34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装载机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92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装载机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120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桥梁设备</w:t>
            </w: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br/>
              <w:t>（320万）</w:t>
            </w: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龙门吊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桥梁设备（520万）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混凝土泵车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360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34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8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架桥机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492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架桥机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160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897876" w:rsidRPr="00897876" w:rsidRDefault="001723D1" w:rsidP="001723D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897876" w:rsidRPr="00897876" w:rsidRDefault="001723D1" w:rsidP="001723D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897876" w:rsidRPr="00897876" w:rsidRDefault="001723D1" w:rsidP="001723D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97876" w:rsidRPr="00897876" w:rsidRDefault="001723D1" w:rsidP="001723D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897876" w:rsidRPr="00897876" w:rsidRDefault="001723D1" w:rsidP="001723D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隧道设备</w:t>
            </w: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（1693万）</w:t>
            </w: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全液压三臂凿岩台车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793 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1586 </w:t>
            </w:r>
          </w:p>
        </w:tc>
      </w:tr>
      <w:tr w:rsidR="00897876" w:rsidRPr="00897876" w:rsidTr="00897876">
        <w:trPr>
          <w:trHeight w:val="397"/>
        </w:trPr>
        <w:tc>
          <w:tcPr>
            <w:tcW w:w="17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897876" w:rsidRPr="00897876" w:rsidRDefault="001723D1" w:rsidP="001723D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:rsidR="00897876" w:rsidRPr="00897876" w:rsidRDefault="001723D1" w:rsidP="001723D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425" w:type="pct"/>
            <w:shd w:val="clear" w:color="auto" w:fill="auto"/>
            <w:noWrap/>
            <w:vAlign w:val="center"/>
            <w:hideMark/>
          </w:tcPr>
          <w:p w:rsidR="00897876" w:rsidRPr="00897876" w:rsidRDefault="001723D1" w:rsidP="001723D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97876" w:rsidRPr="00897876" w:rsidRDefault="001723D1" w:rsidP="001723D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897876" w:rsidRPr="00897876" w:rsidRDefault="001723D1" w:rsidP="001723D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</w:t>
            </w:r>
          </w:p>
        </w:tc>
        <w:tc>
          <w:tcPr>
            <w:tcW w:w="492" w:type="pct"/>
            <w:vMerge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6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湿喷机械手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107</w:t>
            </w:r>
          </w:p>
        </w:tc>
        <w:tc>
          <w:tcPr>
            <w:tcW w:w="227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97876" w:rsidRPr="00897876" w:rsidRDefault="00897876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107</w:t>
            </w:r>
          </w:p>
        </w:tc>
      </w:tr>
      <w:tr w:rsidR="001723D1" w:rsidRPr="00897876" w:rsidTr="001723D1">
        <w:trPr>
          <w:trHeight w:val="397"/>
        </w:trPr>
        <w:tc>
          <w:tcPr>
            <w:tcW w:w="1923" w:type="pct"/>
            <w:gridSpan w:val="4"/>
            <w:shd w:val="clear" w:color="auto" w:fill="auto"/>
            <w:noWrap/>
            <w:vAlign w:val="center"/>
            <w:hideMark/>
          </w:tcPr>
          <w:p w:rsidR="001723D1" w:rsidRPr="00897876" w:rsidRDefault="001723D1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1723D1" w:rsidRPr="00897876" w:rsidRDefault="001723D1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399" w:type="pct"/>
            <w:shd w:val="clear" w:color="auto" w:fill="auto"/>
            <w:noWrap/>
            <w:vAlign w:val="center"/>
            <w:hideMark/>
          </w:tcPr>
          <w:p w:rsidR="001723D1" w:rsidRPr="00897876" w:rsidRDefault="001723D1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5435</w:t>
            </w:r>
          </w:p>
        </w:tc>
        <w:tc>
          <w:tcPr>
            <w:tcW w:w="1725" w:type="pct"/>
            <w:gridSpan w:val="3"/>
            <w:shd w:val="clear" w:color="auto" w:fill="auto"/>
            <w:noWrap/>
            <w:vAlign w:val="center"/>
            <w:hideMark/>
          </w:tcPr>
          <w:p w:rsidR="001723D1" w:rsidRPr="00897876" w:rsidRDefault="001723D1" w:rsidP="001723D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 xml:space="preserve">　　合计　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723D1" w:rsidRPr="00897876" w:rsidRDefault="001723D1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26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:rsidR="001723D1" w:rsidRPr="00897876" w:rsidRDefault="001723D1" w:rsidP="0089787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897876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 xml:space="preserve">5435 </w:t>
            </w:r>
          </w:p>
        </w:tc>
      </w:tr>
    </w:tbl>
    <w:p w:rsidR="00897876" w:rsidRDefault="00897876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  <w:sectPr w:rsidR="00897876" w:rsidSect="0089787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53117" w:rsidRDefault="00897876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lastRenderedPageBreak/>
        <w:t>（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二</w:t>
      </w:r>
      <w:r w:rsidRPr="000B6AAC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）</w:t>
      </w:r>
      <w:r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公司本次拟变更募集资金投资项目部分购置设备的原因</w:t>
      </w:r>
    </w:p>
    <w:p w:rsidR="00C53117" w:rsidRDefault="00062C4F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公司上述“购置施工机械设备项目”的部分购置设备的变更均与公司主营业务开拓情况相关，具体原因如下：</w:t>
      </w:r>
    </w:p>
    <w:p w:rsidR="00C53117" w:rsidRDefault="001A0DFB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1A0DFB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1、</w:t>
      </w:r>
      <w:r w:rsidR="00062C4F" w:rsidRPr="001A0DFB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路面设备</w:t>
      </w:r>
    </w:p>
    <w:p w:rsidR="00C53117" w:rsidRDefault="001A0DFB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公司拟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减少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套沥青拌合设备、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套沥青摊铺机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2套水稳拌合设备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，主要原因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系：根据现有业务开展情况，</w:t>
      </w:r>
      <w:r w:rsidR="000F51D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公司现有的水稳拌合等设备情况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可满足目前公司路面工程所需，因此，公司拟减少上述路面设备。</w:t>
      </w:r>
    </w:p>
    <w:p w:rsidR="00C53117" w:rsidRDefault="001A0DFB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1A0DFB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2、</w:t>
      </w:r>
      <w:r w:rsidR="00062C4F" w:rsidRPr="001A0DFB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通用设备</w:t>
      </w:r>
    </w:p>
    <w:p w:rsidR="00C53117" w:rsidRDefault="001A0DFB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公司拟增</w:t>
      </w:r>
      <w:r w:rsidR="000F51D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加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套水泥混凝土拌合设备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及1套装载机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，主要原因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系</w:t>
      </w:r>
      <w:r w:rsidR="002E2F3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：一方面，根据业务实际开展情况，公司为满足目前开展的高速公路项目施工所需，另一方面，上述设备通用性强，可满足多种类型项目</w:t>
      </w:r>
      <w:r w:rsidR="000F51D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施工的需求。因此，根据公司目前业务开展及未来项目规划，公司拟增加</w:t>
      </w:r>
      <w:r w:rsidR="002E2F3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上述通用设备。</w:t>
      </w:r>
    </w:p>
    <w:p w:rsidR="00C53117" w:rsidRDefault="002E2F36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2E2F36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3、</w:t>
      </w:r>
      <w:r w:rsidR="00062C4F" w:rsidRPr="002E2F36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桥梁设备</w:t>
      </w:r>
    </w:p>
    <w:p w:rsidR="00C53117" w:rsidRDefault="002E2F36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公司拟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减少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台龙门吊，增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购1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台混凝土泵车，主要原因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系：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近年来，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随着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城市综合开发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进展，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高速公路、城市高架、地铁交通项目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逐步</w:t>
      </w:r>
      <w:r w:rsidR="00B940B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增多，而</w:t>
      </w:r>
      <w:r w:rsidR="00B940B5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混凝土泵车</w:t>
      </w:r>
      <w:r w:rsidR="00B940B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系</w:t>
      </w:r>
      <w:r w:rsidR="00B940B5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桥梁工程施工中必不可少的专用设备</w:t>
      </w:r>
      <w:r w:rsidR="00B940B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根据公司现有项目储备情况及未来业务拓展方向，</w:t>
      </w:r>
      <w:r w:rsidR="00B940B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该设备未来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需求量大、利用率高</w:t>
      </w:r>
      <w:r w:rsidR="00B940B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，因此，公司拟</w:t>
      </w:r>
      <w:r w:rsidR="000F51D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调整</w:t>
      </w:r>
      <w:r w:rsidR="00B940B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上述设备。</w:t>
      </w:r>
    </w:p>
    <w:p w:rsidR="00C53117" w:rsidRDefault="00B940B5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B940B5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4、</w:t>
      </w:r>
      <w:r w:rsidR="00062C4F" w:rsidRPr="00B940B5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隧道设备</w:t>
      </w:r>
    </w:p>
    <w:p w:rsidR="00C53117" w:rsidRDefault="00B940B5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根据公司业务拓展情况，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目前承接的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大型隧道项目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施工所需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的隧道掘进设备、喷混设备全部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通过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外部租赁，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对公司的隧道项目的施工效率造成一定不利影响</w:t>
      </w:r>
      <w:r w:rsidR="00C776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因此，公司拟</w:t>
      </w:r>
      <w:r w:rsidR="000F51D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增加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</w:t>
      </w:r>
      <w:r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套液压凿岩设备、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套湿喷机械设备</w:t>
      </w:r>
      <w:r w:rsidR="00C776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以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满足</w:t>
      </w:r>
      <w:r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隧道工程的施工</w:t>
      </w:r>
      <w:r w:rsidR="00C776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所需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="00C776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从而提高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公司在大型隧道工程领域的</w:t>
      </w:r>
      <w:r w:rsidR="00C776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作业效率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="00C776E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增强公司的综合竞争</w:t>
      </w:r>
      <w:r w:rsidR="00062C4F" w:rsidRPr="00062C4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能力。</w:t>
      </w:r>
    </w:p>
    <w:p w:rsidR="00C53117" w:rsidRDefault="005508AA" w:rsidP="00585849">
      <w:pPr>
        <w:adjustRightInd w:val="0"/>
        <w:snapToGrid w:val="0"/>
        <w:spacing w:beforeLines="50" w:before="156" w:line="360" w:lineRule="auto"/>
        <w:ind w:firstLineChars="200" w:firstLine="482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四</w:t>
      </w:r>
      <w:r w:rsidRPr="000B6AAC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、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公司拟变更募集资金投资项目</w:t>
      </w:r>
      <w:r>
        <w:rPr>
          <w:rFonts w:asciiTheme="minorEastAsia" w:eastAsiaTheme="minorEastAsia" w:hAnsiTheme="minorEastAsia" w:cs="MS Mincho" w:hint="eastAsia"/>
          <w:b/>
          <w:bCs/>
          <w:kern w:val="0"/>
          <w:sz w:val="24"/>
          <w:szCs w:val="24"/>
        </w:rPr>
        <w:t>中部分购置设备事项的决策程序和信息披露的合规性</w:t>
      </w:r>
    </w:p>
    <w:p w:rsidR="00C53117" w:rsidRDefault="0094292B" w:rsidP="00585849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公司第</w:t>
      </w:r>
      <w:r w:rsidR="005508A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二届董事会第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三次会议和第</w:t>
      </w:r>
      <w:r w:rsidR="005508A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二届监事会第</w:t>
      </w:r>
      <w:r w:rsidR="000B6AAC"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二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次会议分别审议通过了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《</w:t>
      </w:r>
      <w:r w:rsidR="005508AA" w:rsidRPr="002E3211">
        <w:rPr>
          <w:rFonts w:asciiTheme="minorEastAsia" w:eastAsiaTheme="minorEastAsia" w:hAnsiTheme="minorEastAsia" w:hint="eastAsia"/>
          <w:sz w:val="24"/>
          <w:szCs w:val="24"/>
        </w:rPr>
        <w:t>关于变更募集资金投资项目</w:t>
      </w:r>
      <w:r w:rsidR="0058584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5508AA" w:rsidRPr="002E3211">
        <w:rPr>
          <w:rFonts w:asciiTheme="minorEastAsia" w:eastAsiaTheme="minorEastAsia" w:hAnsiTheme="minorEastAsia" w:hint="eastAsia"/>
          <w:sz w:val="24"/>
          <w:szCs w:val="24"/>
        </w:rPr>
        <w:t>购置施工机械设备项目</w:t>
      </w:r>
      <w:r w:rsidR="00585849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5508AA" w:rsidRPr="002E3211">
        <w:rPr>
          <w:rFonts w:asciiTheme="minorEastAsia" w:eastAsiaTheme="minorEastAsia" w:hAnsiTheme="minorEastAsia" w:hint="eastAsia"/>
          <w:sz w:val="24"/>
          <w:szCs w:val="24"/>
        </w:rPr>
        <w:t>部分购置设备的议案</w:t>
      </w:r>
      <w:r w:rsidRPr="002E321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》，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公司独立董事亦对该事项发表了明确同意意见。</w:t>
      </w:r>
      <w:r w:rsidR="00EA6D5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本事项尚需公司股东大会审议通过后方可实施。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公司本次</w:t>
      </w:r>
      <w:r w:rsidR="00EA6D5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变更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事项履行了必要的审议程序，符合相关监管要求。</w:t>
      </w:r>
    </w:p>
    <w:p w:rsidR="00EA6D5B" w:rsidRDefault="00EA6D5B" w:rsidP="00EA6D5B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公司有关本次变更事项的信息披露符合相关规定。</w:t>
      </w:r>
    </w:p>
    <w:p w:rsidR="00EA6D5B" w:rsidRDefault="00EA6D5B" w:rsidP="00585849">
      <w:pPr>
        <w:adjustRightInd w:val="0"/>
        <w:snapToGrid w:val="0"/>
        <w:spacing w:beforeLines="50" w:before="156" w:line="360" w:lineRule="auto"/>
        <w:ind w:firstLineChars="200" w:firstLine="482"/>
        <w:jc w:val="left"/>
        <w:rPr>
          <w:rFonts w:asciiTheme="minorEastAsia" w:eastAsiaTheme="minorEastAsia" w:hAnsiTheme="minorEastAsia" w:cs="MS Mincho"/>
          <w:b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五</w:t>
      </w:r>
      <w:r w:rsidRPr="000B6AAC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、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公司拟变更募集资金投资项目</w:t>
      </w:r>
      <w:r>
        <w:rPr>
          <w:rFonts w:asciiTheme="minorEastAsia" w:eastAsiaTheme="minorEastAsia" w:hAnsiTheme="minorEastAsia" w:cs="MS Mincho" w:hint="eastAsia"/>
          <w:b/>
          <w:bCs/>
          <w:kern w:val="0"/>
          <w:sz w:val="24"/>
          <w:szCs w:val="24"/>
        </w:rPr>
        <w:t>中部分购置设备事项对公司的影响</w:t>
      </w:r>
    </w:p>
    <w:p w:rsidR="00C53117" w:rsidRDefault="00EA6D5B" w:rsidP="00585849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eastAsiaTheme="minorEastAsia" w:hAnsiTheme="minorEastAsia" w:cs="MS Mincho"/>
          <w:bCs/>
          <w:kern w:val="0"/>
          <w:sz w:val="24"/>
          <w:szCs w:val="24"/>
        </w:rPr>
      </w:pPr>
      <w:r w:rsidRPr="00EA6D5B">
        <w:rPr>
          <w:rFonts w:asciiTheme="minorEastAsia" w:eastAsiaTheme="minorEastAsia" w:hAnsiTheme="minorEastAsia" w:cs="MS Mincho" w:hint="eastAsia"/>
          <w:bCs/>
          <w:kern w:val="0"/>
          <w:sz w:val="24"/>
          <w:szCs w:val="24"/>
        </w:rPr>
        <w:t>公司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本次拟变更上述“购置施工机械设备项目”的部分购置设备事项，不涉及募投项目投资金额、实施主体、用途等变更</w:t>
      </w:r>
      <w:r w:rsidR="001029A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本次变更事项未实质影响公司募集资金投资项目的实施，不存在变相改变募集资金投向和损害股东利益情况，有利于公司业务进一步拓展、提高公司施工作业效率，增强公司的综合竞争力，对公司生产经营活动均无不利影响。</w:t>
      </w:r>
    </w:p>
    <w:p w:rsidR="00EA6D5B" w:rsidRPr="001029A3" w:rsidRDefault="001029A3" w:rsidP="001029A3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MS Mincho"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cs="MS Mincho" w:hint="eastAsia"/>
          <w:bCs/>
          <w:kern w:val="0"/>
          <w:sz w:val="24"/>
          <w:szCs w:val="24"/>
        </w:rPr>
        <w:t>公司</w:t>
      </w:r>
      <w:r w:rsidRPr="001029A3">
        <w:rPr>
          <w:rFonts w:asciiTheme="minorEastAsia" w:eastAsiaTheme="minorEastAsia" w:hAnsiTheme="minorEastAsia" w:cs="MS Mincho" w:hint="eastAsia"/>
          <w:bCs/>
          <w:kern w:val="0"/>
          <w:sz w:val="24"/>
          <w:szCs w:val="24"/>
        </w:rPr>
        <w:t>将严格遵守有关募集资金使用的相关规定，加强募集资金使用的内部与外部监督，确保募集资金使用的合法、有效。</w:t>
      </w:r>
    </w:p>
    <w:p w:rsidR="00EA6D5B" w:rsidRPr="001029A3" w:rsidRDefault="001029A3" w:rsidP="00585849">
      <w:pPr>
        <w:adjustRightInd w:val="0"/>
        <w:snapToGrid w:val="0"/>
        <w:spacing w:beforeLines="50" w:before="156" w:line="360" w:lineRule="auto"/>
        <w:ind w:firstLineChars="200" w:firstLine="482"/>
        <w:jc w:val="left"/>
        <w:rPr>
          <w:rFonts w:asciiTheme="minorEastAsia" w:eastAsiaTheme="minorEastAsia" w:hAnsiTheme="minorEastAsia" w:cs="MS Mincho"/>
          <w:b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六</w:t>
      </w:r>
      <w:r w:rsidRPr="000B6AAC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、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专项意见</w:t>
      </w:r>
    </w:p>
    <w:p w:rsidR="00C53117" w:rsidRDefault="009221C5" w:rsidP="00585849">
      <w:pPr>
        <w:adjustRightInd w:val="0"/>
        <w:snapToGrid w:val="0"/>
        <w:spacing w:beforeLines="50" w:before="156" w:line="360" w:lineRule="auto"/>
        <w:ind w:firstLineChars="200" w:firstLine="482"/>
        <w:jc w:val="left"/>
        <w:rPr>
          <w:rFonts w:asciiTheme="minorEastAsia" w:eastAsiaTheme="minorEastAsia" w:hAnsiTheme="minorEastAsia" w:cs="MS Mincho"/>
          <w:b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cs="MS Mincho" w:hint="eastAsia"/>
          <w:b/>
          <w:bCs/>
          <w:kern w:val="0"/>
          <w:sz w:val="24"/>
          <w:szCs w:val="24"/>
        </w:rPr>
        <w:t>（一）独立董事意见</w:t>
      </w:r>
    </w:p>
    <w:p w:rsidR="00C53117" w:rsidRDefault="002E3211" w:rsidP="00585849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交建股份本次</w:t>
      </w:r>
      <w:r w:rsidRPr="002E321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变更募集资金投资项目</w:t>
      </w:r>
      <w:r w:rsidR="005858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“</w:t>
      </w:r>
      <w:r w:rsidRPr="002E321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购置施工机械设备项目</w:t>
      </w:r>
      <w:r w:rsidR="005858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”</w:t>
      </w:r>
      <w:r w:rsidRPr="002E321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部分购置设备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是基于交建股份业务规划和实际开展所需，符合交建股份和全体股东利益。本次变更履行了相应的决策程序，符合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《上海证券交易所上市公司募集资金管理办法（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2013 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年修订）》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《上市公司监管指引第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2 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号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>——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上市公司募集资金管理和使用的监管要求》等相关规定的要求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，不存在损害交建股份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股东利益的情形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。独立董事一致同意本次变更事项。</w:t>
      </w:r>
    </w:p>
    <w:p w:rsidR="00C53117" w:rsidRDefault="009221C5" w:rsidP="00585849">
      <w:pPr>
        <w:adjustRightInd w:val="0"/>
        <w:snapToGrid w:val="0"/>
        <w:spacing w:beforeLines="50" w:before="156" w:line="360" w:lineRule="auto"/>
        <w:ind w:firstLineChars="200" w:firstLine="482"/>
        <w:jc w:val="left"/>
        <w:rPr>
          <w:rFonts w:asciiTheme="minorEastAsia" w:eastAsiaTheme="minorEastAsia" w:hAnsiTheme="minorEastAsia" w:cs="MS Mincho"/>
          <w:b/>
          <w:bCs/>
          <w:kern w:val="0"/>
          <w:sz w:val="24"/>
          <w:szCs w:val="24"/>
        </w:rPr>
      </w:pPr>
      <w:r w:rsidRPr="009221C5">
        <w:rPr>
          <w:rFonts w:asciiTheme="minorEastAsia" w:eastAsiaTheme="minorEastAsia" w:hAnsiTheme="minorEastAsia" w:cs="MS Mincho" w:hint="eastAsia"/>
          <w:b/>
          <w:bCs/>
          <w:kern w:val="0"/>
          <w:sz w:val="24"/>
          <w:szCs w:val="24"/>
        </w:rPr>
        <w:t>（二）监事会意见</w:t>
      </w:r>
    </w:p>
    <w:p w:rsidR="00C53117" w:rsidRDefault="002E3211" w:rsidP="00585849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2E321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交建股份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第二届监事会第二次会议审议通过</w:t>
      </w:r>
      <w:r w:rsidRPr="002E321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《关于变更募集资金投资项目</w:t>
      </w:r>
      <w:r w:rsidR="005858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“</w:t>
      </w:r>
      <w:r w:rsidRPr="002E321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购置施工机械设备项目</w:t>
      </w:r>
      <w:r w:rsidR="0058584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”</w:t>
      </w:r>
      <w:r w:rsidRPr="002E321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部分购置设备的议案》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监事会认为本次变更事项符合公司实际业务经营的需求，具备合理性，有利于公司业务规划和长远发展，且履行了必要的决策程序，符合中国证监会、上海证券交易所和交建股份关于募集资金使用的相关规定。监事会同意交建股份本次变更事项。</w:t>
      </w:r>
    </w:p>
    <w:p w:rsidR="00C53117" w:rsidRDefault="000B6AAC" w:rsidP="00585849">
      <w:pPr>
        <w:widowControl/>
        <w:adjustRightInd w:val="0"/>
        <w:snapToGrid w:val="0"/>
        <w:spacing w:beforeLines="50" w:before="156" w:afterLines="50" w:after="156" w:line="360" w:lineRule="auto"/>
        <w:ind w:firstLineChars="200" w:firstLine="482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0B6AAC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（三）保荐机构核查意见</w:t>
      </w:r>
    </w:p>
    <w:p w:rsidR="000B6AAC" w:rsidRPr="000B6AAC" w:rsidRDefault="000B6AAC" w:rsidP="000B6AAC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经核查，保荐机构认为：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</w:t>
      </w:r>
    </w:p>
    <w:p w:rsidR="000B6AAC" w:rsidRPr="000B6AAC" w:rsidRDefault="000B6AAC" w:rsidP="000B6AAC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、公司本次</w:t>
      </w:r>
      <w:r w:rsidR="009221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拟变更上述“购置施工机械设备项目”的部分购置设备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事项已经公司董事会和监事会审议通过，独立董事发表了明确同意意见，履行了必要的审批程序，符合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《上海证券交易所上市公司募集资金管理办法（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2013 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年修订）》</w:t>
      </w:r>
      <w:r w:rsidR="009221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《上市公司监管指引第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2 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号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>——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上市公司募集资金管理和使用的监管要求》等相关规定的要求</w:t>
      </w:r>
      <w:r w:rsidR="009221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，不存在违规变更募集资金用途的情形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；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</w:t>
      </w:r>
    </w:p>
    <w:p w:rsidR="000B6AAC" w:rsidRPr="000B6AAC" w:rsidRDefault="000B6AAC" w:rsidP="000B6AAC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>2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、公司本次</w:t>
      </w:r>
      <w:r w:rsidR="009221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变更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事项</w:t>
      </w:r>
      <w:r w:rsidR="009221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符合</w:t>
      </w:r>
      <w:bookmarkStart w:id="0" w:name="_GoBack"/>
      <w:bookmarkEnd w:id="0"/>
      <w:r w:rsidR="009221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公司实际业务</w:t>
      </w:r>
      <w:r w:rsidR="002E321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经营</w:t>
      </w:r>
      <w:r w:rsidR="009221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的需要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="009221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具备合理性，有利于公司业务规划和长远发展，</w:t>
      </w: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不存在变相改变募集资金投资项目和损害股东利益的情形；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</w:t>
      </w:r>
    </w:p>
    <w:p w:rsidR="000B6AAC" w:rsidRPr="000B6AAC" w:rsidRDefault="000B6AAC" w:rsidP="000B6AAC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综上，保荐机构同意公司本次</w:t>
      </w:r>
      <w:r w:rsidR="009221C5" w:rsidRPr="009221C5">
        <w:rPr>
          <w:rFonts w:asciiTheme="minorEastAsia" w:eastAsiaTheme="minorEastAsia" w:hAnsiTheme="minorEastAsia" w:hint="eastAsia"/>
          <w:sz w:val="24"/>
          <w:szCs w:val="24"/>
        </w:rPr>
        <w:t>变更募集资金投资项目</w:t>
      </w:r>
      <w:r w:rsidR="0058584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9221C5" w:rsidRPr="009221C5">
        <w:rPr>
          <w:rFonts w:asciiTheme="minorEastAsia" w:eastAsiaTheme="minorEastAsia" w:hAnsiTheme="minorEastAsia" w:hint="eastAsia"/>
          <w:sz w:val="24"/>
          <w:szCs w:val="24"/>
        </w:rPr>
        <w:t>购置施工机械设备项目</w:t>
      </w:r>
      <w:r w:rsidR="00585849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9221C5" w:rsidRPr="009221C5">
        <w:rPr>
          <w:rFonts w:asciiTheme="minorEastAsia" w:eastAsiaTheme="minorEastAsia" w:hAnsiTheme="minorEastAsia" w:hint="eastAsia"/>
          <w:sz w:val="24"/>
          <w:szCs w:val="24"/>
        </w:rPr>
        <w:t>部分购置设备</w:t>
      </w:r>
      <w:r w:rsidRPr="009221C5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事项。</w:t>
      </w:r>
      <w:r w:rsidRPr="000B6AAC"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</w:t>
      </w:r>
    </w:p>
    <w:p w:rsidR="000B6AAC" w:rsidRDefault="000B6AAC" w:rsidP="000B6AAC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0B6AAC" w:rsidRDefault="000B6AAC" w:rsidP="000B6AAC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0B6AAC" w:rsidRDefault="000B6AAC" w:rsidP="000B6AAC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  <w:sectPr w:rsidR="000B6AAC" w:rsidSect="002A60A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B6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（以下无正文）</w:t>
      </w:r>
    </w:p>
    <w:p w:rsidR="000B6AAC" w:rsidRDefault="000B6AAC" w:rsidP="000B6AAC">
      <w:pPr>
        <w:spacing w:line="360" w:lineRule="auto"/>
        <w:rPr>
          <w:sz w:val="24"/>
          <w:szCs w:val="24"/>
        </w:rPr>
      </w:pPr>
      <w:r w:rsidRPr="00666647">
        <w:rPr>
          <w:rFonts w:hint="eastAsia"/>
          <w:sz w:val="24"/>
          <w:szCs w:val="24"/>
        </w:rPr>
        <w:lastRenderedPageBreak/>
        <w:t>（本页无正文，为《国元证券股份有限公司关于安徽省交通建设股份有限公</w:t>
      </w:r>
      <w:r w:rsidRPr="009221C5">
        <w:rPr>
          <w:rFonts w:hint="eastAsia"/>
          <w:sz w:val="24"/>
          <w:szCs w:val="24"/>
        </w:rPr>
        <w:t>司</w:t>
      </w:r>
      <w:r w:rsidR="002F7C27">
        <w:rPr>
          <w:rFonts w:asciiTheme="minorEastAsia" w:eastAsiaTheme="minorEastAsia" w:hAnsiTheme="minorEastAsia" w:hint="eastAsia"/>
          <w:sz w:val="24"/>
          <w:szCs w:val="24"/>
        </w:rPr>
        <w:t>变更募集资金投资项目“购置施工机械设备项目”</w:t>
      </w:r>
      <w:r w:rsidR="009221C5" w:rsidRPr="009221C5">
        <w:rPr>
          <w:rFonts w:asciiTheme="minorEastAsia" w:eastAsiaTheme="minorEastAsia" w:hAnsiTheme="minorEastAsia" w:hint="eastAsia"/>
          <w:sz w:val="24"/>
          <w:szCs w:val="24"/>
        </w:rPr>
        <w:t>部分购置设备</w:t>
      </w:r>
      <w:r w:rsidRPr="009221C5">
        <w:rPr>
          <w:rFonts w:hint="eastAsia"/>
          <w:sz w:val="24"/>
          <w:szCs w:val="24"/>
        </w:rPr>
        <w:t>的</w:t>
      </w:r>
      <w:r w:rsidRPr="00666647">
        <w:rPr>
          <w:rFonts w:hint="eastAsia"/>
          <w:sz w:val="24"/>
          <w:szCs w:val="24"/>
        </w:rPr>
        <w:t>核查意见》之签章页）</w:t>
      </w:r>
    </w:p>
    <w:p w:rsidR="000B6AAC" w:rsidRDefault="000B6AAC" w:rsidP="000B6AAC">
      <w:pPr>
        <w:spacing w:line="360" w:lineRule="auto"/>
        <w:rPr>
          <w:sz w:val="24"/>
          <w:szCs w:val="24"/>
        </w:rPr>
      </w:pPr>
    </w:p>
    <w:p w:rsidR="000B6AAC" w:rsidRPr="009221C5" w:rsidRDefault="000B6AAC" w:rsidP="000B6AAC">
      <w:pPr>
        <w:spacing w:line="360" w:lineRule="auto"/>
        <w:rPr>
          <w:sz w:val="24"/>
          <w:szCs w:val="24"/>
        </w:rPr>
      </w:pPr>
    </w:p>
    <w:p w:rsidR="000B6AAC" w:rsidRDefault="000B6AAC" w:rsidP="000B6AAC">
      <w:pPr>
        <w:spacing w:line="360" w:lineRule="auto"/>
        <w:rPr>
          <w:sz w:val="24"/>
          <w:szCs w:val="24"/>
        </w:rPr>
      </w:pPr>
    </w:p>
    <w:p w:rsidR="000B6AAC" w:rsidRDefault="000B6AAC" w:rsidP="000B6AAC">
      <w:pPr>
        <w:spacing w:line="360" w:lineRule="auto"/>
        <w:rPr>
          <w:sz w:val="24"/>
          <w:szCs w:val="24"/>
        </w:rPr>
      </w:pPr>
    </w:p>
    <w:p w:rsidR="000B6AAC" w:rsidRDefault="000B6AAC" w:rsidP="000B6AAC">
      <w:pPr>
        <w:spacing w:line="360" w:lineRule="auto"/>
        <w:rPr>
          <w:sz w:val="24"/>
          <w:szCs w:val="24"/>
        </w:rPr>
      </w:pPr>
    </w:p>
    <w:p w:rsidR="000B6AAC" w:rsidRDefault="000B6AAC" w:rsidP="000B6AA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保荐代表人：</w:t>
      </w:r>
      <w:r>
        <w:rPr>
          <w:rFonts w:hint="eastAsia"/>
          <w:sz w:val="24"/>
          <w:szCs w:val="24"/>
        </w:rPr>
        <w:t xml:space="preserve">                  </w:t>
      </w:r>
    </w:p>
    <w:p w:rsidR="000B6AAC" w:rsidRDefault="000B6AAC" w:rsidP="000B6AAC">
      <w:pPr>
        <w:spacing w:line="360" w:lineRule="auto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梁化彬</w:t>
      </w:r>
      <w:r>
        <w:rPr>
          <w:rFonts w:hint="eastAsia"/>
          <w:sz w:val="24"/>
          <w:szCs w:val="24"/>
        </w:rPr>
        <w:t xml:space="preserve">                            </w:t>
      </w:r>
      <w:r>
        <w:rPr>
          <w:rFonts w:hint="eastAsia"/>
          <w:sz w:val="24"/>
          <w:szCs w:val="24"/>
        </w:rPr>
        <w:t>刘晋华</w:t>
      </w:r>
      <w:r>
        <w:rPr>
          <w:rFonts w:hint="eastAsia"/>
          <w:sz w:val="24"/>
          <w:szCs w:val="24"/>
        </w:rPr>
        <w:t xml:space="preserve">   </w:t>
      </w:r>
    </w:p>
    <w:p w:rsidR="000B6AAC" w:rsidRDefault="000B6AAC" w:rsidP="000B6AAC">
      <w:pPr>
        <w:spacing w:line="360" w:lineRule="auto"/>
        <w:ind w:firstLineChars="800" w:firstLine="1920"/>
        <w:rPr>
          <w:sz w:val="24"/>
          <w:szCs w:val="24"/>
        </w:rPr>
      </w:pPr>
    </w:p>
    <w:p w:rsidR="000B6AAC" w:rsidRPr="00666647" w:rsidRDefault="000B6AAC" w:rsidP="000B6AAC">
      <w:pPr>
        <w:spacing w:line="360" w:lineRule="auto"/>
        <w:jc w:val="left"/>
        <w:rPr>
          <w:sz w:val="24"/>
          <w:szCs w:val="24"/>
        </w:rPr>
      </w:pPr>
    </w:p>
    <w:p w:rsidR="000B6AAC" w:rsidRDefault="000B6AAC" w:rsidP="000B6AAC">
      <w:pPr>
        <w:spacing w:line="360" w:lineRule="auto"/>
        <w:jc w:val="left"/>
        <w:rPr>
          <w:sz w:val="24"/>
          <w:szCs w:val="24"/>
        </w:rPr>
      </w:pPr>
    </w:p>
    <w:p w:rsidR="000B6AAC" w:rsidRDefault="000B6AAC" w:rsidP="000B6AAC">
      <w:pPr>
        <w:spacing w:line="360" w:lineRule="auto"/>
        <w:jc w:val="right"/>
        <w:rPr>
          <w:sz w:val="24"/>
          <w:szCs w:val="24"/>
        </w:rPr>
      </w:pPr>
    </w:p>
    <w:p w:rsidR="000B6AAC" w:rsidRDefault="000B6AAC" w:rsidP="000B6AAC">
      <w:pPr>
        <w:spacing w:line="360" w:lineRule="auto"/>
        <w:jc w:val="right"/>
        <w:rPr>
          <w:sz w:val="24"/>
          <w:szCs w:val="24"/>
        </w:rPr>
      </w:pPr>
    </w:p>
    <w:p w:rsidR="000B6AAC" w:rsidRDefault="000B6AAC" w:rsidP="000B6AAC">
      <w:pPr>
        <w:spacing w:line="360" w:lineRule="auto"/>
        <w:jc w:val="right"/>
        <w:rPr>
          <w:sz w:val="24"/>
          <w:szCs w:val="24"/>
        </w:rPr>
      </w:pPr>
    </w:p>
    <w:p w:rsidR="000B6AAC" w:rsidRDefault="000B6AAC" w:rsidP="000B6AAC">
      <w:pPr>
        <w:spacing w:line="360" w:lineRule="auto"/>
        <w:jc w:val="right"/>
        <w:rPr>
          <w:sz w:val="24"/>
          <w:szCs w:val="24"/>
        </w:rPr>
      </w:pPr>
    </w:p>
    <w:p w:rsidR="000B6AAC" w:rsidRDefault="000B6AAC" w:rsidP="000B6AAC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国元证券股份有限公司</w:t>
      </w:r>
    </w:p>
    <w:p w:rsidR="000B6AAC" w:rsidRDefault="000B6AAC" w:rsidP="00972E26">
      <w:pPr>
        <w:spacing w:line="360" w:lineRule="auto"/>
        <w:ind w:right="240"/>
        <w:jc w:val="right"/>
        <w:rPr>
          <w:sz w:val="24"/>
          <w:szCs w:val="24"/>
        </w:rPr>
      </w:pPr>
    </w:p>
    <w:p w:rsidR="000B6AAC" w:rsidRPr="00666647" w:rsidRDefault="002F7C27" w:rsidP="00972E26">
      <w:pPr>
        <w:spacing w:line="360" w:lineRule="auto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2020</w:t>
      </w:r>
      <w:r w:rsidR="000B6AAC">
        <w:rPr>
          <w:rFonts w:hint="eastAsia"/>
          <w:sz w:val="24"/>
          <w:szCs w:val="24"/>
        </w:rPr>
        <w:t>年</w:t>
      </w:r>
      <w:r w:rsidR="000B6A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3 </w:t>
      </w:r>
      <w:r w:rsidR="000B6AAC">
        <w:rPr>
          <w:rFonts w:hint="eastAsia"/>
          <w:sz w:val="24"/>
          <w:szCs w:val="24"/>
        </w:rPr>
        <w:t>月</w:t>
      </w:r>
      <w:r w:rsidR="000B6A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3</w:t>
      </w:r>
      <w:r w:rsidR="0008130E">
        <w:rPr>
          <w:rFonts w:hint="eastAsia"/>
          <w:sz w:val="24"/>
          <w:szCs w:val="24"/>
        </w:rPr>
        <w:t xml:space="preserve"> </w:t>
      </w:r>
      <w:r w:rsidR="000B6AAC">
        <w:rPr>
          <w:rFonts w:hint="eastAsia"/>
          <w:sz w:val="24"/>
          <w:szCs w:val="24"/>
        </w:rPr>
        <w:t>日</w:t>
      </w:r>
    </w:p>
    <w:p w:rsidR="000B6AAC" w:rsidRPr="000B6AAC" w:rsidRDefault="000B6AAC" w:rsidP="000B6AAC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0B6AAC" w:rsidRPr="0094292B" w:rsidRDefault="000B6AAC" w:rsidP="00585849">
      <w:pPr>
        <w:adjustRightInd w:val="0"/>
        <w:snapToGrid w:val="0"/>
        <w:spacing w:beforeLines="50" w:before="156" w:line="360" w:lineRule="auto"/>
        <w:ind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:rsidR="000A60E4" w:rsidRDefault="000A60E4" w:rsidP="000A60E4">
      <w:pPr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/>
          <w:b/>
          <w:sz w:val="28"/>
        </w:rPr>
      </w:pPr>
    </w:p>
    <w:p w:rsidR="000A60E4" w:rsidRDefault="000A60E4" w:rsidP="000A60E4">
      <w:pPr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/>
          <w:b/>
          <w:sz w:val="28"/>
        </w:rPr>
      </w:pPr>
    </w:p>
    <w:sectPr w:rsidR="000A60E4" w:rsidSect="002A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35" w:rsidRDefault="00346535" w:rsidP="000A60E4">
      <w:r>
        <w:separator/>
      </w:r>
    </w:p>
  </w:endnote>
  <w:endnote w:type="continuationSeparator" w:id="0">
    <w:p w:rsidR="00346535" w:rsidRDefault="00346535" w:rsidP="000A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ā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844063"/>
      <w:docPartObj>
        <w:docPartGallery w:val="Page Numbers (Bottom of Page)"/>
        <w:docPartUnique/>
      </w:docPartObj>
    </w:sdtPr>
    <w:sdtEndPr/>
    <w:sdtContent>
      <w:p w:rsidR="003F70E3" w:rsidRDefault="00C53117">
        <w:pPr>
          <w:pStyle w:val="a4"/>
          <w:jc w:val="center"/>
        </w:pPr>
        <w:r>
          <w:fldChar w:fldCharType="begin"/>
        </w:r>
        <w:r w:rsidR="00AB5984">
          <w:instrText xml:space="preserve"> PAGE   \* MERGEFORMAT </w:instrText>
        </w:r>
        <w:r>
          <w:fldChar w:fldCharType="separate"/>
        </w:r>
        <w:r w:rsidR="00585849" w:rsidRPr="00585849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3F70E3" w:rsidRDefault="003F70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35" w:rsidRDefault="00346535" w:rsidP="000A60E4">
      <w:r>
        <w:separator/>
      </w:r>
    </w:p>
  </w:footnote>
  <w:footnote w:type="continuationSeparator" w:id="0">
    <w:p w:rsidR="00346535" w:rsidRDefault="00346535" w:rsidP="000A6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1410"/>
    <w:rsid w:val="000359EF"/>
    <w:rsid w:val="00041D96"/>
    <w:rsid w:val="00044CBF"/>
    <w:rsid w:val="0005493F"/>
    <w:rsid w:val="00062C4F"/>
    <w:rsid w:val="0008130E"/>
    <w:rsid w:val="00094CF7"/>
    <w:rsid w:val="000A148A"/>
    <w:rsid w:val="000A60E4"/>
    <w:rsid w:val="000B6AAC"/>
    <w:rsid w:val="000D5B36"/>
    <w:rsid w:val="000D7FEB"/>
    <w:rsid w:val="000E1442"/>
    <w:rsid w:val="000F1A7A"/>
    <w:rsid w:val="000F51D3"/>
    <w:rsid w:val="001029A3"/>
    <w:rsid w:val="001201BD"/>
    <w:rsid w:val="001255F8"/>
    <w:rsid w:val="00154458"/>
    <w:rsid w:val="001723D1"/>
    <w:rsid w:val="00182BBF"/>
    <w:rsid w:val="00186070"/>
    <w:rsid w:val="001875DD"/>
    <w:rsid w:val="001A0767"/>
    <w:rsid w:val="001A0DFB"/>
    <w:rsid w:val="001A167B"/>
    <w:rsid w:val="001A63FE"/>
    <w:rsid w:val="00230F5C"/>
    <w:rsid w:val="00231618"/>
    <w:rsid w:val="0024278C"/>
    <w:rsid w:val="00244FFC"/>
    <w:rsid w:val="00290198"/>
    <w:rsid w:val="002A60A2"/>
    <w:rsid w:val="002E2F36"/>
    <w:rsid w:val="002E3211"/>
    <w:rsid w:val="002E3237"/>
    <w:rsid w:val="002F7C27"/>
    <w:rsid w:val="0030128D"/>
    <w:rsid w:val="00311FA7"/>
    <w:rsid w:val="00321410"/>
    <w:rsid w:val="0033386D"/>
    <w:rsid w:val="00346535"/>
    <w:rsid w:val="00353729"/>
    <w:rsid w:val="00362629"/>
    <w:rsid w:val="00374B9D"/>
    <w:rsid w:val="003830AE"/>
    <w:rsid w:val="003A4ED0"/>
    <w:rsid w:val="003C0341"/>
    <w:rsid w:val="003C2475"/>
    <w:rsid w:val="003D3A22"/>
    <w:rsid w:val="003D7D4D"/>
    <w:rsid w:val="003F70E3"/>
    <w:rsid w:val="004141DD"/>
    <w:rsid w:val="00432169"/>
    <w:rsid w:val="00474746"/>
    <w:rsid w:val="004C4229"/>
    <w:rsid w:val="004F43B7"/>
    <w:rsid w:val="00526FA5"/>
    <w:rsid w:val="005420AE"/>
    <w:rsid w:val="005508AA"/>
    <w:rsid w:val="00585849"/>
    <w:rsid w:val="00591084"/>
    <w:rsid w:val="00591F25"/>
    <w:rsid w:val="005B37BC"/>
    <w:rsid w:val="005B5013"/>
    <w:rsid w:val="005C00D4"/>
    <w:rsid w:val="005C1429"/>
    <w:rsid w:val="005D0BFE"/>
    <w:rsid w:val="005D11E2"/>
    <w:rsid w:val="005E3E9D"/>
    <w:rsid w:val="00612049"/>
    <w:rsid w:val="00617088"/>
    <w:rsid w:val="00640301"/>
    <w:rsid w:val="006519CF"/>
    <w:rsid w:val="00661D3F"/>
    <w:rsid w:val="00691B62"/>
    <w:rsid w:val="006B4414"/>
    <w:rsid w:val="006B6816"/>
    <w:rsid w:val="006D7D8B"/>
    <w:rsid w:val="006E05E2"/>
    <w:rsid w:val="006E1690"/>
    <w:rsid w:val="00711800"/>
    <w:rsid w:val="007146DC"/>
    <w:rsid w:val="0071779F"/>
    <w:rsid w:val="007177B6"/>
    <w:rsid w:val="007246C8"/>
    <w:rsid w:val="00724D41"/>
    <w:rsid w:val="00732B61"/>
    <w:rsid w:val="007341B8"/>
    <w:rsid w:val="00736FF2"/>
    <w:rsid w:val="007733D9"/>
    <w:rsid w:val="0077696D"/>
    <w:rsid w:val="0079016D"/>
    <w:rsid w:val="007955A8"/>
    <w:rsid w:val="007A4DF4"/>
    <w:rsid w:val="007B4BAE"/>
    <w:rsid w:val="007C06F2"/>
    <w:rsid w:val="007C4530"/>
    <w:rsid w:val="007D4757"/>
    <w:rsid w:val="007E36B3"/>
    <w:rsid w:val="007E3771"/>
    <w:rsid w:val="00804D93"/>
    <w:rsid w:val="0080507D"/>
    <w:rsid w:val="00833D7A"/>
    <w:rsid w:val="00850BC2"/>
    <w:rsid w:val="008711ED"/>
    <w:rsid w:val="00892230"/>
    <w:rsid w:val="00896100"/>
    <w:rsid w:val="00897876"/>
    <w:rsid w:val="008A0985"/>
    <w:rsid w:val="008A2B4B"/>
    <w:rsid w:val="008A69EE"/>
    <w:rsid w:val="008F3290"/>
    <w:rsid w:val="008F75F3"/>
    <w:rsid w:val="0090157D"/>
    <w:rsid w:val="00902CE8"/>
    <w:rsid w:val="009221C5"/>
    <w:rsid w:val="00922EE2"/>
    <w:rsid w:val="009300D8"/>
    <w:rsid w:val="009302CF"/>
    <w:rsid w:val="00930992"/>
    <w:rsid w:val="0094292B"/>
    <w:rsid w:val="00944576"/>
    <w:rsid w:val="00955931"/>
    <w:rsid w:val="00965E51"/>
    <w:rsid w:val="00972E26"/>
    <w:rsid w:val="0097641A"/>
    <w:rsid w:val="00987053"/>
    <w:rsid w:val="009A6709"/>
    <w:rsid w:val="009B0B58"/>
    <w:rsid w:val="009E5361"/>
    <w:rsid w:val="009E7573"/>
    <w:rsid w:val="009F166B"/>
    <w:rsid w:val="00A13497"/>
    <w:rsid w:val="00A226A6"/>
    <w:rsid w:val="00A301D7"/>
    <w:rsid w:val="00A3738A"/>
    <w:rsid w:val="00A9796C"/>
    <w:rsid w:val="00AA66CD"/>
    <w:rsid w:val="00AB2F35"/>
    <w:rsid w:val="00AB2FC6"/>
    <w:rsid w:val="00AB36D0"/>
    <w:rsid w:val="00AB3D52"/>
    <w:rsid w:val="00AB5984"/>
    <w:rsid w:val="00AB63A9"/>
    <w:rsid w:val="00AC5868"/>
    <w:rsid w:val="00AF10A4"/>
    <w:rsid w:val="00AF7F46"/>
    <w:rsid w:val="00B256AA"/>
    <w:rsid w:val="00B2572E"/>
    <w:rsid w:val="00B27A44"/>
    <w:rsid w:val="00B27EDD"/>
    <w:rsid w:val="00B412F3"/>
    <w:rsid w:val="00B44030"/>
    <w:rsid w:val="00B53AEE"/>
    <w:rsid w:val="00B64F62"/>
    <w:rsid w:val="00B842A4"/>
    <w:rsid w:val="00B84B3F"/>
    <w:rsid w:val="00B86C4E"/>
    <w:rsid w:val="00B940B5"/>
    <w:rsid w:val="00BB6F49"/>
    <w:rsid w:val="00BC23B8"/>
    <w:rsid w:val="00BC2786"/>
    <w:rsid w:val="00BC71BD"/>
    <w:rsid w:val="00C11620"/>
    <w:rsid w:val="00C17690"/>
    <w:rsid w:val="00C17D07"/>
    <w:rsid w:val="00C33318"/>
    <w:rsid w:val="00C37EA0"/>
    <w:rsid w:val="00C53117"/>
    <w:rsid w:val="00C62873"/>
    <w:rsid w:val="00C6611C"/>
    <w:rsid w:val="00C73809"/>
    <w:rsid w:val="00C73CDC"/>
    <w:rsid w:val="00C776EF"/>
    <w:rsid w:val="00CA322D"/>
    <w:rsid w:val="00CB2716"/>
    <w:rsid w:val="00CE5F90"/>
    <w:rsid w:val="00D03ACD"/>
    <w:rsid w:val="00D040B4"/>
    <w:rsid w:val="00D236CE"/>
    <w:rsid w:val="00D31596"/>
    <w:rsid w:val="00D63B4D"/>
    <w:rsid w:val="00E036FA"/>
    <w:rsid w:val="00E11C41"/>
    <w:rsid w:val="00E2686C"/>
    <w:rsid w:val="00E42435"/>
    <w:rsid w:val="00E533F6"/>
    <w:rsid w:val="00E56121"/>
    <w:rsid w:val="00E62452"/>
    <w:rsid w:val="00E67668"/>
    <w:rsid w:val="00EA56BB"/>
    <w:rsid w:val="00EA6D5B"/>
    <w:rsid w:val="00ED1110"/>
    <w:rsid w:val="00EE5B41"/>
    <w:rsid w:val="00F23C6A"/>
    <w:rsid w:val="00F2676A"/>
    <w:rsid w:val="00F44152"/>
    <w:rsid w:val="00F928CF"/>
    <w:rsid w:val="00FA132C"/>
    <w:rsid w:val="00FB6399"/>
    <w:rsid w:val="00FC41A7"/>
    <w:rsid w:val="00FD3007"/>
    <w:rsid w:val="00FE4519"/>
    <w:rsid w:val="00FF1B13"/>
    <w:rsid w:val="00FF7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F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6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60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0E4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0B6AAC"/>
    <w:pPr>
      <w:widowControl w:val="0"/>
      <w:autoSpaceDE w:val="0"/>
      <w:autoSpaceDN w:val="0"/>
      <w:adjustRightInd w:val="0"/>
    </w:pPr>
    <w:rPr>
      <w:rFonts w:ascii="宋体ā" w:eastAsia="宋体ā" w:cs="宋体ā"/>
      <w:color w:val="000000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41D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1D96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E321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E3211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E3211"/>
    <w:rPr>
      <w:rFonts w:ascii="Times New Roman" w:eastAsia="宋体" w:hAnsi="Times New Roman" w:cs="Times New Roman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E3211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E3211"/>
    <w:rPr>
      <w:rFonts w:ascii="Times New Roman" w:eastAsia="宋体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F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71B3-1844-432E-9E56-E89AAF66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44</cp:revision>
  <cp:lastPrinted>2020-03-02T01:37:00Z</cp:lastPrinted>
  <dcterms:created xsi:type="dcterms:W3CDTF">2020-02-18T08:56:00Z</dcterms:created>
  <dcterms:modified xsi:type="dcterms:W3CDTF">2020-03-03T05:38:00Z</dcterms:modified>
</cp:coreProperties>
</file>