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49" w:rsidRPr="00B30C40" w:rsidRDefault="000B6430" w:rsidP="00416BC3">
      <w:pPr>
        <w:pStyle w:val="a3"/>
        <w:tabs>
          <w:tab w:val="left" w:pos="3525"/>
          <w:tab w:val="left" w:pos="6600"/>
        </w:tabs>
        <w:spacing w:before="82"/>
        <w:ind w:left="220"/>
        <w:rPr>
          <w:rFonts w:ascii="Times New Roman" w:hAnsi="Times New Roman" w:cs="Times New Roman"/>
        </w:rPr>
      </w:pPr>
      <w:r w:rsidRPr="00B30C40">
        <w:rPr>
          <w:rFonts w:ascii="Times New Roman" w:hAnsi="Times New Roman" w:cs="Times New Roman"/>
        </w:rPr>
        <w:t>证券代码</w:t>
      </w:r>
      <w:r w:rsidRPr="00B30C40">
        <w:rPr>
          <w:rFonts w:ascii="Times New Roman" w:hAnsi="Times New Roman" w:cs="Times New Roman"/>
          <w:spacing w:val="-8"/>
        </w:rPr>
        <w:t>：</w:t>
      </w:r>
      <w:r w:rsidR="00350E54" w:rsidRPr="00B30C40">
        <w:rPr>
          <w:rFonts w:ascii="Times New Roman" w:hAnsi="Times New Roman" w:cs="Times New Roman"/>
          <w:spacing w:val="-8"/>
        </w:rPr>
        <w:t>603</w:t>
      </w:r>
      <w:r w:rsidR="00350E54">
        <w:rPr>
          <w:rFonts w:ascii="Times New Roman" w:hAnsi="Times New Roman" w:cs="Times New Roman" w:hint="eastAsia"/>
          <w:spacing w:val="-8"/>
        </w:rPr>
        <w:t>8</w:t>
      </w:r>
      <w:r w:rsidR="00350E54" w:rsidRPr="00B30C40">
        <w:rPr>
          <w:rFonts w:ascii="Times New Roman" w:hAnsi="Times New Roman" w:cs="Times New Roman"/>
          <w:spacing w:val="-8"/>
        </w:rPr>
        <w:t>15</w:t>
      </w:r>
      <w:r w:rsidRPr="00B30C40">
        <w:rPr>
          <w:rFonts w:ascii="Times New Roman" w:hAnsi="Times New Roman" w:cs="Times New Roman"/>
          <w:spacing w:val="-8"/>
        </w:rPr>
        <w:tab/>
      </w:r>
      <w:r w:rsidRPr="00B30C40">
        <w:rPr>
          <w:rFonts w:ascii="Times New Roman" w:hAnsi="Times New Roman" w:cs="Times New Roman"/>
        </w:rPr>
        <w:t>证券简称</w:t>
      </w:r>
      <w:r w:rsidRPr="00B30C40">
        <w:rPr>
          <w:rFonts w:ascii="Times New Roman" w:hAnsi="Times New Roman" w:cs="Times New Roman"/>
          <w:spacing w:val="-51"/>
        </w:rPr>
        <w:t>：</w:t>
      </w:r>
      <w:r w:rsidR="00350E54">
        <w:rPr>
          <w:rFonts w:ascii="Times New Roman" w:hAnsi="Times New Roman" w:cs="Times New Roman" w:hint="eastAsia"/>
        </w:rPr>
        <w:t>交建</w:t>
      </w:r>
      <w:r w:rsidR="00580EB3" w:rsidRPr="00B30C40">
        <w:rPr>
          <w:rFonts w:ascii="Times New Roman" w:hAnsi="Times New Roman" w:cs="Times New Roman"/>
        </w:rPr>
        <w:t>股份</w:t>
      </w:r>
      <w:r w:rsidRPr="00B30C40">
        <w:rPr>
          <w:rFonts w:ascii="Times New Roman" w:hAnsi="Times New Roman" w:cs="Times New Roman"/>
        </w:rPr>
        <w:tab/>
      </w:r>
      <w:r w:rsidRPr="00B30C40">
        <w:rPr>
          <w:rFonts w:ascii="Times New Roman" w:hAnsi="Times New Roman" w:cs="Times New Roman"/>
        </w:rPr>
        <w:t>公告编号</w:t>
      </w:r>
      <w:r w:rsidRPr="00B30C40">
        <w:rPr>
          <w:rFonts w:ascii="Times New Roman" w:hAnsi="Times New Roman" w:cs="Times New Roman"/>
          <w:spacing w:val="-51"/>
        </w:rPr>
        <w:t>：</w:t>
      </w:r>
      <w:r w:rsidR="00580EB3" w:rsidRPr="00B30C40">
        <w:rPr>
          <w:rFonts w:ascii="Times New Roman" w:hAnsi="Times New Roman" w:cs="Times New Roman"/>
        </w:rPr>
        <w:t>2019</w:t>
      </w:r>
      <w:r w:rsidRPr="00B30C40">
        <w:rPr>
          <w:rFonts w:ascii="Times New Roman" w:hAnsi="Times New Roman" w:cs="Times New Roman"/>
        </w:rPr>
        <w:t>-</w:t>
      </w:r>
      <w:r w:rsidR="00F62D89">
        <w:rPr>
          <w:rFonts w:ascii="Times New Roman" w:hAnsi="Times New Roman" w:cs="Times New Roman" w:hint="eastAsia"/>
        </w:rPr>
        <w:t>00</w:t>
      </w:r>
      <w:r w:rsidR="001723FA">
        <w:rPr>
          <w:rFonts w:ascii="Times New Roman" w:hAnsi="Times New Roman" w:cs="Times New Roman" w:hint="eastAsia"/>
        </w:rPr>
        <w:t>6</w:t>
      </w:r>
    </w:p>
    <w:p w:rsidR="00DA6849" w:rsidRDefault="00DA6849">
      <w:pPr>
        <w:pStyle w:val="a3"/>
      </w:pPr>
    </w:p>
    <w:p w:rsidR="00DA6849" w:rsidRPr="00ED2389" w:rsidRDefault="00350E54" w:rsidP="00ED2389">
      <w:pPr>
        <w:autoSpaceDE/>
        <w:autoSpaceDN/>
        <w:snapToGrid w:val="0"/>
        <w:spacing w:line="360" w:lineRule="auto"/>
        <w:jc w:val="center"/>
        <w:rPr>
          <w:rFonts w:cs="Times New Roman"/>
          <w:b/>
          <w:bCs/>
          <w:color w:val="FF0000"/>
          <w:kern w:val="2"/>
          <w:sz w:val="36"/>
          <w:szCs w:val="36"/>
          <w:lang w:val="en-US" w:bidi="ar-SA"/>
        </w:rPr>
      </w:pPr>
      <w:r w:rsidRPr="00ED2389">
        <w:rPr>
          <w:rFonts w:cs="Times New Roman" w:hint="eastAsia"/>
          <w:b/>
          <w:bCs/>
          <w:color w:val="FF0000"/>
          <w:kern w:val="2"/>
          <w:sz w:val="36"/>
          <w:szCs w:val="36"/>
          <w:lang w:val="en-US" w:bidi="ar-SA"/>
        </w:rPr>
        <w:t>安徽省交通建设股份有限公司</w:t>
      </w:r>
    </w:p>
    <w:p w:rsidR="00DA6849" w:rsidRPr="00ED2389" w:rsidRDefault="00ED2389" w:rsidP="00ED2389">
      <w:pPr>
        <w:autoSpaceDE/>
        <w:autoSpaceDN/>
        <w:snapToGrid w:val="0"/>
        <w:spacing w:line="360" w:lineRule="auto"/>
        <w:jc w:val="center"/>
        <w:rPr>
          <w:rFonts w:cs="Times New Roman"/>
          <w:b/>
          <w:bCs/>
          <w:color w:val="FF0000"/>
          <w:kern w:val="2"/>
          <w:sz w:val="36"/>
          <w:szCs w:val="36"/>
          <w:lang w:val="en-US" w:bidi="ar-SA"/>
        </w:rPr>
      </w:pPr>
      <w:r w:rsidRPr="00ED2389">
        <w:rPr>
          <w:rFonts w:cs="Times New Roman"/>
          <w:b/>
          <w:bCs/>
          <w:color w:val="FF0000"/>
          <w:kern w:val="2"/>
          <w:sz w:val="36"/>
          <w:szCs w:val="36"/>
          <w:lang w:val="en-US" w:bidi="ar-SA"/>
        </w:rPr>
        <w:t>关于</w:t>
      </w:r>
      <w:r w:rsidRPr="00ED2389">
        <w:rPr>
          <w:rFonts w:cs="Times New Roman" w:hint="eastAsia"/>
          <w:b/>
          <w:bCs/>
          <w:color w:val="FF0000"/>
          <w:kern w:val="2"/>
          <w:sz w:val="36"/>
          <w:szCs w:val="36"/>
          <w:lang w:val="en-US" w:bidi="ar-SA"/>
        </w:rPr>
        <w:t>在《公司章程》中增加党建工作内容和</w:t>
      </w:r>
      <w:r w:rsidR="006D3699">
        <w:rPr>
          <w:rFonts w:cs="Times New Roman" w:hint="eastAsia"/>
          <w:b/>
          <w:bCs/>
          <w:color w:val="FF0000"/>
          <w:kern w:val="2"/>
          <w:sz w:val="36"/>
          <w:szCs w:val="36"/>
          <w:lang w:val="en-US" w:bidi="ar-SA"/>
        </w:rPr>
        <w:t>对</w:t>
      </w:r>
      <w:r w:rsidRPr="00ED2389">
        <w:rPr>
          <w:rFonts w:cs="Times New Roman" w:hint="eastAsia"/>
          <w:b/>
          <w:bCs/>
          <w:color w:val="FF0000"/>
          <w:kern w:val="2"/>
          <w:sz w:val="36"/>
          <w:szCs w:val="36"/>
          <w:lang w:val="en-US" w:bidi="ar-SA"/>
        </w:rPr>
        <w:t>有关条款进行修订即修改《公司章程》的公告</w:t>
      </w:r>
    </w:p>
    <w:p w:rsidR="00DA6849" w:rsidRDefault="00DA6849">
      <w:pPr>
        <w:pStyle w:val="a3"/>
        <w:rPr>
          <w:b/>
          <w:sz w:val="20"/>
        </w:rPr>
      </w:pPr>
    </w:p>
    <w:p w:rsidR="00DA6849" w:rsidRDefault="00CA07CA" w:rsidP="00200439">
      <w:pPr>
        <w:pStyle w:val="a3"/>
        <w:spacing w:before="9"/>
        <w:rPr>
          <w:b/>
          <w:sz w:val="20"/>
        </w:rPr>
      </w:pPr>
      <w:r>
        <w:rPr>
          <w:noProof/>
          <w:lang w:val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3.7pt;margin-top:.7pt;width:426.7pt;height:69.4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" filled="f" strokeweight=".48pt">
            <v:textbox inset="0,0,0,0">
              <w:txbxContent>
                <w:p w:rsidR="000B6430" w:rsidRDefault="000B6430">
                  <w:pPr>
                    <w:pStyle w:val="a3"/>
                    <w:spacing w:before="17" w:line="602" w:lineRule="exact"/>
                    <w:ind w:left="108" w:right="107" w:firstLine="479"/>
                  </w:pPr>
                  <w:r>
                    <w:rPr>
                      <w:spacing w:val="-5"/>
                    </w:rPr>
                    <w:t>本公司董事会及全体董事保证本公告内容不存在任何虚假记载、误导性陈述</w:t>
                  </w:r>
                  <w:r>
                    <w:t>或者重大遗漏，并对其内容的真实性、准确性和完整性承担个别及连带责任。</w:t>
                  </w:r>
                </w:p>
              </w:txbxContent>
            </v:textbox>
            <w10:wrap type="topAndBottom" anchorx="page"/>
          </v:shape>
        </w:pict>
      </w:r>
    </w:p>
    <w:p w:rsidR="00DA6849" w:rsidRDefault="00DA6849">
      <w:pPr>
        <w:pStyle w:val="a3"/>
        <w:rPr>
          <w:b/>
          <w:sz w:val="20"/>
        </w:rPr>
      </w:pPr>
    </w:p>
    <w:p w:rsidR="00DA6849" w:rsidRDefault="00DA6849">
      <w:pPr>
        <w:pStyle w:val="a3"/>
        <w:spacing w:before="1"/>
        <w:rPr>
          <w:b/>
          <w:sz w:val="18"/>
        </w:rPr>
      </w:pPr>
    </w:p>
    <w:p w:rsidR="00DA6849" w:rsidRDefault="005B06D5" w:rsidP="00960CB9">
      <w:pPr>
        <w:pStyle w:val="a3"/>
        <w:spacing w:line="360" w:lineRule="auto"/>
        <w:ind w:left="221" w:right="238" w:firstLine="476"/>
        <w:jc w:val="both"/>
        <w:rPr>
          <w:spacing w:val="-5"/>
        </w:rPr>
      </w:pPr>
      <w:r>
        <w:rPr>
          <w:rFonts w:hint="eastAsia"/>
        </w:rPr>
        <w:t>安徽省交通建设股份有限公司</w:t>
      </w:r>
      <w:r w:rsidR="000B6430">
        <w:t>（以下简称“公司”</w:t>
      </w:r>
      <w:r w:rsidR="007009E1">
        <w:t>或</w:t>
      </w:r>
      <w:r w:rsidR="007009E1">
        <w:rPr>
          <w:rFonts w:hint="eastAsia"/>
        </w:rPr>
        <w:t>“交建股份”</w:t>
      </w:r>
      <w:r w:rsidR="000B6430">
        <w:t>）</w:t>
      </w:r>
      <w:r w:rsidR="000B6430">
        <w:rPr>
          <w:spacing w:val="-10"/>
        </w:rPr>
        <w:t>于</w:t>
      </w:r>
      <w:r w:rsidR="004F2DB7" w:rsidRPr="004F2DB7">
        <w:rPr>
          <w:rFonts w:cs="Times New Roman"/>
          <w:spacing w:val="-10"/>
        </w:rPr>
        <w:t>2020</w:t>
      </w:r>
      <w:r w:rsidR="004F2DB7" w:rsidRPr="004F2DB7">
        <w:rPr>
          <w:rFonts w:cs="Times New Roman" w:hint="eastAsia"/>
          <w:spacing w:val="-10"/>
        </w:rPr>
        <w:t>年</w:t>
      </w:r>
      <w:r w:rsidR="004F2DB7" w:rsidRPr="004F2DB7">
        <w:rPr>
          <w:rFonts w:cs="Times New Roman"/>
          <w:spacing w:val="-10"/>
        </w:rPr>
        <w:t>3</w:t>
      </w:r>
      <w:r w:rsidR="004F2DB7" w:rsidRPr="004F2DB7">
        <w:rPr>
          <w:rFonts w:cs="Times New Roman" w:hint="eastAsia"/>
          <w:spacing w:val="-10"/>
        </w:rPr>
        <w:t>月</w:t>
      </w:r>
      <w:r w:rsidR="004F2DB7" w:rsidRPr="004F2DB7">
        <w:rPr>
          <w:rFonts w:cs="Times New Roman"/>
          <w:spacing w:val="-10"/>
        </w:rPr>
        <w:t>2</w:t>
      </w:r>
      <w:r w:rsidR="004F2DB7" w:rsidRPr="004F2DB7">
        <w:rPr>
          <w:rFonts w:cs="Times New Roman" w:hint="eastAsia"/>
          <w:spacing w:val="-10"/>
        </w:rPr>
        <w:t>日</w:t>
      </w:r>
      <w:r w:rsidR="000B6430" w:rsidRPr="00EB6DB0">
        <w:rPr>
          <w:rFonts w:ascii="Times New Roman" w:hAnsi="Times New Roman" w:cs="Times New Roman"/>
          <w:spacing w:val="-6"/>
        </w:rPr>
        <w:t>召开了第</w:t>
      </w:r>
      <w:r w:rsidR="00C94E15">
        <w:rPr>
          <w:rFonts w:ascii="Times New Roman" w:hAnsi="Times New Roman" w:cs="Times New Roman" w:hint="eastAsia"/>
          <w:spacing w:val="-6"/>
        </w:rPr>
        <w:t>二</w:t>
      </w:r>
      <w:r w:rsidR="000B6430" w:rsidRPr="00EB6DB0">
        <w:rPr>
          <w:rFonts w:ascii="Times New Roman" w:hAnsi="Times New Roman" w:cs="Times New Roman"/>
          <w:spacing w:val="-6"/>
        </w:rPr>
        <w:t>届董事会第</w:t>
      </w:r>
      <w:r w:rsidR="009A3864">
        <w:rPr>
          <w:rFonts w:ascii="Times New Roman" w:hAnsi="Times New Roman" w:cs="Times New Roman" w:hint="eastAsia"/>
          <w:spacing w:val="-6"/>
        </w:rPr>
        <w:t>三</w:t>
      </w:r>
      <w:r w:rsidR="007009E1">
        <w:rPr>
          <w:rFonts w:ascii="Times New Roman" w:hAnsi="Times New Roman" w:cs="Times New Roman" w:hint="eastAsia"/>
          <w:spacing w:val="-6"/>
        </w:rPr>
        <w:t>次</w:t>
      </w:r>
      <w:r w:rsidR="007009E1">
        <w:rPr>
          <w:rFonts w:ascii="Times New Roman" w:hAnsi="Times New Roman" w:cs="Times New Roman"/>
          <w:spacing w:val="-6"/>
        </w:rPr>
        <w:t>会议，</w:t>
      </w:r>
      <w:r w:rsidR="000B6430" w:rsidRPr="00EB6DB0">
        <w:rPr>
          <w:rFonts w:ascii="Times New Roman" w:hAnsi="Times New Roman" w:cs="Times New Roman"/>
          <w:spacing w:val="-6"/>
        </w:rPr>
        <w:t>审议通过了</w:t>
      </w:r>
      <w:r w:rsidR="0028338F" w:rsidRPr="002249D8">
        <w:rPr>
          <w:rFonts w:ascii="Times New Roman" w:hAnsi="Times New Roman" w:cs="Times New Roman" w:hint="eastAsia"/>
          <w:spacing w:val="-6"/>
        </w:rPr>
        <w:t>《关于修改</w:t>
      </w:r>
      <w:r w:rsidR="00C94E15">
        <w:rPr>
          <w:rFonts w:ascii="Times New Roman" w:hAnsi="Times New Roman" w:cs="Times New Roman" w:hint="eastAsia"/>
          <w:spacing w:val="-6"/>
        </w:rPr>
        <w:t>&lt;</w:t>
      </w:r>
      <w:r w:rsidR="0028338F" w:rsidRPr="002249D8">
        <w:rPr>
          <w:rFonts w:ascii="Times New Roman" w:hAnsi="Times New Roman" w:cs="Times New Roman" w:hint="eastAsia"/>
          <w:spacing w:val="-6"/>
        </w:rPr>
        <w:t>公司章程</w:t>
      </w:r>
      <w:r w:rsidR="00C94E15">
        <w:rPr>
          <w:rFonts w:ascii="Times New Roman" w:hAnsi="Times New Roman" w:cs="Times New Roman" w:hint="eastAsia"/>
          <w:spacing w:val="-6"/>
        </w:rPr>
        <w:t>&gt;</w:t>
      </w:r>
      <w:r w:rsidR="0028338F" w:rsidRPr="002249D8">
        <w:rPr>
          <w:rFonts w:ascii="Times New Roman" w:hAnsi="Times New Roman" w:cs="Times New Roman" w:hint="eastAsia"/>
          <w:spacing w:val="-6"/>
        </w:rPr>
        <w:t>的议案》</w:t>
      </w:r>
      <w:r w:rsidR="000D4C36">
        <w:rPr>
          <w:rFonts w:ascii="Times New Roman" w:hAnsi="Times New Roman" w:cs="Times New Roman" w:hint="eastAsia"/>
          <w:spacing w:val="-6"/>
        </w:rPr>
        <w:t>。修改后的《公司章程》尚需经公司</w:t>
      </w:r>
      <w:r w:rsidR="000D4C36">
        <w:rPr>
          <w:rFonts w:ascii="Times New Roman" w:hAnsi="Times New Roman" w:cs="Times New Roman" w:hint="eastAsia"/>
          <w:spacing w:val="-6"/>
        </w:rPr>
        <w:t>2020</w:t>
      </w:r>
      <w:r w:rsidR="000D4C36">
        <w:rPr>
          <w:rFonts w:ascii="Times New Roman" w:hAnsi="Times New Roman" w:cs="Times New Roman" w:hint="eastAsia"/>
          <w:spacing w:val="-6"/>
        </w:rPr>
        <w:t>年第一次临时股东大会审议通过后方可生效</w:t>
      </w:r>
      <w:r w:rsidR="000B6430" w:rsidRPr="002249D8">
        <w:rPr>
          <w:rFonts w:ascii="Times New Roman" w:hAnsi="Times New Roman" w:cs="Times New Roman"/>
          <w:spacing w:val="-6"/>
        </w:rPr>
        <w:t>。</w:t>
      </w:r>
      <w:r w:rsidR="008911EA" w:rsidRPr="002249D8">
        <w:rPr>
          <w:rFonts w:ascii="Times New Roman" w:hAnsi="Times New Roman" w:cs="Times New Roman" w:hint="eastAsia"/>
          <w:spacing w:val="-6"/>
        </w:rPr>
        <w:t>现</w:t>
      </w:r>
      <w:r w:rsidR="008911EA" w:rsidRPr="008911EA">
        <w:rPr>
          <w:rFonts w:hint="eastAsia"/>
          <w:spacing w:val="-5"/>
        </w:rPr>
        <w:t>将有关情况公告如下：</w:t>
      </w:r>
    </w:p>
    <w:p w:rsidR="002249D8" w:rsidRPr="00127A12" w:rsidRDefault="00D913E5" w:rsidP="00127A12">
      <w:pPr>
        <w:pStyle w:val="a3"/>
        <w:spacing w:line="360" w:lineRule="auto"/>
        <w:ind w:left="221" w:right="238" w:firstLine="476"/>
        <w:jc w:val="both"/>
      </w:pPr>
      <w:r w:rsidRPr="00127A12">
        <w:rPr>
          <w:rFonts w:hint="eastAsia"/>
        </w:rPr>
        <w:t>根据</w:t>
      </w:r>
      <w:r w:rsidRPr="00127A12">
        <w:t>中国证券监督管理委员会</w:t>
      </w:r>
      <w:r w:rsidRPr="005357F4">
        <w:t>发布</w:t>
      </w:r>
      <w:r w:rsidRPr="00127A12">
        <w:rPr>
          <w:rFonts w:hint="eastAsia"/>
        </w:rPr>
        <w:t>的</w:t>
      </w:r>
      <w:r w:rsidRPr="005357F4">
        <w:t>《关于修改〈上市公司章程指引〉的决定》</w:t>
      </w:r>
      <w:r w:rsidRPr="00127A12">
        <w:rPr>
          <w:rFonts w:hint="eastAsia"/>
        </w:rPr>
        <w:t>（</w:t>
      </w:r>
      <w:r w:rsidRPr="005357F4">
        <w:t>〔2019〕第10号公告</w:t>
      </w:r>
      <w:r w:rsidRPr="00127A12">
        <w:rPr>
          <w:rFonts w:hint="eastAsia"/>
        </w:rPr>
        <w:t>）中章程指引内容，并结合公司实际情况</w:t>
      </w:r>
      <w:r w:rsidR="00127A12" w:rsidRPr="00127A12">
        <w:rPr>
          <w:rFonts w:hint="eastAsia"/>
        </w:rPr>
        <w:t>和经营管理需要</w:t>
      </w:r>
      <w:r w:rsidRPr="00127A12">
        <w:rPr>
          <w:rFonts w:hint="eastAsia"/>
        </w:rPr>
        <w:t>，拟</w:t>
      </w:r>
      <w:r w:rsidR="00127A12" w:rsidRPr="00127A12">
        <w:rPr>
          <w:rFonts w:hint="eastAsia"/>
        </w:rPr>
        <w:t>在《公司章程》中增加党建工作内容和</w:t>
      </w:r>
      <w:r w:rsidR="00B9021E">
        <w:rPr>
          <w:rFonts w:hint="eastAsia"/>
        </w:rPr>
        <w:t>对</w:t>
      </w:r>
      <w:r w:rsidR="00127A12" w:rsidRPr="00127A12">
        <w:rPr>
          <w:rFonts w:hint="eastAsia"/>
        </w:rPr>
        <w:t>有关条款进行修订</w:t>
      </w:r>
      <w:r w:rsidR="008C045B" w:rsidRPr="00127A12">
        <w:rPr>
          <w:rFonts w:hint="eastAsia"/>
        </w:rPr>
        <w:t>。具体修改</w:t>
      </w:r>
      <w:r w:rsidR="00127A12">
        <w:rPr>
          <w:rFonts w:hint="eastAsia"/>
        </w:rPr>
        <w:t>内容</w:t>
      </w:r>
      <w:r w:rsidR="008C045B" w:rsidRPr="00127A12">
        <w:rPr>
          <w:rFonts w:hint="eastAsia"/>
        </w:rPr>
        <w:t>如下：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6"/>
        <w:gridCol w:w="4444"/>
      </w:tblGrid>
      <w:tr w:rsidR="00B00640" w:rsidRPr="00B00640" w:rsidTr="008916EC"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修订前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wordWrap w:val="0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修订后</w:t>
            </w:r>
          </w:p>
        </w:tc>
      </w:tr>
      <w:tr w:rsidR="00B00640" w:rsidRPr="00B00640" w:rsidTr="008916EC">
        <w:trPr>
          <w:trHeight w:val="389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DF7E13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第八条 董事长为公司的法定代表人。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第八条 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总经理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为公司的法定代表人。</w:t>
            </w:r>
          </w:p>
        </w:tc>
      </w:tr>
      <w:tr w:rsidR="00B00640" w:rsidRPr="00B00640" w:rsidTr="008916EC">
        <w:trPr>
          <w:trHeight w:val="705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第二十三条 公司在下列情况下，可以依照法律、行政法规、部门规章和本章程的规定，收购本公司的股份：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（一）减少公司注册资本；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（二）与持有本公司股份的其他公司合并；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（三）将股份奖励给本公司职工；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（四）股东因对股东大会作出的公司合并、分立决议持异议，要求公司收购其股份的。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除上述情形外，公司不进行买卖本公司股份的活动。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第二十三条 公司在下列情况下，可以依照法律、行政法规、部门规章和本章程的规定，收购本公司的股份：</w:t>
            </w:r>
          </w:p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（一）减少公司注册资本；</w:t>
            </w:r>
          </w:p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（二）与持有本公司股份的其他公司合并；</w:t>
            </w:r>
          </w:p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（三）将股份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用于员工持股计划或者股权激励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；</w:t>
            </w:r>
          </w:p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（四）股东因对股东大会作出的公司合并、分立决议持异议，要求公司收购其股份；</w:t>
            </w:r>
          </w:p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（五）将股份用于转换上市公司发行的可转换为股票的公司债券；</w:t>
            </w:r>
          </w:p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（六）上市公司为维护公司价值及股东权益所必需。</w:t>
            </w:r>
          </w:p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除上述情形外，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公司不得收购本公司股份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B00640" w:rsidRPr="00B00640" w:rsidTr="008916EC">
        <w:trPr>
          <w:trHeight w:val="705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第二十四条</w:t>
            </w:r>
            <w:r w:rsidRPr="00B0064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公司收购本公司股份，可以选择下列方式之一进行：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（一）证券交易所集中竞价交易方式；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（二）要约方式；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（三）中国证监会认可的其他方式。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第二十四条 公司收购本公司股份，可以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通过公开的集中交易方式，或者法律法规和中国证监会认可的其他方式进行。</w:t>
            </w:r>
          </w:p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公司因本章程第二十三条第（三）项、第（五）项、第（六）项规定的情形收购本公司股份的，应当通过公开的集中交易方式进行。</w:t>
            </w:r>
          </w:p>
        </w:tc>
      </w:tr>
      <w:tr w:rsidR="00B00640" w:rsidRPr="00B00640" w:rsidTr="008916EC">
        <w:trPr>
          <w:trHeight w:val="705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第二十五条 公司因本章程第二十三条第（一）项至第（三）项的原因收购本公司股份的，应当经股东大会决议。公司依照本章程第二十三条规定收购本公司股份后，属于第（一）项情形的，应当自收购之日起10日内注销；属于第（二）项、第（四）项情形的，应当在6个月内转让或者注销。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公司依照本章程第二十三条第（三）项规定收购的本公司股份，将不超过本公司已发行股份总额的5%；用于收购的资金应当从公司的税后利润中支出；所收购的股份应当一年内转让给职工。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第二十五 公司因本章程第二十三条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第（一）项、第（二）项规定的情形收购本公司股份的，应当经股东大会决议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；公司因本章程第二十三条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第（三）项、第（五）项、第（六）项规定的情形收购本公司股份的，可以依照本章程的规定或者股东大会的授权，经三分之二以上董事出席的董事会会议决议。</w:t>
            </w:r>
          </w:p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公司依照本章程第二十三条规定收购本公司股份后，属于第（一）项情形的，应当自收购之日起10日内注销；属于第（二）项、第（四）项情形的，应当在6个月内转让或者注销；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属于第（三）项、第（五）项、第（六）项情形的，公司合计持有的本公司股份数不得超过本公司已发行股份总额的10%，并应当在3年内转让或者注销。</w:t>
            </w:r>
          </w:p>
        </w:tc>
      </w:tr>
      <w:tr w:rsidR="00B00640" w:rsidRPr="00B00640" w:rsidTr="008916EC">
        <w:trPr>
          <w:trHeight w:val="705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第九十六条 董事由股东大会选举或更换，任期三年。董事任期届满，可连选连任。董事在任期届满以前，股东大会不能无故解除其职务。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第九十六条 董事由股东大会选举或者更换，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并可在任期届满前由股东大会解除其职务。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董事任期三年，任期届满可连选连任。</w:t>
            </w:r>
          </w:p>
        </w:tc>
      </w:tr>
      <w:tr w:rsidR="00B00640" w:rsidRPr="00B00640" w:rsidTr="008916EC">
        <w:trPr>
          <w:trHeight w:val="705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第一百零六条 董事会由9名董事组成，其中独立董事3名，设董事长1名，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副董事长1名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董事会下设审计委员会、薪酬与考核委员会、战略委员会、提名委员会等专门委员会。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专门委员会成员全部由董事组成，其中审计委员会、薪酬与考核委员会、提名委员会中独立董事应占1/2以上并担任召集人，审计委员会中至少应有一名独立董事是会计专业人士。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各专门委员会可以聘请中介机构提供专业意见，有关费用由公司承担。</w:t>
            </w:r>
          </w:p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各专门委员会对董事会负责，各专门委员会的提案应提交董事会审查决定。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第一百零六条</w:t>
            </w:r>
            <w:r w:rsidRPr="00B0064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董事会由9名董事组成，其中独立董事3名，设董事长1名。</w:t>
            </w:r>
          </w:p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公司董事会设立审计委员会，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并根据需要设立战略、提名、薪酬与考核等相关专门委员会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专门委员会对董事会负责，依照本章程和董事会授权履行职责，提案应当提交董事会审议决定。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专门委员会成员全部由董事组成，其中审计委员会、提名委员会、薪酬与考核委员会中独立董事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占多数并担任召集人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，审计委员会的召集人为会计专业人士。</w:t>
            </w:r>
          </w:p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董事会负责制定专门委员会工作规程，规范专门委员会的运作。</w:t>
            </w:r>
          </w:p>
        </w:tc>
      </w:tr>
      <w:tr w:rsidR="00B00640" w:rsidRPr="00B00640" w:rsidTr="008916EC">
        <w:trPr>
          <w:trHeight w:val="705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第一百二十六条 在公司控股股东、实际控制人单位担任除董事以外其他职务的人员，不得担任公司的高级管理人员。公司高级管理人员不得在控股股东、实际控制人单位及其控制的其他单位领取薪酬。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第一百二十六条 在公司控股股东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单位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、实际控制人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控制的其他公司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担任除董事、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监事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以外其他行政职务的人员，不得担任公司的高级管理人员。公司高级管理人员不得在控股股东、实际控制人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及其控制的其他单位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领取薪酬。</w:t>
            </w:r>
          </w:p>
        </w:tc>
      </w:tr>
      <w:tr w:rsidR="00B00640" w:rsidRPr="00B00640" w:rsidTr="008916EC">
        <w:trPr>
          <w:trHeight w:val="705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45B" w:rsidRPr="00B00640" w:rsidRDefault="008C045B" w:rsidP="008916EC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增加：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第八章 党建工作</w:t>
            </w:r>
          </w:p>
          <w:p w:rsidR="008C045B" w:rsidRPr="00B00640" w:rsidRDefault="008C045B" w:rsidP="008916EC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>增加：</w:t>
            </w:r>
            <w:r w:rsidRPr="00B006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第一百四十九条  在公司中，根据《中国共产党章程》的规定，设立中国共产党的组织，公司党组织发挥领导作用，把方向、管大局、保落实，董事会决策公司重大问题，尤其涉及国家宏观调控、国家发展战略、国家安全等重大经营管理事项，应先听取公司党组织的意见。公司应当为党组织的活动提供必要条件，配备足够数量的党务工作人员，保障党组织的工作经费。</w:t>
            </w:r>
            <w:r w:rsidRPr="00B00640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</w:tc>
      </w:tr>
      <w:tr w:rsidR="001A0536" w:rsidRPr="00B00640" w:rsidTr="008916EC">
        <w:trPr>
          <w:trHeight w:val="705"/>
        </w:trPr>
        <w:tc>
          <w:tcPr>
            <w:tcW w:w="2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0536" w:rsidRPr="00B00640" w:rsidRDefault="001A0536" w:rsidP="00341CF2">
            <w:pPr>
              <w:widowControl/>
              <w:wordWrap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24140">
              <w:rPr>
                <w:rFonts w:asciiTheme="minorEastAsia" w:eastAsiaTheme="minorEastAsia" w:hAnsiTheme="minorEastAsia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一百九十九</w:t>
            </w:r>
            <w:r w:rsidRPr="00F24140">
              <w:rPr>
                <w:rFonts w:asciiTheme="minorEastAsia" w:eastAsiaTheme="minorEastAsia" w:hAnsiTheme="minorEastAsia"/>
                <w:sz w:val="18"/>
                <w:szCs w:val="18"/>
              </w:rPr>
              <w:t>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24140">
              <w:rPr>
                <w:rFonts w:asciiTheme="minorEastAsia" w:eastAsiaTheme="minorEastAsia" w:hAnsiTheme="minorEastAsia"/>
                <w:sz w:val="18"/>
                <w:szCs w:val="18"/>
              </w:rPr>
              <w:t>本章程</w:t>
            </w:r>
            <w:r w:rsidRPr="00F24140">
              <w:rPr>
                <w:rFonts w:asciiTheme="minorEastAsia" w:eastAsiaTheme="minorEastAsia" w:hAnsiTheme="minorEastAsia" w:hint="eastAsia"/>
                <w:sz w:val="18"/>
                <w:szCs w:val="18"/>
              </w:rPr>
              <w:t>自</w:t>
            </w:r>
            <w:r w:rsidRPr="00F24140">
              <w:rPr>
                <w:rFonts w:asciiTheme="minorEastAsia" w:eastAsiaTheme="minorEastAsia" w:hAnsiTheme="minorEastAsia"/>
                <w:sz w:val="18"/>
                <w:szCs w:val="18"/>
              </w:rPr>
              <w:t>公司首发上市之日起实施，原《公司章程》同时失效。</w:t>
            </w:r>
          </w:p>
        </w:tc>
        <w:tc>
          <w:tcPr>
            <w:tcW w:w="2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A0536" w:rsidRPr="00B00640" w:rsidRDefault="001A0536" w:rsidP="00341CF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24140">
              <w:rPr>
                <w:rFonts w:asciiTheme="minorEastAsia" w:eastAsiaTheme="minorEastAsia" w:hAnsiTheme="minorEastAsia"/>
                <w:sz w:val="18"/>
                <w:szCs w:val="18"/>
              </w:rPr>
              <w:t>第</w:t>
            </w:r>
            <w:r w:rsidRPr="00F24140">
              <w:rPr>
                <w:rFonts w:asciiTheme="minorEastAsia" w:eastAsiaTheme="minorEastAsia" w:hAnsiTheme="minorEastAsia" w:hint="eastAsia"/>
                <w:sz w:val="18"/>
                <w:szCs w:val="18"/>
              </w:rPr>
              <w:t>二</w:t>
            </w:r>
            <w:r w:rsidRPr="00F24140">
              <w:rPr>
                <w:rFonts w:asciiTheme="minorEastAsia" w:eastAsiaTheme="minorEastAsia" w:hAnsiTheme="minorEastAsia"/>
                <w:sz w:val="18"/>
                <w:szCs w:val="18"/>
              </w:rPr>
              <w:t>百条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Pr="00F24140">
              <w:rPr>
                <w:rFonts w:asciiTheme="minorEastAsia" w:eastAsiaTheme="minorEastAsia" w:hAnsiTheme="minorEastAsia"/>
                <w:sz w:val="18"/>
                <w:szCs w:val="18"/>
              </w:rPr>
              <w:t>本章程</w:t>
            </w:r>
            <w:r w:rsidRPr="00F24140">
              <w:rPr>
                <w:rFonts w:asciiTheme="minorEastAsia" w:eastAsiaTheme="minorEastAsia" w:hAnsiTheme="minorEastAsia" w:hint="eastAsia"/>
                <w:sz w:val="18"/>
                <w:szCs w:val="18"/>
              </w:rPr>
              <w:t>自</w:t>
            </w:r>
            <w:r w:rsidRPr="00F24140">
              <w:rPr>
                <w:rFonts w:asciiTheme="minorEastAsia" w:eastAsiaTheme="minorEastAsia" w:hAnsiTheme="minorEastAsia"/>
                <w:sz w:val="18"/>
                <w:szCs w:val="18"/>
              </w:rPr>
              <w:t>公</w:t>
            </w:r>
            <w:bookmarkStart w:id="0" w:name="_GoBack"/>
            <w:bookmarkEnd w:id="0"/>
            <w:r w:rsidRPr="00F24140">
              <w:rPr>
                <w:rFonts w:asciiTheme="minorEastAsia" w:eastAsiaTheme="minorEastAsia" w:hAnsiTheme="minorEastAsia"/>
                <w:sz w:val="18"/>
                <w:szCs w:val="18"/>
              </w:rPr>
              <w:t>司</w:t>
            </w:r>
            <w:r w:rsidRPr="00F24140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股东</w:t>
            </w:r>
            <w:r w:rsidRPr="00F24140">
              <w:rPr>
                <w:rFonts w:asciiTheme="minorEastAsia" w:eastAsiaTheme="minorEastAsia" w:hAnsiTheme="minorEastAsia"/>
                <w:b/>
                <w:sz w:val="18"/>
                <w:szCs w:val="18"/>
              </w:rPr>
              <w:t>大会审核通过</w:t>
            </w:r>
            <w:r w:rsidRPr="00F24140">
              <w:rPr>
                <w:rFonts w:asciiTheme="minorEastAsia" w:eastAsiaTheme="minorEastAsia" w:hAnsiTheme="minorEastAsia"/>
                <w:sz w:val="18"/>
                <w:szCs w:val="18"/>
              </w:rPr>
              <w:t>之日起实施，原《公司章程》同时失效。</w:t>
            </w:r>
          </w:p>
        </w:tc>
      </w:tr>
    </w:tbl>
    <w:p w:rsidR="008C045B" w:rsidRPr="008C045B" w:rsidRDefault="008C045B" w:rsidP="008C045B">
      <w:pPr>
        <w:spacing w:line="360" w:lineRule="auto"/>
        <w:rPr>
          <w:sz w:val="18"/>
          <w:szCs w:val="18"/>
        </w:rPr>
      </w:pPr>
      <w:r w:rsidRPr="008C045B">
        <w:rPr>
          <w:rFonts w:hint="eastAsia"/>
          <w:sz w:val="18"/>
          <w:szCs w:val="18"/>
        </w:rPr>
        <w:t>注：条款序号根据章程条款的增加进行相应修改。</w:t>
      </w:r>
    </w:p>
    <w:p w:rsidR="007009E1" w:rsidRDefault="00DF7E13" w:rsidP="00127A12">
      <w:pPr>
        <w:pStyle w:val="a3"/>
        <w:spacing w:line="360" w:lineRule="auto"/>
        <w:ind w:left="221" w:right="238" w:firstLine="476"/>
        <w:jc w:val="both"/>
        <w:rPr>
          <w:rFonts w:ascii="Times New Roman" w:hAnsi="Times New Roman" w:cs="Times New Roman"/>
        </w:rPr>
      </w:pPr>
      <w:r w:rsidRPr="00C64FAD">
        <w:rPr>
          <w:rFonts w:hint="eastAsia"/>
        </w:rPr>
        <w:t>本事项尚需提交公司股东大会审议。</w:t>
      </w:r>
      <w:r w:rsidR="00127A12" w:rsidRPr="00127A12">
        <w:t>公司董事会拟</w:t>
      </w:r>
      <w:r w:rsidR="00127A12" w:rsidRPr="00EF2D9E">
        <w:t>提请股东大会授权公司管理层全权办理相关工商变更登记手续。具体变更内容以工商核准变更登记为准。</w:t>
      </w:r>
    </w:p>
    <w:p w:rsidR="00DA6849" w:rsidRPr="00A65CB1" w:rsidRDefault="000B6430" w:rsidP="00A65CB1">
      <w:pPr>
        <w:pStyle w:val="a3"/>
        <w:spacing w:before="2" w:line="468" w:lineRule="auto"/>
        <w:ind w:left="220" w:right="238" w:firstLine="479"/>
        <w:jc w:val="both"/>
        <w:rPr>
          <w:rFonts w:ascii="Times New Roman" w:hAnsi="Times New Roman" w:cs="Times New Roman"/>
        </w:rPr>
      </w:pPr>
      <w:r>
        <w:t>特此公告。</w:t>
      </w:r>
    </w:p>
    <w:p w:rsidR="00B21EFE" w:rsidRPr="00B21EFE" w:rsidRDefault="005B06D5" w:rsidP="00B21EFE">
      <w:pPr>
        <w:autoSpaceDE/>
        <w:autoSpaceDN/>
        <w:spacing w:line="360" w:lineRule="auto"/>
        <w:jc w:val="right"/>
        <w:rPr>
          <w:rFonts w:ascii="Times New Roman" w:hAnsi="Times New Roman" w:cs="Times New Roman"/>
          <w:kern w:val="2"/>
          <w:sz w:val="24"/>
          <w:szCs w:val="24"/>
          <w:lang w:val="en-US" w:bidi="ar-SA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安徽省交通建设股份有限公司</w:t>
      </w:r>
      <w:r w:rsidR="00B21EFE" w:rsidRPr="00B21EFE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董事会</w:t>
      </w:r>
      <w:r w:rsidR="00B21EFE" w:rsidRPr="00B21EFE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:rsidR="00DA6849" w:rsidRPr="008A5967" w:rsidRDefault="007009E1" w:rsidP="00DF7E13">
      <w:pPr>
        <w:autoSpaceDE/>
        <w:autoSpaceDN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 xml:space="preserve"> </w:t>
      </w:r>
      <w:r w:rsidR="00DF7E13">
        <w:rPr>
          <w:rFonts w:ascii="Times New Roman" w:hAnsi="Times New Roman" w:cs="Times New Roman" w:hint="eastAsia"/>
          <w:kern w:val="2"/>
          <w:sz w:val="24"/>
          <w:szCs w:val="24"/>
          <w:lang w:val="en-US" w:bidi="ar-SA"/>
        </w:rPr>
        <w:t>2020</w:t>
      </w:r>
      <w:r w:rsidR="00B21EFE" w:rsidRPr="00B21EFE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年</w:t>
      </w:r>
      <w:r w:rsidR="00DF7E13">
        <w:rPr>
          <w:rFonts w:ascii="Times New Roman" w:hAnsi="Times New Roman" w:cs="Times New Roman" w:hint="eastAsia"/>
          <w:kern w:val="2"/>
          <w:sz w:val="24"/>
          <w:szCs w:val="24"/>
          <w:lang w:val="en-US" w:bidi="ar-SA"/>
        </w:rPr>
        <w:t>3</w:t>
      </w:r>
      <w:r w:rsidR="00B21EFE" w:rsidRPr="00B21EFE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月</w:t>
      </w:r>
      <w:r w:rsidR="001C0D04">
        <w:rPr>
          <w:rFonts w:ascii="Times New Roman" w:hAnsi="Times New Roman" w:cs="Times New Roman" w:hint="eastAsia"/>
          <w:kern w:val="2"/>
          <w:sz w:val="24"/>
          <w:szCs w:val="24"/>
          <w:lang w:val="en-US" w:bidi="ar-SA"/>
        </w:rPr>
        <w:t>4</w:t>
      </w:r>
      <w:r w:rsidR="00B21EFE" w:rsidRPr="00B21EFE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>日</w:t>
      </w:r>
      <w:r w:rsidR="00B21EFE" w:rsidRPr="00B21EFE">
        <w:rPr>
          <w:rFonts w:ascii="Times New Roman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sectPr w:rsidR="00DA6849" w:rsidRPr="008A5967" w:rsidSect="00BB43A9">
      <w:footerReference w:type="default" r:id="rId8"/>
      <w:pgSz w:w="11910" w:h="16840"/>
      <w:pgMar w:top="1420" w:right="1560" w:bottom="1320" w:left="1580" w:header="0" w:footer="1121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7B5B8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B5B8CE" w16cid:durableId="211494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CA" w:rsidRDefault="00CA07CA">
      <w:r>
        <w:separator/>
      </w:r>
    </w:p>
  </w:endnote>
  <w:endnote w:type="continuationSeparator" w:id="0">
    <w:p w:rsidR="00CA07CA" w:rsidRDefault="00CA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430" w:rsidRDefault="00CA07CA">
    <w:pPr>
      <w:pStyle w:val="a3"/>
      <w:spacing w:line="14" w:lineRule="auto"/>
      <w:rPr>
        <w:sz w:val="12"/>
      </w:rPr>
    </w:pPr>
    <w:r>
      <w:rPr>
        <w:noProof/>
        <w:lang w:val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1.2pt;margin-top:787.35pt;width:13.15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" filled="f" stroked="f">
          <v:textbox inset="0,0,0,0">
            <w:txbxContent>
              <w:p w:rsidR="000B6430" w:rsidRDefault="0057605C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0B6430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1A0536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CA" w:rsidRDefault="00CA07CA">
      <w:r>
        <w:separator/>
      </w:r>
    </w:p>
  </w:footnote>
  <w:footnote w:type="continuationSeparator" w:id="0">
    <w:p w:rsidR="00CA07CA" w:rsidRDefault="00CA0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73045"/>
    <w:multiLevelType w:val="hybridMultilevel"/>
    <w:tmpl w:val="1DDA7362"/>
    <w:lvl w:ilvl="0" w:tplc="176C03D0">
      <w:start w:val="1"/>
      <w:numFmt w:val="decimal"/>
      <w:lvlText w:val="（%1）"/>
      <w:lvlJc w:val="left"/>
      <w:pPr>
        <w:ind w:left="107" w:hanging="529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 w:tplc="A886951C">
      <w:numFmt w:val="bullet"/>
      <w:lvlText w:val="•"/>
      <w:lvlJc w:val="left"/>
      <w:pPr>
        <w:ind w:left="460" w:hanging="529"/>
      </w:pPr>
      <w:rPr>
        <w:rFonts w:hint="default"/>
        <w:lang w:val="zh-CN" w:eastAsia="zh-CN" w:bidi="zh-CN"/>
      </w:rPr>
    </w:lvl>
    <w:lvl w:ilvl="2" w:tplc="D9B239AA">
      <w:numFmt w:val="bullet"/>
      <w:lvlText w:val="•"/>
      <w:lvlJc w:val="left"/>
      <w:pPr>
        <w:ind w:left="820" w:hanging="529"/>
      </w:pPr>
      <w:rPr>
        <w:rFonts w:hint="default"/>
        <w:lang w:val="zh-CN" w:eastAsia="zh-CN" w:bidi="zh-CN"/>
      </w:rPr>
    </w:lvl>
    <w:lvl w:ilvl="3" w:tplc="B504E1E8">
      <w:numFmt w:val="bullet"/>
      <w:lvlText w:val="•"/>
      <w:lvlJc w:val="left"/>
      <w:pPr>
        <w:ind w:left="1180" w:hanging="529"/>
      </w:pPr>
      <w:rPr>
        <w:rFonts w:hint="default"/>
        <w:lang w:val="zh-CN" w:eastAsia="zh-CN" w:bidi="zh-CN"/>
      </w:rPr>
    </w:lvl>
    <w:lvl w:ilvl="4" w:tplc="2FE4862A">
      <w:numFmt w:val="bullet"/>
      <w:lvlText w:val="•"/>
      <w:lvlJc w:val="left"/>
      <w:pPr>
        <w:ind w:left="1540" w:hanging="529"/>
      </w:pPr>
      <w:rPr>
        <w:rFonts w:hint="default"/>
        <w:lang w:val="zh-CN" w:eastAsia="zh-CN" w:bidi="zh-CN"/>
      </w:rPr>
    </w:lvl>
    <w:lvl w:ilvl="5" w:tplc="7A2A2FF4">
      <w:numFmt w:val="bullet"/>
      <w:lvlText w:val="•"/>
      <w:lvlJc w:val="left"/>
      <w:pPr>
        <w:ind w:left="1901" w:hanging="529"/>
      </w:pPr>
      <w:rPr>
        <w:rFonts w:hint="default"/>
        <w:lang w:val="zh-CN" w:eastAsia="zh-CN" w:bidi="zh-CN"/>
      </w:rPr>
    </w:lvl>
    <w:lvl w:ilvl="6" w:tplc="00146F34">
      <w:numFmt w:val="bullet"/>
      <w:lvlText w:val="•"/>
      <w:lvlJc w:val="left"/>
      <w:pPr>
        <w:ind w:left="2261" w:hanging="529"/>
      </w:pPr>
      <w:rPr>
        <w:rFonts w:hint="default"/>
        <w:lang w:val="zh-CN" w:eastAsia="zh-CN" w:bidi="zh-CN"/>
      </w:rPr>
    </w:lvl>
    <w:lvl w:ilvl="7" w:tplc="9F00299A">
      <w:numFmt w:val="bullet"/>
      <w:lvlText w:val="•"/>
      <w:lvlJc w:val="left"/>
      <w:pPr>
        <w:ind w:left="2621" w:hanging="529"/>
      </w:pPr>
      <w:rPr>
        <w:rFonts w:hint="default"/>
        <w:lang w:val="zh-CN" w:eastAsia="zh-CN" w:bidi="zh-CN"/>
      </w:rPr>
    </w:lvl>
    <w:lvl w:ilvl="8" w:tplc="3C04C8FA">
      <w:numFmt w:val="bullet"/>
      <w:lvlText w:val="•"/>
      <w:lvlJc w:val="left"/>
      <w:pPr>
        <w:ind w:left="2981" w:hanging="52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XD">
    <w15:presenceInfo w15:providerId="None" w15:userId="ZX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A6849"/>
    <w:rsid w:val="0000393E"/>
    <w:rsid w:val="00066477"/>
    <w:rsid w:val="000B6430"/>
    <w:rsid w:val="000C0FB8"/>
    <w:rsid w:val="000D4C36"/>
    <w:rsid w:val="00127A12"/>
    <w:rsid w:val="00157141"/>
    <w:rsid w:val="001723FA"/>
    <w:rsid w:val="0017420C"/>
    <w:rsid w:val="001A0536"/>
    <w:rsid w:val="001B1E6D"/>
    <w:rsid w:val="001C0D04"/>
    <w:rsid w:val="001E6848"/>
    <w:rsid w:val="002003E0"/>
    <w:rsid w:val="00200439"/>
    <w:rsid w:val="002249D8"/>
    <w:rsid w:val="00245D3F"/>
    <w:rsid w:val="0028338F"/>
    <w:rsid w:val="002865AC"/>
    <w:rsid w:val="00291B35"/>
    <w:rsid w:val="002F3484"/>
    <w:rsid w:val="002F498A"/>
    <w:rsid w:val="003231D2"/>
    <w:rsid w:val="00350E54"/>
    <w:rsid w:val="00406C01"/>
    <w:rsid w:val="00407800"/>
    <w:rsid w:val="00416BC3"/>
    <w:rsid w:val="004F2DB7"/>
    <w:rsid w:val="00523F31"/>
    <w:rsid w:val="005357F4"/>
    <w:rsid w:val="00565AC5"/>
    <w:rsid w:val="0057605C"/>
    <w:rsid w:val="00580EB3"/>
    <w:rsid w:val="005B06D5"/>
    <w:rsid w:val="005B0B6A"/>
    <w:rsid w:val="00651ABB"/>
    <w:rsid w:val="0066786B"/>
    <w:rsid w:val="006A1150"/>
    <w:rsid w:val="006D3699"/>
    <w:rsid w:val="007009E1"/>
    <w:rsid w:val="00727818"/>
    <w:rsid w:val="007538CD"/>
    <w:rsid w:val="007718A9"/>
    <w:rsid w:val="007A3992"/>
    <w:rsid w:val="007E5A02"/>
    <w:rsid w:val="008669C7"/>
    <w:rsid w:val="00883BA8"/>
    <w:rsid w:val="008911EA"/>
    <w:rsid w:val="008A5967"/>
    <w:rsid w:val="008C045B"/>
    <w:rsid w:val="008F4AA2"/>
    <w:rsid w:val="0093635E"/>
    <w:rsid w:val="00943CE3"/>
    <w:rsid w:val="00960CB9"/>
    <w:rsid w:val="009A12D7"/>
    <w:rsid w:val="009A3864"/>
    <w:rsid w:val="00A34E28"/>
    <w:rsid w:val="00A450F5"/>
    <w:rsid w:val="00A65CB1"/>
    <w:rsid w:val="00AD731E"/>
    <w:rsid w:val="00AF414F"/>
    <w:rsid w:val="00B00640"/>
    <w:rsid w:val="00B04532"/>
    <w:rsid w:val="00B21EFE"/>
    <w:rsid w:val="00B30C40"/>
    <w:rsid w:val="00B8250E"/>
    <w:rsid w:val="00B9021E"/>
    <w:rsid w:val="00B93E5E"/>
    <w:rsid w:val="00B944CB"/>
    <w:rsid w:val="00BB43A9"/>
    <w:rsid w:val="00BE4658"/>
    <w:rsid w:val="00C94E15"/>
    <w:rsid w:val="00CA07CA"/>
    <w:rsid w:val="00CC6F86"/>
    <w:rsid w:val="00CD31CC"/>
    <w:rsid w:val="00CF284A"/>
    <w:rsid w:val="00CF470E"/>
    <w:rsid w:val="00D24340"/>
    <w:rsid w:val="00D406DB"/>
    <w:rsid w:val="00D523EB"/>
    <w:rsid w:val="00D601D8"/>
    <w:rsid w:val="00D63360"/>
    <w:rsid w:val="00D75C7F"/>
    <w:rsid w:val="00D913E5"/>
    <w:rsid w:val="00DA6849"/>
    <w:rsid w:val="00DB1382"/>
    <w:rsid w:val="00DF7E13"/>
    <w:rsid w:val="00E05FB2"/>
    <w:rsid w:val="00E70138"/>
    <w:rsid w:val="00E85A85"/>
    <w:rsid w:val="00EB2FFF"/>
    <w:rsid w:val="00EB6DB0"/>
    <w:rsid w:val="00ED1F6E"/>
    <w:rsid w:val="00ED2389"/>
    <w:rsid w:val="00F56563"/>
    <w:rsid w:val="00F62D89"/>
    <w:rsid w:val="00F9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43A9"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43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43A9"/>
    <w:rPr>
      <w:sz w:val="24"/>
      <w:szCs w:val="24"/>
    </w:rPr>
  </w:style>
  <w:style w:type="paragraph" w:styleId="a4">
    <w:name w:val="List Paragraph"/>
    <w:basedOn w:val="a"/>
    <w:uiPriority w:val="34"/>
    <w:qFormat/>
    <w:rsid w:val="00BB43A9"/>
  </w:style>
  <w:style w:type="paragraph" w:customStyle="1" w:styleId="TableParagraph">
    <w:name w:val="Table Paragraph"/>
    <w:basedOn w:val="a"/>
    <w:uiPriority w:val="1"/>
    <w:qFormat/>
    <w:rsid w:val="00BB43A9"/>
    <w:pPr>
      <w:ind w:left="107"/>
    </w:pPr>
  </w:style>
  <w:style w:type="character" w:styleId="a5">
    <w:name w:val="annotation reference"/>
    <w:basedOn w:val="a0"/>
    <w:uiPriority w:val="99"/>
    <w:semiHidden/>
    <w:unhideWhenUsed/>
    <w:rsid w:val="000B6430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0B6430"/>
  </w:style>
  <w:style w:type="character" w:customStyle="1" w:styleId="Char">
    <w:name w:val="批注文字 Char"/>
    <w:basedOn w:val="a0"/>
    <w:link w:val="a6"/>
    <w:uiPriority w:val="99"/>
    <w:semiHidden/>
    <w:rsid w:val="000B6430"/>
    <w:rPr>
      <w:rFonts w:ascii="宋体" w:eastAsia="宋体" w:hAnsi="宋体" w:cs="宋体"/>
      <w:lang w:val="zh-CN" w:eastAsia="zh-CN" w:bidi="zh-CN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0B6430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0B6430"/>
    <w:rPr>
      <w:rFonts w:ascii="宋体" w:eastAsia="宋体" w:hAnsi="宋体" w:cs="宋体"/>
      <w:b/>
      <w:bCs/>
      <w:lang w:val="zh-CN" w:eastAsia="zh-CN" w:bidi="zh-CN"/>
    </w:rPr>
  </w:style>
  <w:style w:type="paragraph" w:styleId="a8">
    <w:name w:val="Balloon Text"/>
    <w:basedOn w:val="a"/>
    <w:link w:val="Char1"/>
    <w:uiPriority w:val="99"/>
    <w:semiHidden/>
    <w:unhideWhenUsed/>
    <w:rsid w:val="000B643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B6430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9">
    <w:name w:val="header"/>
    <w:basedOn w:val="a"/>
    <w:link w:val="Char2"/>
    <w:uiPriority w:val="99"/>
    <w:unhideWhenUsed/>
    <w:rsid w:val="00580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580EB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a">
    <w:name w:val="footer"/>
    <w:basedOn w:val="a"/>
    <w:link w:val="Char3"/>
    <w:uiPriority w:val="99"/>
    <w:unhideWhenUsed/>
    <w:rsid w:val="00580E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580EB3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pple-converted-space">
    <w:name w:val="apple-converted-space"/>
    <w:basedOn w:val="a0"/>
    <w:rsid w:val="0000393E"/>
  </w:style>
  <w:style w:type="character" w:styleId="ab">
    <w:name w:val="Hyperlink"/>
    <w:basedOn w:val="a0"/>
    <w:uiPriority w:val="99"/>
    <w:semiHidden/>
    <w:unhideWhenUsed/>
    <w:rsid w:val="000039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annotation reference"/>
    <w:basedOn w:val="a0"/>
    <w:uiPriority w:val="99"/>
    <w:semiHidden/>
    <w:unhideWhenUsed/>
    <w:rsid w:val="000B6430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0B6430"/>
  </w:style>
  <w:style w:type="character" w:customStyle="1" w:styleId="Char">
    <w:name w:val="批注文字 Char"/>
    <w:basedOn w:val="a0"/>
    <w:link w:val="a6"/>
    <w:uiPriority w:val="99"/>
    <w:semiHidden/>
    <w:rsid w:val="000B6430"/>
    <w:rPr>
      <w:rFonts w:ascii="宋体" w:eastAsia="宋体" w:hAnsi="宋体" w:cs="宋体"/>
      <w:lang w:val="zh-CN" w:eastAsia="zh-CN" w:bidi="zh-CN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0B6430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0B6430"/>
    <w:rPr>
      <w:rFonts w:ascii="宋体" w:eastAsia="宋体" w:hAnsi="宋体" w:cs="宋体"/>
      <w:b/>
      <w:bCs/>
      <w:lang w:val="zh-CN" w:eastAsia="zh-CN" w:bidi="zh-CN"/>
    </w:rPr>
  </w:style>
  <w:style w:type="paragraph" w:styleId="a8">
    <w:name w:val="Balloon Text"/>
    <w:basedOn w:val="a"/>
    <w:link w:val="Char1"/>
    <w:uiPriority w:val="99"/>
    <w:semiHidden/>
    <w:unhideWhenUsed/>
    <w:rsid w:val="000B643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B6430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9">
    <w:name w:val="header"/>
    <w:basedOn w:val="a"/>
    <w:link w:val="Char2"/>
    <w:uiPriority w:val="99"/>
    <w:unhideWhenUsed/>
    <w:rsid w:val="00580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580EB3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a">
    <w:name w:val="footer"/>
    <w:basedOn w:val="a"/>
    <w:link w:val="Char3"/>
    <w:uiPriority w:val="99"/>
    <w:unhideWhenUsed/>
    <w:rsid w:val="00580EB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580EB3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apple-converted-space">
    <w:name w:val="apple-converted-space"/>
    <w:basedOn w:val="a0"/>
    <w:rsid w:val="0000393E"/>
  </w:style>
  <w:style w:type="character" w:styleId="ab">
    <w:name w:val="Hyperlink"/>
    <w:basedOn w:val="a0"/>
    <w:uiPriority w:val="99"/>
    <w:semiHidden/>
    <w:unhideWhenUsed/>
    <w:rsid w:val="00003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1247</Words>
  <Characters>1347</Characters>
  <Application>Microsoft Office Word</Application>
  <DocSecurity>0</DocSecurity>
  <Lines>149</Lines>
  <Paragraphs>162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</dc:creator>
  <cp:lastModifiedBy>xb21cn</cp:lastModifiedBy>
  <cp:revision>73</cp:revision>
  <dcterms:created xsi:type="dcterms:W3CDTF">2019-08-26T08:38:00Z</dcterms:created>
  <dcterms:modified xsi:type="dcterms:W3CDTF">2020-03-03T05:43:00Z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2018-08-06T00:00:00Z</vt:filetime>
  </property>
</Properties>
</file>